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Periodic Adverse Drug Experience Report</w:t>
      </w:r>
    </w:p>
    <w:p>
      <w:r>
        <w:t>Drug Product: Bisoprolol</w:t>
      </w:r>
    </w:p>
    <w:p>
      <w:r>
        <w:t>Application Identifier: NDA 020186</w:t>
      </w:r>
    </w:p>
    <w:p>
      <w:r>
        <w:t>Reporting Period: 2025-01-04 to 2025-12-28</w:t>
      </w:r>
    </w:p>
    <w:p>
      <w:r>
        <w:t>Marketing Authorization Holder: Aurobindo Pharma USA, Inc.</w:t>
      </w:r>
    </w:p>
    <w:p>
      <w:r>
        <w:t>Regulatory Framework: US FDA 21 CFR 314.80(c)(2)</w:t>
      </w:r>
    </w:p>
    <w:p>
      <w:r>
        <w:t>Dataset SHA-256 Hash: `d0516846b9d8` | Engine: `llama-3.3-70b-versatile`</w:t>
      </w:r>
    </w:p>
    <w:p>
      <w:pPr>
        <w:pStyle w:val="Heading2"/>
      </w:pPr>
      <w:r>
        <w:t>1. Reporting Period &amp; General Header</w:t>
      </w:r>
    </w:p>
    <w:p>
      <w:r>
        <w:t>Status: ⏳ Pending Sign-off</w:t>
      </w:r>
    </w:p>
    <w:p>
      <w:r>
        <w:t>1. Reporting Period &amp; General Header</w:t>
      </w:r>
    </w:p>
    <w:p>
      <w:r>
        <w:t>The following information pertains to the Periodic Adverse Drug Experience Report (PADER) for the specified product:</w:t>
      </w:r>
    </w:p>
    <w:p>
      <w:r>
        <w:t xml:space="preserve"> NDA Application Number: NDA 020186</w:t>
      </w:r>
    </w:p>
    <w:p>
      <w:r>
        <w:t xml:space="preserve"> Drug Substance / Product Name: Bisoprolol</w:t>
      </w:r>
    </w:p>
    <w:p>
      <w:r>
        <w:t xml:space="preserve"> Marketing Authorization Holder (MAH): Aurobindo Pharma USA, Inc.</w:t>
      </w:r>
    </w:p>
    <w:p>
      <w:r>
        <w:t xml:space="preserve"> Reporting Interval:</w:t>
      </w:r>
    </w:p>
    <w:p>
      <w:r>
        <w:t xml:space="preserve">   Start Date: 2025-01-04</w:t>
      </w:r>
    </w:p>
    <w:p>
      <w:r>
        <w:t xml:space="preserve">   End Date: 2025-12-28</w:t>
      </w:r>
    </w:p>
    <w:p>
      <w:r>
        <w:t>This report encompasses adverse drug experience data collected during the specified reporting interval. The subsequent sections will provide detailed information on the reported cases, including summary statistics and individual case details.</w:t>
      </w:r>
    </w:p>
    <w:p>
      <w:pPr>
        <w:pStyle w:val="Heading2"/>
      </w:pPr>
      <w:r>
        <w:t>2. Narrative Summary and Analysis</w:t>
      </w:r>
    </w:p>
    <w:p>
      <w:r>
        <w:t>Status: ⏳ Pending Sign-off</w:t>
      </w:r>
    </w:p>
    <w:p>
      <w:r>
        <w:t>2. Narrative Summary and Analysis</w:t>
      </w:r>
    </w:p>
    <w:p>
      <w:r>
        <w:t>The post-marketing safety profile of Bisoprolol, as per the provided evidence packet, is based on a total of 1,024 Individual Case Safety Reports (ICSRs), with 1,023 (99.9%) of these cases being serious in nature and 1 case being non-serious. Furthermore, 1,023 cases were submitted as 15-Day Expedited Alert reports, indicating the severity and urgency of the reported adverse events.</w:t>
      </w:r>
    </w:p>
    <w:p>
      <w:r>
        <w:t>Demographically, the reported cases show a distribution of Male (21), Female (29), and Unknown (0) for sex, and for age groups, the distribution is Pediatric (&lt;18) (0), Adult (18-64) (28), Elderly (65+) (22), and Unknown (0). The primary reporter countries include Spain (9), United Kingdom (8), Canada (7), Japan (6), France (6), Italy (6), Germany (4), and United States (4).</w:t>
      </w:r>
    </w:p>
    <w:p>
      <w:r>
        <w:t>The top MedDRA Preferred Terms for adverse events associated with Bisoprolol are not directly provided in the evidence packet. However, based on the available reaction analysis, the top reactions include Melaena (22), Haematuria (16), Contusion (14), Haematoma (14), Epistaxis (12), Gastrointestinal haemorrhage (12), Anaemia (8), and Rectal haemorrhage (7). The top serious reactions are also listed, with Melaena (21), Haematuria (16), Haematoma (13), Contusion (11), Epistaxis (10), Gastrointestinal haemorrhage (10), Anaemia (8), and Rectal haemorrhage (7) being the most frequently reported.</w:t>
      </w:r>
    </w:p>
    <w:p>
      <w:r>
        <w:t>In conclusion, the post-marketing safety profile of Bisoprolol, as per the provided evidence packet, indicates a high proportion of serious cases, with the majority being submitted as 15-Day Expedited Alert reports. The demographic distribution and adverse event profiles suggest a potential risk of bleeding-related events. However, it is essential to note that the provided evidence packet does not include the exact figures for the top MedDRA Preferred Terms as requested, such as Acute kidney injury, Drug ineffective, Hypotension, Drug interaction, and Fatigue. Therefore, a comprehensive risk-benefit assessment must consider all available data, including the provided evidence packet, to accurately evaluate the safety profile of Bisoprolol. The benefit of Bisoprolol in the treatment of its indicated conditions must be weighed against the potential risks, and healthcare professionals should be aware of the possible adverse events to ensure proper patient management and monitoring.</w:t>
      </w:r>
    </w:p>
    <w:p>
      <w:pPr>
        <w:pStyle w:val="Heading2"/>
      </w:pPr>
      <w:r>
        <w:t>3. Summary Analysis of Cases</w:t>
      </w:r>
    </w:p>
    <w:p>
      <w:r>
        <w:t>Status: ⏳ Pending Sign-off</w:t>
      </w:r>
    </w:p>
    <w:p>
      <w:pPr>
        <w:pStyle w:val="Heading3"/>
      </w:pPr>
      <w:r>
        <w:t>3. Summary Analysis of Cases</w:t>
      </w:r>
    </w:p>
    <w:p>
      <w:pPr>
        <w:pStyle w:val="Heading4"/>
      </w:pPr>
      <w:r>
        <w:t>3.1 Overall Case Volume &amp; Seriousness</w:t>
      </w:r>
    </w:p>
    <w:p>
      <w:r>
        <w:t>The analysis encompasses a total of 50 cases reported for Bisoprolol (NDA 020186) by Aurobindo Pharma USA, Inc., within the reporting period of January 4, 2025, to December 28, 2025. The breakdown of these cases by seriousness is as follows: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Category</w:t>
            </w:r>
          </w:p>
        </w:tc>
        <w:tc>
          <w:tcPr>
            <w:tcW w:type="dxa" w:w="4320"/>
            <w:shd w:val="clear" w:color="auto" w:fill="1E3A8A"/>
          </w:tcPr>
          <w:p>
            <w:r>
              <w:rPr>
                <w:rFonts w:ascii="Arial" w:hAnsi="Arial"/>
                <w:b/>
                <w:color w:val="FFFFFF"/>
                <w:sz w:val="19"/>
              </w:rPr>
              <w:t>Number of Cases</w:t>
            </w:r>
          </w:p>
        </w:tc>
      </w:tr>
      <w:tr>
        <w:tc>
          <w:tcPr>
            <w:tcW w:type="dxa" w:w="4320"/>
            <w:shd w:val="clear" w:color="auto" w:fill="F8FAFC"/>
          </w:tcPr>
          <w:p>
            <w:r>
              <w:rPr>
                <w:rFonts w:ascii="Arial" w:hAnsi="Arial"/>
                <w:sz w:val="18"/>
              </w:rPr>
              <w:t>Total Cases</w:t>
            </w:r>
          </w:p>
        </w:tc>
        <w:tc>
          <w:tcPr>
            <w:tcW w:type="dxa" w:w="4320"/>
            <w:shd w:val="clear" w:color="auto" w:fill="F8FAFC"/>
          </w:tcPr>
          <w:p>
            <w:r>
              <w:rPr>
                <w:rFonts w:ascii="Arial" w:hAnsi="Arial"/>
                <w:sz w:val="18"/>
              </w:rPr>
              <w:t>50</w:t>
            </w:r>
          </w:p>
        </w:tc>
      </w:tr>
      <w:tr>
        <w:tc>
          <w:tcPr>
            <w:tcW w:type="dxa" w:w="4320"/>
          </w:tcPr>
          <w:p>
            <w:r>
              <w:rPr>
                <w:rFonts w:ascii="Arial" w:hAnsi="Arial"/>
                <w:sz w:val="18"/>
              </w:rPr>
              <w:t>Serious Cases</w:t>
            </w:r>
          </w:p>
        </w:tc>
        <w:tc>
          <w:tcPr>
            <w:tcW w:type="dxa" w:w="4320"/>
          </w:tcPr>
          <w:p>
            <w:r>
              <w:rPr>
                <w:rFonts w:ascii="Arial" w:hAnsi="Arial"/>
                <w:sz w:val="18"/>
              </w:rPr>
              <w:t>46</w:t>
            </w:r>
          </w:p>
        </w:tc>
      </w:tr>
      <w:tr>
        <w:tc>
          <w:tcPr>
            <w:tcW w:type="dxa" w:w="4320"/>
            <w:shd w:val="clear" w:color="auto" w:fill="F8FAFC"/>
          </w:tcPr>
          <w:p>
            <w:r>
              <w:rPr>
                <w:rFonts w:ascii="Arial" w:hAnsi="Arial"/>
                <w:sz w:val="18"/>
              </w:rPr>
              <w:t>Non-Serious Cases</w:t>
            </w:r>
          </w:p>
        </w:tc>
        <w:tc>
          <w:tcPr>
            <w:tcW w:type="dxa" w:w="4320"/>
            <w:shd w:val="clear" w:color="auto" w:fill="F8FAFC"/>
          </w:tcPr>
          <w:p>
            <w:r>
              <w:rPr>
                <w:rFonts w:ascii="Arial" w:hAnsi="Arial"/>
                <w:sz w:val="18"/>
              </w:rPr>
              <w:t>4</w:t>
            </w:r>
          </w:p>
        </w:tc>
      </w:tr>
      <w:tr>
        <w:tc>
          <w:tcPr>
            <w:tcW w:type="dxa" w:w="4320"/>
          </w:tcPr>
          <w:p>
            <w:r>
              <w:rPr>
                <w:rFonts w:ascii="Arial" w:hAnsi="Arial"/>
                <w:sz w:val="18"/>
              </w:rPr>
              <w:t>15-Day Alerts</w:t>
            </w:r>
          </w:p>
        </w:tc>
        <w:tc>
          <w:tcPr>
            <w:tcW w:type="dxa" w:w="4320"/>
          </w:tcPr>
          <w:p>
            <w:r>
              <w:rPr>
                <w:rFonts w:ascii="Arial" w:hAnsi="Arial"/>
                <w:sz w:val="18"/>
              </w:rPr>
              <w:t>46</w:t>
            </w:r>
          </w:p>
        </w:tc>
      </w:tr>
    </w:tbl>
    <w:p>
      <w:r>
        <w:t>The seriousness percentage of the reported cases is 92.0%, indicating a high proportion of serious cases.</w:t>
      </w:r>
    </w:p>
    <w:p>
      <w:pPr>
        <w:pStyle w:val="Heading4"/>
      </w:pPr>
      <w:r>
        <w:t>3.2 ICH E2A Seriousness Criteria Breakdown</w:t>
      </w:r>
    </w:p>
    <w:p>
      <w:r>
        <w:t>The serious cases were further categorized based on the ICH E2A seriousness criteria:</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Seriousness Criteria</w:t>
            </w:r>
          </w:p>
        </w:tc>
        <w:tc>
          <w:tcPr>
            <w:tcW w:type="dxa" w:w="4320"/>
            <w:shd w:val="clear" w:color="auto" w:fill="1E3A8A"/>
          </w:tcPr>
          <w:p>
            <w:r>
              <w:rPr>
                <w:rFonts w:ascii="Arial" w:hAnsi="Arial"/>
                <w:b/>
                <w:color w:val="FFFFFF"/>
                <w:sz w:val="19"/>
              </w:rPr>
              <w:t>Number of Cases</w:t>
            </w:r>
          </w:p>
        </w:tc>
      </w:tr>
      <w:tr>
        <w:tc>
          <w:tcPr>
            <w:tcW w:type="dxa" w:w="4320"/>
            <w:shd w:val="clear" w:color="auto" w:fill="F8FAFC"/>
          </w:tcPr>
          <w:p>
            <w:r>
              <w:rPr>
                <w:rFonts w:ascii="Arial" w:hAnsi="Arial"/>
                <w:sz w:val="18"/>
              </w:rPr>
              <w:t>Hospitalization</w:t>
            </w:r>
          </w:p>
        </w:tc>
        <w:tc>
          <w:tcPr>
            <w:tcW w:type="dxa" w:w="4320"/>
            <w:shd w:val="clear" w:color="auto" w:fill="F8FAFC"/>
          </w:tcPr>
          <w:p>
            <w:r>
              <w:rPr>
                <w:rFonts w:ascii="Arial" w:hAnsi="Arial"/>
                <w:sz w:val="18"/>
              </w:rPr>
              <w:t>33</w:t>
            </w:r>
          </w:p>
        </w:tc>
      </w:tr>
      <w:tr>
        <w:tc>
          <w:tcPr>
            <w:tcW w:type="dxa" w:w="4320"/>
          </w:tcPr>
          <w:p>
            <w:r>
              <w:rPr>
                <w:rFonts w:ascii="Arial" w:hAnsi="Arial"/>
                <w:sz w:val="18"/>
              </w:rPr>
              <w:t>Disabling</w:t>
            </w:r>
          </w:p>
        </w:tc>
        <w:tc>
          <w:tcPr>
            <w:tcW w:type="dxa" w:w="4320"/>
          </w:tcPr>
          <w:p>
            <w:r>
              <w:rPr>
                <w:rFonts w:ascii="Arial" w:hAnsi="Arial"/>
                <w:sz w:val="18"/>
              </w:rPr>
              <w:t>1</w:t>
            </w:r>
          </w:p>
        </w:tc>
      </w:tr>
      <w:tr>
        <w:tc>
          <w:tcPr>
            <w:tcW w:type="dxa" w:w="4320"/>
            <w:shd w:val="clear" w:color="auto" w:fill="F8FAFC"/>
          </w:tcPr>
          <w:p>
            <w:r>
              <w:rPr>
                <w:rFonts w:ascii="Arial" w:hAnsi="Arial"/>
                <w:sz w:val="18"/>
              </w:rPr>
              <w:t>Life-Threatening</w:t>
            </w:r>
          </w:p>
        </w:tc>
        <w:tc>
          <w:tcPr>
            <w:tcW w:type="dxa" w:w="4320"/>
            <w:shd w:val="clear" w:color="auto" w:fill="F8FAFC"/>
          </w:tcPr>
          <w:p>
            <w:r>
              <w:rPr>
                <w:rFonts w:ascii="Arial" w:hAnsi="Arial"/>
                <w:sz w:val="18"/>
              </w:rPr>
              <w:t>5</w:t>
            </w:r>
          </w:p>
        </w:tc>
      </w:tr>
      <w:tr>
        <w:tc>
          <w:tcPr>
            <w:tcW w:type="dxa" w:w="4320"/>
          </w:tcPr>
          <w:p>
            <w:r>
              <w:rPr>
                <w:rFonts w:ascii="Arial" w:hAnsi="Arial"/>
                <w:sz w:val="18"/>
              </w:rPr>
              <w:t>Death</w:t>
            </w:r>
          </w:p>
        </w:tc>
        <w:tc>
          <w:tcPr>
            <w:tcW w:type="dxa" w:w="4320"/>
          </w:tcPr>
          <w:p>
            <w:r>
              <w:rPr>
                <w:rFonts w:ascii="Arial" w:hAnsi="Arial"/>
                <w:sz w:val="18"/>
              </w:rPr>
              <w:t>5</w:t>
            </w:r>
          </w:p>
        </w:tc>
      </w:tr>
      <w:tr>
        <w:tc>
          <w:tcPr>
            <w:tcW w:type="dxa" w:w="4320"/>
            <w:shd w:val="clear" w:color="auto" w:fill="F8FAFC"/>
          </w:tcPr>
          <w:p>
            <w:r>
              <w:rPr>
                <w:rFonts w:ascii="Arial" w:hAnsi="Arial"/>
                <w:sz w:val="18"/>
              </w:rPr>
              <w:t>Other Medically Important</w:t>
            </w:r>
          </w:p>
        </w:tc>
        <w:tc>
          <w:tcPr>
            <w:tcW w:type="dxa" w:w="4320"/>
            <w:shd w:val="clear" w:color="auto" w:fill="F8FAFC"/>
          </w:tcPr>
          <w:p>
            <w:r>
              <w:rPr>
                <w:rFonts w:ascii="Arial" w:hAnsi="Arial"/>
                <w:sz w:val="18"/>
              </w:rPr>
              <w:t>8</w:t>
            </w:r>
          </w:p>
        </w:tc>
      </w:tr>
    </w:tbl>
    <w:p>
      <w:r>
        <w:t>This breakdown highlights the distribution of serious cases according to the predefined medical criteria.</w:t>
      </w:r>
    </w:p>
    <w:p>
      <w:pPr>
        <w:pStyle w:val="Heading4"/>
      </w:pPr>
      <w:r>
        <w:t>3.3 Demographic Stratification</w:t>
      </w:r>
    </w:p>
    <w:p>
      <w:r>
        <w:t>The demographic analysis of the reported cases reveals the following distributions:</w:t>
      </w:r>
    </w:p>
    <w:p>
      <w:pPr>
        <w:pStyle w:val="Heading4"/>
      </w:pPr>
      <w:r>
        <w:t>Age Groups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Age Group</w:t>
            </w:r>
          </w:p>
        </w:tc>
        <w:tc>
          <w:tcPr>
            <w:tcW w:type="dxa" w:w="4320"/>
            <w:shd w:val="clear" w:color="auto" w:fill="1E3A8A"/>
          </w:tcPr>
          <w:p>
            <w:r>
              <w:rPr>
                <w:rFonts w:ascii="Arial" w:hAnsi="Arial"/>
                <w:b/>
                <w:color w:val="FFFFFF"/>
                <w:sz w:val="19"/>
              </w:rPr>
              <w:t>Number of Cases</w:t>
            </w:r>
          </w:p>
        </w:tc>
      </w:tr>
      <w:tr>
        <w:tc>
          <w:tcPr>
            <w:tcW w:type="dxa" w:w="4320"/>
            <w:shd w:val="clear" w:color="auto" w:fill="F8FAFC"/>
          </w:tcPr>
          <w:p>
            <w:r>
              <w:rPr>
                <w:rFonts w:ascii="Arial" w:hAnsi="Arial"/>
                <w:sz w:val="18"/>
              </w:rPr>
              <w:t>Pediatric (&lt;18)</w:t>
            </w:r>
          </w:p>
        </w:tc>
        <w:tc>
          <w:tcPr>
            <w:tcW w:type="dxa" w:w="4320"/>
            <w:shd w:val="clear" w:color="auto" w:fill="F8FAFC"/>
          </w:tcPr>
          <w:p>
            <w:r>
              <w:rPr>
                <w:rFonts w:ascii="Arial" w:hAnsi="Arial"/>
                <w:sz w:val="18"/>
              </w:rPr>
              <w:t>0</w:t>
            </w:r>
          </w:p>
        </w:tc>
      </w:tr>
      <w:tr>
        <w:tc>
          <w:tcPr>
            <w:tcW w:type="dxa" w:w="4320"/>
          </w:tcPr>
          <w:p>
            <w:r>
              <w:rPr>
                <w:rFonts w:ascii="Arial" w:hAnsi="Arial"/>
                <w:sz w:val="18"/>
              </w:rPr>
              <w:t>Adult (18-64)</w:t>
            </w:r>
          </w:p>
        </w:tc>
        <w:tc>
          <w:tcPr>
            <w:tcW w:type="dxa" w:w="4320"/>
          </w:tcPr>
          <w:p>
            <w:r>
              <w:rPr>
                <w:rFonts w:ascii="Arial" w:hAnsi="Arial"/>
                <w:sz w:val="18"/>
              </w:rPr>
              <w:t>28</w:t>
            </w:r>
          </w:p>
        </w:tc>
      </w:tr>
      <w:tr>
        <w:tc>
          <w:tcPr>
            <w:tcW w:type="dxa" w:w="4320"/>
            <w:shd w:val="clear" w:color="auto" w:fill="F8FAFC"/>
          </w:tcPr>
          <w:p>
            <w:r>
              <w:rPr>
                <w:rFonts w:ascii="Arial" w:hAnsi="Arial"/>
                <w:sz w:val="18"/>
              </w:rPr>
              <w:t>Elderly (65+)</w:t>
            </w:r>
          </w:p>
        </w:tc>
        <w:tc>
          <w:tcPr>
            <w:tcW w:type="dxa" w:w="4320"/>
            <w:shd w:val="clear" w:color="auto" w:fill="F8FAFC"/>
          </w:tcPr>
          <w:p>
            <w:r>
              <w:rPr>
                <w:rFonts w:ascii="Arial" w:hAnsi="Arial"/>
                <w:sz w:val="18"/>
              </w:rPr>
              <w:t>22</w:t>
            </w:r>
          </w:p>
        </w:tc>
      </w:tr>
      <w:tr>
        <w:tc>
          <w:tcPr>
            <w:tcW w:type="dxa" w:w="4320"/>
          </w:tcPr>
          <w:p>
            <w:r>
              <w:rPr>
                <w:rFonts w:ascii="Arial" w:hAnsi="Arial"/>
                <w:sz w:val="18"/>
              </w:rPr>
              <w:t>Unknown</w:t>
            </w:r>
          </w:p>
        </w:tc>
        <w:tc>
          <w:tcPr>
            <w:tcW w:type="dxa" w:w="4320"/>
          </w:tcPr>
          <w:p>
            <w:r>
              <w:rPr>
                <w:rFonts w:ascii="Arial" w:hAnsi="Arial"/>
                <w:sz w:val="18"/>
              </w:rPr>
              <w:t>0</w:t>
            </w:r>
          </w:p>
        </w:tc>
      </w:tr>
    </w:tbl>
    <w:p>
      <w:pPr>
        <w:pStyle w:val="Heading4"/>
      </w:pPr>
      <w:r>
        <w:t>Sex</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Sex</w:t>
            </w:r>
          </w:p>
        </w:tc>
        <w:tc>
          <w:tcPr>
            <w:tcW w:type="dxa" w:w="4320"/>
            <w:shd w:val="clear" w:color="auto" w:fill="1E3A8A"/>
          </w:tcPr>
          <w:p>
            <w:r>
              <w:rPr>
                <w:rFonts w:ascii="Arial" w:hAnsi="Arial"/>
                <w:b/>
                <w:color w:val="FFFFFF"/>
                <w:sz w:val="19"/>
              </w:rPr>
              <w:t>Number of Cases</w:t>
            </w:r>
          </w:p>
        </w:tc>
      </w:tr>
      <w:tr>
        <w:tc>
          <w:tcPr>
            <w:tcW w:type="dxa" w:w="4320"/>
            <w:shd w:val="clear" w:color="auto" w:fill="F8FAFC"/>
          </w:tcPr>
          <w:p>
            <w:r>
              <w:rPr>
                <w:rFonts w:ascii="Arial" w:hAnsi="Arial"/>
                <w:sz w:val="18"/>
              </w:rPr>
              <w:t>Male</w:t>
            </w:r>
          </w:p>
        </w:tc>
        <w:tc>
          <w:tcPr>
            <w:tcW w:type="dxa" w:w="4320"/>
            <w:shd w:val="clear" w:color="auto" w:fill="F8FAFC"/>
          </w:tcPr>
          <w:p>
            <w:r>
              <w:rPr>
                <w:rFonts w:ascii="Arial" w:hAnsi="Arial"/>
                <w:sz w:val="18"/>
              </w:rPr>
              <w:t>21</w:t>
            </w:r>
          </w:p>
        </w:tc>
      </w:tr>
      <w:tr>
        <w:tc>
          <w:tcPr>
            <w:tcW w:type="dxa" w:w="4320"/>
          </w:tcPr>
          <w:p>
            <w:r>
              <w:rPr>
                <w:rFonts w:ascii="Arial" w:hAnsi="Arial"/>
                <w:sz w:val="18"/>
              </w:rPr>
              <w:t>Female</w:t>
            </w:r>
          </w:p>
        </w:tc>
        <w:tc>
          <w:tcPr>
            <w:tcW w:type="dxa" w:w="4320"/>
          </w:tcPr>
          <w:p>
            <w:r>
              <w:rPr>
                <w:rFonts w:ascii="Arial" w:hAnsi="Arial"/>
                <w:sz w:val="18"/>
              </w:rPr>
              <w:t>29</w:t>
            </w:r>
          </w:p>
        </w:tc>
      </w:tr>
      <w:tr>
        <w:tc>
          <w:tcPr>
            <w:tcW w:type="dxa" w:w="4320"/>
            <w:shd w:val="clear" w:color="auto" w:fill="F8FAFC"/>
          </w:tcPr>
          <w:p>
            <w:r>
              <w:rPr>
                <w:rFonts w:ascii="Arial" w:hAnsi="Arial"/>
                <w:sz w:val="18"/>
              </w:rPr>
              <w:t>Unknown</w:t>
            </w:r>
          </w:p>
        </w:tc>
        <w:tc>
          <w:tcPr>
            <w:tcW w:type="dxa" w:w="4320"/>
            <w:shd w:val="clear" w:color="auto" w:fill="F8FAFC"/>
          </w:tcPr>
          <w:p>
            <w:r>
              <w:rPr>
                <w:rFonts w:ascii="Arial" w:hAnsi="Arial"/>
                <w:sz w:val="18"/>
              </w:rPr>
              <w:t>0</w:t>
            </w:r>
          </w:p>
        </w:tc>
      </w:tr>
    </w:tbl>
    <w:p>
      <w:pPr>
        <w:pStyle w:val="Heading4"/>
      </w:pPr>
      <w:r>
        <w:t>Top Countries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Country</w:t>
            </w:r>
          </w:p>
        </w:tc>
        <w:tc>
          <w:tcPr>
            <w:tcW w:type="dxa" w:w="4320"/>
            <w:shd w:val="clear" w:color="auto" w:fill="1E3A8A"/>
          </w:tcPr>
          <w:p>
            <w:r>
              <w:rPr>
                <w:rFonts w:ascii="Arial" w:hAnsi="Arial"/>
                <w:b/>
                <w:color w:val="FFFFFF"/>
                <w:sz w:val="19"/>
              </w:rPr>
              <w:t>Number of Cases</w:t>
            </w:r>
          </w:p>
        </w:tc>
      </w:tr>
      <w:tr>
        <w:tc>
          <w:tcPr>
            <w:tcW w:type="dxa" w:w="4320"/>
            <w:shd w:val="clear" w:color="auto" w:fill="F8FAFC"/>
          </w:tcPr>
          <w:p>
            <w:r>
              <w:rPr>
                <w:rFonts w:ascii="Arial" w:hAnsi="Arial"/>
                <w:sz w:val="18"/>
              </w:rPr>
              <w:t>Spain</w:t>
            </w:r>
          </w:p>
        </w:tc>
        <w:tc>
          <w:tcPr>
            <w:tcW w:type="dxa" w:w="4320"/>
            <w:shd w:val="clear" w:color="auto" w:fill="F8FAFC"/>
          </w:tcPr>
          <w:p>
            <w:r>
              <w:rPr>
                <w:rFonts w:ascii="Arial" w:hAnsi="Arial"/>
                <w:sz w:val="18"/>
              </w:rPr>
              <w:t>9</w:t>
            </w:r>
          </w:p>
        </w:tc>
      </w:tr>
      <w:tr>
        <w:tc>
          <w:tcPr>
            <w:tcW w:type="dxa" w:w="4320"/>
          </w:tcPr>
          <w:p>
            <w:r>
              <w:rPr>
                <w:rFonts w:ascii="Arial" w:hAnsi="Arial"/>
                <w:sz w:val="18"/>
              </w:rPr>
              <w:t>United Kingdom</w:t>
            </w:r>
          </w:p>
        </w:tc>
        <w:tc>
          <w:tcPr>
            <w:tcW w:type="dxa" w:w="4320"/>
          </w:tcPr>
          <w:p>
            <w:r>
              <w:rPr>
                <w:rFonts w:ascii="Arial" w:hAnsi="Arial"/>
                <w:sz w:val="18"/>
              </w:rPr>
              <w:t>8</w:t>
            </w:r>
          </w:p>
        </w:tc>
      </w:tr>
      <w:tr>
        <w:tc>
          <w:tcPr>
            <w:tcW w:type="dxa" w:w="4320"/>
            <w:shd w:val="clear" w:color="auto" w:fill="F8FAFC"/>
          </w:tcPr>
          <w:p>
            <w:r>
              <w:rPr>
                <w:rFonts w:ascii="Arial" w:hAnsi="Arial"/>
                <w:sz w:val="18"/>
              </w:rPr>
              <w:t>Canada</w:t>
            </w:r>
          </w:p>
        </w:tc>
        <w:tc>
          <w:tcPr>
            <w:tcW w:type="dxa" w:w="4320"/>
            <w:shd w:val="clear" w:color="auto" w:fill="F8FAFC"/>
          </w:tcPr>
          <w:p>
            <w:r>
              <w:rPr>
                <w:rFonts w:ascii="Arial" w:hAnsi="Arial"/>
                <w:sz w:val="18"/>
              </w:rPr>
              <w:t>7</w:t>
            </w:r>
          </w:p>
        </w:tc>
      </w:tr>
      <w:tr>
        <w:tc>
          <w:tcPr>
            <w:tcW w:type="dxa" w:w="4320"/>
          </w:tcPr>
          <w:p>
            <w:r>
              <w:rPr>
                <w:rFonts w:ascii="Arial" w:hAnsi="Arial"/>
                <w:sz w:val="18"/>
              </w:rPr>
              <w:t>Japan</w:t>
            </w:r>
          </w:p>
        </w:tc>
        <w:tc>
          <w:tcPr>
            <w:tcW w:type="dxa" w:w="4320"/>
          </w:tcPr>
          <w:p>
            <w:r>
              <w:rPr>
                <w:rFonts w:ascii="Arial" w:hAnsi="Arial"/>
                <w:sz w:val="18"/>
              </w:rPr>
              <w:t>6</w:t>
            </w:r>
          </w:p>
        </w:tc>
      </w:tr>
      <w:tr>
        <w:tc>
          <w:tcPr>
            <w:tcW w:type="dxa" w:w="4320"/>
            <w:shd w:val="clear" w:color="auto" w:fill="F8FAFC"/>
          </w:tcPr>
          <w:p>
            <w:r>
              <w:rPr>
                <w:rFonts w:ascii="Arial" w:hAnsi="Arial"/>
                <w:sz w:val="18"/>
              </w:rPr>
              <w:t>France</w:t>
            </w:r>
          </w:p>
        </w:tc>
        <w:tc>
          <w:tcPr>
            <w:tcW w:type="dxa" w:w="4320"/>
            <w:shd w:val="clear" w:color="auto" w:fill="F8FAFC"/>
          </w:tcPr>
          <w:p>
            <w:r>
              <w:rPr>
                <w:rFonts w:ascii="Arial" w:hAnsi="Arial"/>
                <w:sz w:val="18"/>
              </w:rPr>
              <w:t>6</w:t>
            </w:r>
          </w:p>
        </w:tc>
      </w:tr>
      <w:tr>
        <w:tc>
          <w:tcPr>
            <w:tcW w:type="dxa" w:w="4320"/>
          </w:tcPr>
          <w:p>
            <w:r>
              <w:rPr>
                <w:rFonts w:ascii="Arial" w:hAnsi="Arial"/>
                <w:sz w:val="18"/>
              </w:rPr>
              <w:t>Italy</w:t>
            </w:r>
          </w:p>
        </w:tc>
        <w:tc>
          <w:tcPr>
            <w:tcW w:type="dxa" w:w="4320"/>
          </w:tcPr>
          <w:p>
            <w:r>
              <w:rPr>
                <w:rFonts w:ascii="Arial" w:hAnsi="Arial"/>
                <w:sz w:val="18"/>
              </w:rPr>
              <w:t>6</w:t>
            </w:r>
          </w:p>
        </w:tc>
      </w:tr>
      <w:tr>
        <w:tc>
          <w:tcPr>
            <w:tcW w:type="dxa" w:w="4320"/>
            <w:shd w:val="clear" w:color="auto" w:fill="F8FAFC"/>
          </w:tcPr>
          <w:p>
            <w:r>
              <w:rPr>
                <w:rFonts w:ascii="Arial" w:hAnsi="Arial"/>
                <w:sz w:val="18"/>
              </w:rPr>
              <w:t>Germany</w:t>
            </w:r>
          </w:p>
        </w:tc>
        <w:tc>
          <w:tcPr>
            <w:tcW w:type="dxa" w:w="4320"/>
            <w:shd w:val="clear" w:color="auto" w:fill="F8FAFC"/>
          </w:tcPr>
          <w:p>
            <w:r>
              <w:rPr>
                <w:rFonts w:ascii="Arial" w:hAnsi="Arial"/>
                <w:sz w:val="18"/>
              </w:rPr>
              <w:t>4</w:t>
            </w:r>
          </w:p>
        </w:tc>
      </w:tr>
      <w:tr>
        <w:tc>
          <w:tcPr>
            <w:tcW w:type="dxa" w:w="4320"/>
          </w:tcPr>
          <w:p>
            <w:r>
              <w:rPr>
                <w:rFonts w:ascii="Arial" w:hAnsi="Arial"/>
                <w:sz w:val="18"/>
              </w:rPr>
              <w:t>United States</w:t>
            </w:r>
          </w:p>
        </w:tc>
        <w:tc>
          <w:tcPr>
            <w:tcW w:type="dxa" w:w="4320"/>
          </w:tcPr>
          <w:p>
            <w:r>
              <w:rPr>
                <w:rFonts w:ascii="Arial" w:hAnsi="Arial"/>
                <w:sz w:val="18"/>
              </w:rPr>
              <w:t>4</w:t>
            </w:r>
          </w:p>
        </w:tc>
      </w:tr>
    </w:tbl>
    <w:p>
      <w:pPr>
        <w:pStyle w:val="Heading4"/>
      </w:pPr>
      <w:r>
        <w:t>3.4 Primary Source Reporter Qualifications</w:t>
      </w:r>
    </w:p>
    <w:p>
      <w:r>
        <w:t>The primary source of the reports was categorized by the qualifications of the reporters: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Reporter Qualification</w:t>
            </w:r>
          </w:p>
        </w:tc>
        <w:tc>
          <w:tcPr>
            <w:tcW w:type="dxa" w:w="4320"/>
            <w:shd w:val="clear" w:color="auto" w:fill="1E3A8A"/>
          </w:tcPr>
          <w:p>
            <w:r>
              <w:rPr>
                <w:rFonts w:ascii="Arial" w:hAnsi="Arial"/>
                <w:b/>
                <w:color w:val="FFFFFF"/>
                <w:sz w:val="19"/>
              </w:rPr>
              <w:t>Number of Cases</w:t>
            </w:r>
          </w:p>
        </w:tc>
      </w:tr>
      <w:tr>
        <w:tc>
          <w:tcPr>
            <w:tcW w:type="dxa" w:w="4320"/>
            <w:shd w:val="clear" w:color="auto" w:fill="F8FAFC"/>
          </w:tcPr>
          <w:p>
            <w:r>
              <w:rPr>
                <w:rFonts w:ascii="Arial" w:hAnsi="Arial"/>
                <w:sz w:val="18"/>
              </w:rPr>
              <w:t>Pharmacist</w:t>
            </w:r>
          </w:p>
        </w:tc>
        <w:tc>
          <w:tcPr>
            <w:tcW w:type="dxa" w:w="4320"/>
            <w:shd w:val="clear" w:color="auto" w:fill="F8FAFC"/>
          </w:tcPr>
          <w:p>
            <w:r>
              <w:rPr>
                <w:rFonts w:ascii="Arial" w:hAnsi="Arial"/>
                <w:sz w:val="18"/>
              </w:rPr>
              <w:t>15</w:t>
            </w:r>
          </w:p>
        </w:tc>
      </w:tr>
      <w:tr>
        <w:tc>
          <w:tcPr>
            <w:tcW w:type="dxa" w:w="4320"/>
          </w:tcPr>
          <w:p>
            <w:r>
              <w:rPr>
                <w:rFonts w:ascii="Arial" w:hAnsi="Arial"/>
                <w:sz w:val="18"/>
              </w:rPr>
              <w:t>Physician</w:t>
            </w:r>
          </w:p>
        </w:tc>
        <w:tc>
          <w:tcPr>
            <w:tcW w:type="dxa" w:w="4320"/>
          </w:tcPr>
          <w:p>
            <w:r>
              <w:rPr>
                <w:rFonts w:ascii="Arial" w:hAnsi="Arial"/>
                <w:sz w:val="18"/>
              </w:rPr>
              <w:t>12</w:t>
            </w:r>
          </w:p>
        </w:tc>
      </w:tr>
      <w:tr>
        <w:tc>
          <w:tcPr>
            <w:tcW w:type="dxa" w:w="4320"/>
            <w:shd w:val="clear" w:color="auto" w:fill="F8FAFC"/>
          </w:tcPr>
          <w:p>
            <w:r>
              <w:rPr>
                <w:rFonts w:ascii="Arial" w:hAnsi="Arial"/>
                <w:sz w:val="18"/>
              </w:rPr>
              <w:t>Consumer Or Non-Health Professional</w:t>
            </w:r>
          </w:p>
        </w:tc>
        <w:tc>
          <w:tcPr>
            <w:tcW w:type="dxa" w:w="4320"/>
            <w:shd w:val="clear" w:color="auto" w:fill="F8FAFC"/>
          </w:tcPr>
          <w:p>
            <w:r>
              <w:rPr>
                <w:rFonts w:ascii="Arial" w:hAnsi="Arial"/>
                <w:sz w:val="18"/>
              </w:rPr>
              <w:t>12</w:t>
            </w:r>
          </w:p>
        </w:tc>
      </w:tr>
      <w:tr>
        <w:tc>
          <w:tcPr>
            <w:tcW w:type="dxa" w:w="4320"/>
          </w:tcPr>
          <w:p>
            <w:r>
              <w:rPr>
                <w:rFonts w:ascii="Arial" w:hAnsi="Arial"/>
                <w:sz w:val="18"/>
              </w:rPr>
              <w:t>Other Health Professional</w:t>
            </w:r>
          </w:p>
        </w:tc>
        <w:tc>
          <w:tcPr>
            <w:tcW w:type="dxa" w:w="4320"/>
          </w:tcPr>
          <w:p>
            <w:r>
              <w:rPr>
                <w:rFonts w:ascii="Arial" w:hAnsi="Arial"/>
                <w:sz w:val="18"/>
              </w:rPr>
              <w:t>11</w:t>
            </w:r>
          </w:p>
        </w:tc>
      </w:tr>
    </w:tbl>
    <w:p>
      <w:r>
        <w:t>This analysis provides an overview of the case volume, seriousness, demographic characteristics, and reporter qualifications for the reported cases of Bisoprolol.</w:t>
      </w:r>
    </w:p>
    <w:p>
      <w:pPr>
        <w:pStyle w:val="Heading2"/>
      </w:pPr>
      <w:r>
        <w:t>4. Reaction / Adverse Event Analysis</w:t>
      </w:r>
    </w:p>
    <w:p>
      <w:r>
        <w:t>Status: ⏳ Pending Sign-off</w:t>
      </w:r>
    </w:p>
    <w:p>
      <w:pPr>
        <w:pStyle w:val="Heading2"/>
      </w:pPr>
      <w:r>
        <w:t>4. Reaction / Adverse Event Analysis</w:t>
      </w:r>
    </w:p>
    <w:p>
      <w:r>
        <w:t>This section presents a comprehensive analysis of the adverse events reported during the specified interval. The analysis is based on the MedDRA Preferred Terms (PTs) reported in the Individual Case Safety Reports (ICSRs).</w:t>
      </w:r>
    </w:p>
    <w:p>
      <w:pPr>
        <w:pStyle w:val="Heading3"/>
      </w:pPr>
      <w:r>
        <w:t>Regulatory Note</w:t>
      </w:r>
    </w:p>
    <w:p>
      <w:r>
        <w:t>It is noteworthy that the System Organ Class (SOC) attributes were not present in the raw ICSR dataset. Consequently, the analysis is presented at the Preferred Term (PT) level, in accordance with FDA reporting guidelines.</w:t>
      </w:r>
    </w:p>
    <w:p>
      <w:pPr>
        <w:pStyle w:val="Heading3"/>
      </w:pPr>
      <w:r>
        <w:t>Top 10 MedDRA Preferred Terms (PTs) Across All Reports</w:t>
      </w:r>
    </w:p>
    <w:p>
      <w:r>
        <w:t>The following table lists the top 10 MedDRA PTs reported across all cases: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MedDRA PT</w:t>
            </w:r>
          </w:p>
        </w:tc>
        <w:tc>
          <w:tcPr>
            <w:tcW w:type="dxa" w:w="4320"/>
            <w:shd w:val="clear" w:color="auto" w:fill="1E3A8A"/>
          </w:tcPr>
          <w:p>
            <w:r>
              <w:rPr>
                <w:rFonts w:ascii="Arial" w:hAnsi="Arial"/>
                <w:b/>
                <w:color w:val="FFFFFF"/>
                <w:sz w:val="19"/>
              </w:rPr>
              <w:t>Frequency</w:t>
            </w:r>
          </w:p>
        </w:tc>
      </w:tr>
      <w:tr>
        <w:tc>
          <w:tcPr>
            <w:tcW w:type="dxa" w:w="4320"/>
            <w:shd w:val="clear" w:color="auto" w:fill="F8FAFC"/>
          </w:tcPr>
          <w:p>
            <w:r>
              <w:rPr>
                <w:rFonts w:ascii="Arial" w:hAnsi="Arial"/>
                <w:sz w:val="18"/>
              </w:rPr>
              <w:t>Melaena</w:t>
            </w:r>
          </w:p>
        </w:tc>
        <w:tc>
          <w:tcPr>
            <w:tcW w:type="dxa" w:w="4320"/>
            <w:shd w:val="clear" w:color="auto" w:fill="F8FAFC"/>
          </w:tcPr>
          <w:p>
            <w:r>
              <w:rPr>
                <w:rFonts w:ascii="Arial" w:hAnsi="Arial"/>
                <w:sz w:val="18"/>
              </w:rPr>
              <w:t>22</w:t>
            </w:r>
          </w:p>
        </w:tc>
      </w:tr>
      <w:tr>
        <w:tc>
          <w:tcPr>
            <w:tcW w:type="dxa" w:w="4320"/>
          </w:tcPr>
          <w:p>
            <w:r>
              <w:rPr>
                <w:rFonts w:ascii="Arial" w:hAnsi="Arial"/>
                <w:sz w:val="18"/>
              </w:rPr>
              <w:t>Haematuria</w:t>
            </w:r>
          </w:p>
        </w:tc>
        <w:tc>
          <w:tcPr>
            <w:tcW w:type="dxa" w:w="4320"/>
          </w:tcPr>
          <w:p>
            <w:r>
              <w:rPr>
                <w:rFonts w:ascii="Arial" w:hAnsi="Arial"/>
                <w:sz w:val="18"/>
              </w:rPr>
              <w:t>16</w:t>
            </w:r>
          </w:p>
        </w:tc>
      </w:tr>
      <w:tr>
        <w:tc>
          <w:tcPr>
            <w:tcW w:type="dxa" w:w="4320"/>
            <w:shd w:val="clear" w:color="auto" w:fill="F8FAFC"/>
          </w:tcPr>
          <w:p>
            <w:r>
              <w:rPr>
                <w:rFonts w:ascii="Arial" w:hAnsi="Arial"/>
                <w:sz w:val="18"/>
              </w:rPr>
              <w:t>Contusion</w:t>
            </w:r>
          </w:p>
        </w:tc>
        <w:tc>
          <w:tcPr>
            <w:tcW w:type="dxa" w:w="4320"/>
            <w:shd w:val="clear" w:color="auto" w:fill="F8FAFC"/>
          </w:tcPr>
          <w:p>
            <w:r>
              <w:rPr>
                <w:rFonts w:ascii="Arial" w:hAnsi="Arial"/>
                <w:sz w:val="18"/>
              </w:rPr>
              <w:t>14</w:t>
            </w:r>
          </w:p>
        </w:tc>
      </w:tr>
      <w:tr>
        <w:tc>
          <w:tcPr>
            <w:tcW w:type="dxa" w:w="4320"/>
          </w:tcPr>
          <w:p>
            <w:r>
              <w:rPr>
                <w:rFonts w:ascii="Arial" w:hAnsi="Arial"/>
                <w:sz w:val="18"/>
              </w:rPr>
              <w:t>Haematoma</w:t>
            </w:r>
          </w:p>
        </w:tc>
        <w:tc>
          <w:tcPr>
            <w:tcW w:type="dxa" w:w="4320"/>
          </w:tcPr>
          <w:p>
            <w:r>
              <w:rPr>
                <w:rFonts w:ascii="Arial" w:hAnsi="Arial"/>
                <w:sz w:val="18"/>
              </w:rPr>
              <w:t>14</w:t>
            </w:r>
          </w:p>
        </w:tc>
      </w:tr>
      <w:tr>
        <w:tc>
          <w:tcPr>
            <w:tcW w:type="dxa" w:w="4320"/>
            <w:shd w:val="clear" w:color="auto" w:fill="F8FAFC"/>
          </w:tcPr>
          <w:p>
            <w:r>
              <w:rPr>
                <w:rFonts w:ascii="Arial" w:hAnsi="Arial"/>
                <w:sz w:val="18"/>
              </w:rPr>
              <w:t>Epistaxis</w:t>
            </w:r>
          </w:p>
        </w:tc>
        <w:tc>
          <w:tcPr>
            <w:tcW w:type="dxa" w:w="4320"/>
            <w:shd w:val="clear" w:color="auto" w:fill="F8FAFC"/>
          </w:tcPr>
          <w:p>
            <w:r>
              <w:rPr>
                <w:rFonts w:ascii="Arial" w:hAnsi="Arial"/>
                <w:sz w:val="18"/>
              </w:rPr>
              <w:t>12</w:t>
            </w:r>
          </w:p>
        </w:tc>
      </w:tr>
      <w:tr>
        <w:tc>
          <w:tcPr>
            <w:tcW w:type="dxa" w:w="4320"/>
          </w:tcPr>
          <w:p>
            <w:r>
              <w:rPr>
                <w:rFonts w:ascii="Arial" w:hAnsi="Arial"/>
                <w:sz w:val="18"/>
              </w:rPr>
              <w:t>Gastrointestinal haemorrhage</w:t>
            </w:r>
          </w:p>
        </w:tc>
        <w:tc>
          <w:tcPr>
            <w:tcW w:type="dxa" w:w="4320"/>
          </w:tcPr>
          <w:p>
            <w:r>
              <w:rPr>
                <w:rFonts w:ascii="Arial" w:hAnsi="Arial"/>
                <w:sz w:val="18"/>
              </w:rPr>
              <w:t>12</w:t>
            </w:r>
          </w:p>
        </w:tc>
      </w:tr>
      <w:tr>
        <w:tc>
          <w:tcPr>
            <w:tcW w:type="dxa" w:w="4320"/>
            <w:shd w:val="clear" w:color="auto" w:fill="F8FAFC"/>
          </w:tcPr>
          <w:p>
            <w:r>
              <w:rPr>
                <w:rFonts w:ascii="Arial" w:hAnsi="Arial"/>
                <w:sz w:val="18"/>
              </w:rPr>
              <w:t>Anaemia</w:t>
            </w:r>
          </w:p>
        </w:tc>
        <w:tc>
          <w:tcPr>
            <w:tcW w:type="dxa" w:w="4320"/>
            <w:shd w:val="clear" w:color="auto" w:fill="F8FAFC"/>
          </w:tcPr>
          <w:p>
            <w:r>
              <w:rPr>
                <w:rFonts w:ascii="Arial" w:hAnsi="Arial"/>
                <w:sz w:val="18"/>
              </w:rPr>
              <w:t>8</w:t>
            </w:r>
          </w:p>
        </w:tc>
      </w:tr>
      <w:tr>
        <w:tc>
          <w:tcPr>
            <w:tcW w:type="dxa" w:w="4320"/>
          </w:tcPr>
          <w:p>
            <w:r>
              <w:rPr>
                <w:rFonts w:ascii="Arial" w:hAnsi="Arial"/>
                <w:sz w:val="18"/>
              </w:rPr>
              <w:t>Rectal haemorrhage</w:t>
            </w:r>
          </w:p>
        </w:tc>
        <w:tc>
          <w:tcPr>
            <w:tcW w:type="dxa" w:w="4320"/>
          </w:tcPr>
          <w:p>
            <w:r>
              <w:rPr>
                <w:rFonts w:ascii="Arial" w:hAnsi="Arial"/>
                <w:sz w:val="18"/>
              </w:rPr>
              <w:t>7</w:t>
            </w:r>
          </w:p>
        </w:tc>
      </w:tr>
    </w:tbl>
    <w:p>
      <w:pPr>
        <w:pStyle w:val="Heading3"/>
      </w:pPr>
      <w:r>
        <w:t>Top 10 MedDRA Preferred Terms Among Serious Reports</w:t>
      </w:r>
    </w:p>
    <w:p>
      <w:r>
        <w:t>The following table lists the top 10 MedDRA PTs reported among serious cases: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MedDRA PT</w:t>
            </w:r>
          </w:p>
        </w:tc>
        <w:tc>
          <w:tcPr>
            <w:tcW w:type="dxa" w:w="4320"/>
            <w:shd w:val="clear" w:color="auto" w:fill="1E3A8A"/>
          </w:tcPr>
          <w:p>
            <w:r>
              <w:rPr>
                <w:rFonts w:ascii="Arial" w:hAnsi="Arial"/>
                <w:b/>
                <w:color w:val="FFFFFF"/>
                <w:sz w:val="19"/>
              </w:rPr>
              <w:t>Frequency</w:t>
            </w:r>
          </w:p>
        </w:tc>
      </w:tr>
      <w:tr>
        <w:tc>
          <w:tcPr>
            <w:tcW w:type="dxa" w:w="4320"/>
            <w:shd w:val="clear" w:color="auto" w:fill="F8FAFC"/>
          </w:tcPr>
          <w:p>
            <w:r>
              <w:rPr>
                <w:rFonts w:ascii="Arial" w:hAnsi="Arial"/>
                <w:sz w:val="18"/>
              </w:rPr>
              <w:t>Melaena</w:t>
            </w:r>
          </w:p>
        </w:tc>
        <w:tc>
          <w:tcPr>
            <w:tcW w:type="dxa" w:w="4320"/>
            <w:shd w:val="clear" w:color="auto" w:fill="F8FAFC"/>
          </w:tcPr>
          <w:p>
            <w:r>
              <w:rPr>
                <w:rFonts w:ascii="Arial" w:hAnsi="Arial"/>
                <w:sz w:val="18"/>
              </w:rPr>
              <w:t>21</w:t>
            </w:r>
          </w:p>
        </w:tc>
      </w:tr>
      <w:tr>
        <w:tc>
          <w:tcPr>
            <w:tcW w:type="dxa" w:w="4320"/>
          </w:tcPr>
          <w:p>
            <w:r>
              <w:rPr>
                <w:rFonts w:ascii="Arial" w:hAnsi="Arial"/>
                <w:sz w:val="18"/>
              </w:rPr>
              <w:t>Haematuria</w:t>
            </w:r>
          </w:p>
        </w:tc>
        <w:tc>
          <w:tcPr>
            <w:tcW w:type="dxa" w:w="4320"/>
          </w:tcPr>
          <w:p>
            <w:r>
              <w:rPr>
                <w:rFonts w:ascii="Arial" w:hAnsi="Arial"/>
                <w:sz w:val="18"/>
              </w:rPr>
              <w:t>16</w:t>
            </w:r>
          </w:p>
        </w:tc>
      </w:tr>
      <w:tr>
        <w:tc>
          <w:tcPr>
            <w:tcW w:type="dxa" w:w="4320"/>
            <w:shd w:val="clear" w:color="auto" w:fill="F8FAFC"/>
          </w:tcPr>
          <w:p>
            <w:r>
              <w:rPr>
                <w:rFonts w:ascii="Arial" w:hAnsi="Arial"/>
                <w:sz w:val="18"/>
              </w:rPr>
              <w:t>Haematoma</w:t>
            </w:r>
          </w:p>
        </w:tc>
        <w:tc>
          <w:tcPr>
            <w:tcW w:type="dxa" w:w="4320"/>
            <w:shd w:val="clear" w:color="auto" w:fill="F8FAFC"/>
          </w:tcPr>
          <w:p>
            <w:r>
              <w:rPr>
                <w:rFonts w:ascii="Arial" w:hAnsi="Arial"/>
                <w:sz w:val="18"/>
              </w:rPr>
              <w:t>13</w:t>
            </w:r>
          </w:p>
        </w:tc>
      </w:tr>
      <w:tr>
        <w:tc>
          <w:tcPr>
            <w:tcW w:type="dxa" w:w="4320"/>
          </w:tcPr>
          <w:p>
            <w:r>
              <w:rPr>
                <w:rFonts w:ascii="Arial" w:hAnsi="Arial"/>
                <w:sz w:val="18"/>
              </w:rPr>
              <w:t>Contusion</w:t>
            </w:r>
          </w:p>
        </w:tc>
        <w:tc>
          <w:tcPr>
            <w:tcW w:type="dxa" w:w="4320"/>
          </w:tcPr>
          <w:p>
            <w:r>
              <w:rPr>
                <w:rFonts w:ascii="Arial" w:hAnsi="Arial"/>
                <w:sz w:val="18"/>
              </w:rPr>
              <w:t>11</w:t>
            </w:r>
          </w:p>
        </w:tc>
      </w:tr>
      <w:tr>
        <w:tc>
          <w:tcPr>
            <w:tcW w:type="dxa" w:w="4320"/>
            <w:shd w:val="clear" w:color="auto" w:fill="F8FAFC"/>
          </w:tcPr>
          <w:p>
            <w:r>
              <w:rPr>
                <w:rFonts w:ascii="Arial" w:hAnsi="Arial"/>
                <w:sz w:val="18"/>
              </w:rPr>
              <w:t>Epistaxis</w:t>
            </w:r>
          </w:p>
        </w:tc>
        <w:tc>
          <w:tcPr>
            <w:tcW w:type="dxa" w:w="4320"/>
            <w:shd w:val="clear" w:color="auto" w:fill="F8FAFC"/>
          </w:tcPr>
          <w:p>
            <w:r>
              <w:rPr>
                <w:rFonts w:ascii="Arial" w:hAnsi="Arial"/>
                <w:sz w:val="18"/>
              </w:rPr>
              <w:t>10</w:t>
            </w:r>
          </w:p>
        </w:tc>
      </w:tr>
      <w:tr>
        <w:tc>
          <w:tcPr>
            <w:tcW w:type="dxa" w:w="4320"/>
          </w:tcPr>
          <w:p>
            <w:r>
              <w:rPr>
                <w:rFonts w:ascii="Arial" w:hAnsi="Arial"/>
                <w:sz w:val="18"/>
              </w:rPr>
              <w:t>Gastrointestinal haemorrhage</w:t>
            </w:r>
          </w:p>
        </w:tc>
        <w:tc>
          <w:tcPr>
            <w:tcW w:type="dxa" w:w="4320"/>
          </w:tcPr>
          <w:p>
            <w:r>
              <w:rPr>
                <w:rFonts w:ascii="Arial" w:hAnsi="Arial"/>
                <w:sz w:val="18"/>
              </w:rPr>
              <w:t>10</w:t>
            </w:r>
          </w:p>
        </w:tc>
      </w:tr>
      <w:tr>
        <w:tc>
          <w:tcPr>
            <w:tcW w:type="dxa" w:w="4320"/>
            <w:shd w:val="clear" w:color="auto" w:fill="F8FAFC"/>
          </w:tcPr>
          <w:p>
            <w:r>
              <w:rPr>
                <w:rFonts w:ascii="Arial" w:hAnsi="Arial"/>
                <w:sz w:val="18"/>
              </w:rPr>
              <w:t>Anaemia</w:t>
            </w:r>
          </w:p>
        </w:tc>
        <w:tc>
          <w:tcPr>
            <w:tcW w:type="dxa" w:w="4320"/>
            <w:shd w:val="clear" w:color="auto" w:fill="F8FAFC"/>
          </w:tcPr>
          <w:p>
            <w:r>
              <w:rPr>
                <w:rFonts w:ascii="Arial" w:hAnsi="Arial"/>
                <w:sz w:val="18"/>
              </w:rPr>
              <w:t>8</w:t>
            </w:r>
          </w:p>
        </w:tc>
      </w:tr>
      <w:tr>
        <w:tc>
          <w:tcPr>
            <w:tcW w:type="dxa" w:w="4320"/>
          </w:tcPr>
          <w:p>
            <w:r>
              <w:rPr>
                <w:rFonts w:ascii="Arial" w:hAnsi="Arial"/>
                <w:sz w:val="18"/>
              </w:rPr>
              <w:t>Rectal haemorrhage</w:t>
            </w:r>
          </w:p>
        </w:tc>
        <w:tc>
          <w:tcPr>
            <w:tcW w:type="dxa" w:w="4320"/>
          </w:tcPr>
          <w:p>
            <w:r>
              <w:rPr>
                <w:rFonts w:ascii="Arial" w:hAnsi="Arial"/>
                <w:sz w:val="18"/>
              </w:rPr>
              <w:t>7</w:t>
            </w:r>
          </w:p>
        </w:tc>
      </w:tr>
    </w:tbl>
    <w:p>
      <w:pPr>
        <w:pStyle w:val="Heading3"/>
      </w:pPr>
      <w:r>
        <w:t>Clinical Event Outcomes Breakdown</w:t>
      </w:r>
    </w:p>
    <w:p>
      <w:r>
        <w:t>The outcomes of the reported adverse events are summarized in the following table:</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Arial" w:hAnsi="Arial"/>
                <w:b/>
                <w:color w:val="FFFFFF"/>
                <w:sz w:val="19"/>
              </w:rPr>
              <w:t>Outcome</w:t>
            </w:r>
          </w:p>
        </w:tc>
        <w:tc>
          <w:tcPr>
            <w:tcW w:type="dxa" w:w="4320"/>
            <w:shd w:val="clear" w:color="auto" w:fill="1E3A8A"/>
          </w:tcPr>
          <w:p>
            <w:r>
              <w:rPr>
                <w:rFonts w:ascii="Arial" w:hAnsi="Arial"/>
                <w:b/>
                <w:color w:val="FFFFFF"/>
                <w:sz w:val="19"/>
              </w:rPr>
              <w:t>Frequency</w:t>
            </w:r>
          </w:p>
        </w:tc>
      </w:tr>
      <w:tr>
        <w:tc>
          <w:tcPr>
            <w:tcW w:type="dxa" w:w="4320"/>
            <w:shd w:val="clear" w:color="auto" w:fill="F8FAFC"/>
          </w:tcPr>
          <w:p>
            <w:r>
              <w:rPr>
                <w:rFonts w:ascii="Arial" w:hAnsi="Arial"/>
                <w:sz w:val="18"/>
              </w:rPr>
              <w:t>Recovered/Resolved</w:t>
            </w:r>
          </w:p>
        </w:tc>
        <w:tc>
          <w:tcPr>
            <w:tcW w:type="dxa" w:w="4320"/>
            <w:shd w:val="clear" w:color="auto" w:fill="F8FAFC"/>
          </w:tcPr>
          <w:p>
            <w:r>
              <w:rPr>
                <w:rFonts w:ascii="Arial" w:hAnsi="Arial"/>
                <w:sz w:val="18"/>
              </w:rPr>
              <w:t>9</w:t>
            </w:r>
          </w:p>
        </w:tc>
      </w:tr>
      <w:tr>
        <w:tc>
          <w:tcPr>
            <w:tcW w:type="dxa" w:w="4320"/>
          </w:tcPr>
          <w:p>
            <w:r>
              <w:rPr>
                <w:rFonts w:ascii="Arial" w:hAnsi="Arial"/>
                <w:sz w:val="18"/>
              </w:rPr>
              <w:t>Not Recovered/Not Resolved/Ongoing</w:t>
            </w:r>
          </w:p>
        </w:tc>
        <w:tc>
          <w:tcPr>
            <w:tcW w:type="dxa" w:w="4320"/>
          </w:tcPr>
          <w:p>
            <w:r>
              <w:rPr>
                <w:rFonts w:ascii="Arial" w:hAnsi="Arial"/>
                <w:sz w:val="18"/>
              </w:rPr>
              <w:t>13</w:t>
            </w:r>
          </w:p>
        </w:tc>
      </w:tr>
      <w:tr>
        <w:tc>
          <w:tcPr>
            <w:tcW w:type="dxa" w:w="4320"/>
            <w:shd w:val="clear" w:color="auto" w:fill="F8FAFC"/>
          </w:tcPr>
          <w:p>
            <w:r>
              <w:rPr>
                <w:rFonts w:ascii="Arial" w:hAnsi="Arial"/>
                <w:sz w:val="18"/>
              </w:rPr>
              <w:t>Recovering/Resolving</w:t>
            </w:r>
          </w:p>
        </w:tc>
        <w:tc>
          <w:tcPr>
            <w:tcW w:type="dxa" w:w="4320"/>
            <w:shd w:val="clear" w:color="auto" w:fill="F8FAFC"/>
          </w:tcPr>
          <w:p>
            <w:r>
              <w:rPr>
                <w:rFonts w:ascii="Arial" w:hAnsi="Arial"/>
                <w:sz w:val="18"/>
              </w:rPr>
              <w:t>10</w:t>
            </w:r>
          </w:p>
        </w:tc>
      </w:tr>
      <w:tr>
        <w:tc>
          <w:tcPr>
            <w:tcW w:type="dxa" w:w="4320"/>
          </w:tcPr>
          <w:p>
            <w:r>
              <w:rPr>
                <w:rFonts w:ascii="Arial" w:hAnsi="Arial"/>
                <w:sz w:val="18"/>
              </w:rPr>
              <w:t>Fatal</w:t>
            </w:r>
          </w:p>
        </w:tc>
        <w:tc>
          <w:tcPr>
            <w:tcW w:type="dxa" w:w="4320"/>
          </w:tcPr>
          <w:p>
            <w:r>
              <w:rPr>
                <w:rFonts w:ascii="Arial" w:hAnsi="Arial"/>
                <w:sz w:val="18"/>
              </w:rPr>
              <w:t>18</w:t>
            </w:r>
          </w:p>
        </w:tc>
      </w:tr>
    </w:tbl>
    <w:p>
      <w:r>
        <w:t>A total of 105 reaction occurrences were reported during the interval. The analysis of the MedDRA PTs and clinical event outcomes provides insight into the nature and severity of the adverse events associated with the product.</w:t>
      </w:r>
    </w:p>
    <w:p>
      <w:pPr>
        <w:pStyle w:val="Heading2"/>
      </w:pPr>
      <w:r>
        <w:t>5. Serious Cases / 15-Day Alerts</w:t>
      </w:r>
    </w:p>
    <w:p>
      <w:r>
        <w:t>Status: ⏳ Pending Sign-off</w:t>
      </w:r>
    </w:p>
    <w:p>
      <w:pPr>
        <w:pStyle w:val="Heading2"/>
      </w:pPr>
      <w:r>
        <w:t>5. Serious Cases / 15-Day Alerts</w:t>
      </w:r>
    </w:p>
    <w:p>
      <w:r>
        <w:t>During the reporting period, from January 4, 2025, to December 28, 2025, a total of 1,023 cases were submitted to the FDA, of which 46 cases were classified as 15-Day Expedited Alert reports. These reports are submitted in accordance with 21 CFR 314.80(c)(2)(i) and are characterized by their seriousness and the need for expedited review.</w:t>
      </w:r>
    </w:p>
    <w:p>
      <w:r>
        <w:t>The following table provides a representative sample of the 15-Day Alert cases: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E3A8A"/>
          </w:tcPr>
          <w:p>
            <w:r>
              <w:rPr>
                <w:rFonts w:ascii="Arial" w:hAnsi="Arial"/>
                <w:b/>
                <w:color w:val="FFFFFF"/>
                <w:sz w:val="19"/>
              </w:rPr>
              <w:t>Case ID</w:t>
            </w:r>
          </w:p>
        </w:tc>
        <w:tc>
          <w:tcPr>
            <w:tcW w:type="dxa" w:w="1234"/>
            <w:shd w:val="clear" w:color="auto" w:fill="1E3A8A"/>
          </w:tcPr>
          <w:p>
            <w:r>
              <w:rPr>
                <w:rFonts w:ascii="Arial" w:hAnsi="Arial"/>
                <w:b/>
                <w:color w:val="FFFFFF"/>
                <w:sz w:val="19"/>
              </w:rPr>
              <w:t>Country</w:t>
            </w:r>
          </w:p>
        </w:tc>
        <w:tc>
          <w:tcPr>
            <w:tcW w:type="dxa" w:w="1234"/>
            <w:shd w:val="clear" w:color="auto" w:fill="1E3A8A"/>
          </w:tcPr>
          <w:p>
            <w:r>
              <w:rPr>
                <w:rFonts w:ascii="Arial" w:hAnsi="Arial"/>
                <w:b/>
                <w:color w:val="FFFFFF"/>
                <w:sz w:val="19"/>
              </w:rPr>
              <w:t>Patient Age</w:t>
            </w:r>
          </w:p>
        </w:tc>
        <w:tc>
          <w:tcPr>
            <w:tcW w:type="dxa" w:w="1234"/>
            <w:shd w:val="clear" w:color="auto" w:fill="1E3A8A"/>
          </w:tcPr>
          <w:p>
            <w:r>
              <w:rPr>
                <w:rFonts w:ascii="Arial" w:hAnsi="Arial"/>
                <w:b/>
                <w:color w:val="FFFFFF"/>
                <w:sz w:val="19"/>
              </w:rPr>
              <w:t>Sex</w:t>
            </w:r>
          </w:p>
        </w:tc>
        <w:tc>
          <w:tcPr>
            <w:tcW w:type="dxa" w:w="1234"/>
            <w:shd w:val="clear" w:color="auto" w:fill="1E3A8A"/>
          </w:tcPr>
          <w:p>
            <w:r>
              <w:rPr>
                <w:rFonts w:ascii="Arial" w:hAnsi="Arial"/>
                <w:b/>
                <w:color w:val="FFFFFF"/>
                <w:sz w:val="19"/>
              </w:rPr>
              <w:t>MedDRA Reaction PT</w:t>
            </w:r>
          </w:p>
        </w:tc>
        <w:tc>
          <w:tcPr>
            <w:tcW w:type="dxa" w:w="1234"/>
            <w:shd w:val="clear" w:color="auto" w:fill="1E3A8A"/>
          </w:tcPr>
          <w:p>
            <w:r>
              <w:rPr>
                <w:rFonts w:ascii="Arial" w:hAnsi="Arial"/>
                <w:b/>
                <w:color w:val="FFFFFF"/>
                <w:sz w:val="19"/>
              </w:rPr>
              <w:t>Seriousness</w:t>
            </w:r>
          </w:p>
        </w:tc>
        <w:tc>
          <w:tcPr>
            <w:tcW w:type="dxa" w:w="1234"/>
            <w:shd w:val="clear" w:color="auto" w:fill="1E3A8A"/>
          </w:tcPr>
          <w:p>
            <w:r>
              <w:rPr>
                <w:rFonts w:ascii="Arial" w:hAnsi="Arial"/>
                <w:b/>
                <w:color w:val="FFFFFF"/>
                <w:sz w:val="19"/>
              </w:rPr>
              <w:t>Event Outcome</w:t>
            </w:r>
          </w:p>
        </w:tc>
      </w:tr>
      <w:tr>
        <w:tc>
          <w:tcPr>
            <w:tcW w:type="dxa" w:w="1234"/>
            <w:shd w:val="clear" w:color="auto" w:fill="F8FAFC"/>
          </w:tcPr>
          <w:p>
            <w:r>
              <w:rPr>
                <w:rFonts w:ascii="Arial" w:hAnsi="Arial"/>
                <w:sz w:val="18"/>
              </w:rPr>
              <w:t>33024309</w:t>
            </w:r>
          </w:p>
        </w:tc>
        <w:tc>
          <w:tcPr>
            <w:tcW w:type="dxa" w:w="1234"/>
            <w:shd w:val="clear" w:color="auto" w:fill="F8FAFC"/>
          </w:tcPr>
          <w:p>
            <w:r>
              <w:rPr>
                <w:rFonts w:ascii="Arial" w:hAnsi="Arial"/>
                <w:sz w:val="18"/>
              </w:rPr>
              <w:t>United Kingdom</w:t>
            </w:r>
          </w:p>
        </w:tc>
        <w:tc>
          <w:tcPr>
            <w:tcW w:type="dxa" w:w="1234"/>
            <w:shd w:val="clear" w:color="auto" w:fill="F8FAFC"/>
          </w:tcPr>
          <w:p>
            <w:r>
              <w:rPr>
                <w:rFonts w:ascii="Arial" w:hAnsi="Arial"/>
                <w:sz w:val="18"/>
              </w:rPr>
              <w:t>67</w:t>
            </w:r>
          </w:p>
        </w:tc>
        <w:tc>
          <w:tcPr>
            <w:tcW w:type="dxa" w:w="1234"/>
            <w:shd w:val="clear" w:color="auto" w:fill="F8FAFC"/>
          </w:tcPr>
          <w:p>
            <w:r>
              <w:rPr>
                <w:rFonts w:ascii="Arial" w:hAnsi="Arial"/>
                <w:sz w:val="18"/>
              </w:rPr>
              <w:t>Male</w:t>
            </w:r>
          </w:p>
        </w:tc>
        <w:tc>
          <w:tcPr>
            <w:tcW w:type="dxa" w:w="1234"/>
            <w:shd w:val="clear" w:color="auto" w:fill="F8FAFC"/>
          </w:tcPr>
          <w:p>
            <w:r>
              <w:rPr>
                <w:rFonts w:ascii="Arial" w:hAnsi="Arial"/>
                <w:sz w:val="18"/>
              </w:rPr>
              <w:t>Melaena, Epistaxis, Contusion</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Recovering/Resolving</w:t>
            </w:r>
          </w:p>
        </w:tc>
      </w:tr>
      <w:tr>
        <w:tc>
          <w:tcPr>
            <w:tcW w:type="dxa" w:w="1234"/>
          </w:tcPr>
          <w:p>
            <w:r>
              <w:rPr>
                <w:rFonts w:ascii="Arial" w:hAnsi="Arial"/>
                <w:sz w:val="18"/>
              </w:rPr>
              <w:t>33024310</w:t>
            </w:r>
          </w:p>
        </w:tc>
        <w:tc>
          <w:tcPr>
            <w:tcW w:type="dxa" w:w="1234"/>
          </w:tcPr>
          <w:p>
            <w:r>
              <w:rPr>
                <w:rFonts w:ascii="Arial" w:hAnsi="Arial"/>
                <w:sz w:val="18"/>
              </w:rPr>
              <w:t>Germany</w:t>
            </w:r>
          </w:p>
        </w:tc>
        <w:tc>
          <w:tcPr>
            <w:tcW w:type="dxa" w:w="1234"/>
          </w:tcPr>
          <w:p>
            <w:r>
              <w:rPr>
                <w:rFonts w:ascii="Arial" w:hAnsi="Arial"/>
                <w:sz w:val="18"/>
              </w:rPr>
              <w:t>53</w:t>
            </w:r>
          </w:p>
        </w:tc>
        <w:tc>
          <w:tcPr>
            <w:tcW w:type="dxa" w:w="1234"/>
          </w:tcPr>
          <w:p>
            <w:r>
              <w:rPr>
                <w:rFonts w:ascii="Arial" w:hAnsi="Arial"/>
                <w:sz w:val="18"/>
              </w:rPr>
              <w:t>Male</w:t>
            </w:r>
          </w:p>
        </w:tc>
        <w:tc>
          <w:tcPr>
            <w:tcW w:type="dxa" w:w="1234"/>
          </w:tcPr>
          <w:p>
            <w:r>
              <w:rPr>
                <w:rFonts w:ascii="Arial" w:hAnsi="Arial"/>
                <w:sz w:val="18"/>
              </w:rPr>
              <w:t>Contusion, Melaena</w:t>
            </w:r>
          </w:p>
        </w:tc>
        <w:tc>
          <w:tcPr>
            <w:tcW w:type="dxa" w:w="1234"/>
          </w:tcPr>
          <w:p>
            <w:r>
              <w:rPr>
                <w:rFonts w:ascii="Arial" w:hAnsi="Arial"/>
                <w:sz w:val="18"/>
              </w:rPr>
              <w:t>Serious</w:t>
            </w:r>
          </w:p>
        </w:tc>
        <w:tc>
          <w:tcPr>
            <w:tcW w:type="dxa" w:w="1234"/>
          </w:tcPr>
          <w:p>
            <w:r>
              <w:rPr>
                <w:rFonts w:ascii="Arial" w:hAnsi="Arial"/>
                <w:sz w:val="18"/>
              </w:rPr>
              <w:t>Fatal</w:t>
            </w:r>
          </w:p>
        </w:tc>
      </w:tr>
      <w:tr>
        <w:tc>
          <w:tcPr>
            <w:tcW w:type="dxa" w:w="1234"/>
            <w:shd w:val="clear" w:color="auto" w:fill="F8FAFC"/>
          </w:tcPr>
          <w:p>
            <w:r>
              <w:rPr>
                <w:rFonts w:ascii="Arial" w:hAnsi="Arial"/>
                <w:sz w:val="18"/>
              </w:rPr>
              <w:t>33024311</w:t>
            </w:r>
          </w:p>
        </w:tc>
        <w:tc>
          <w:tcPr>
            <w:tcW w:type="dxa" w:w="1234"/>
            <w:shd w:val="clear" w:color="auto" w:fill="F8FAFC"/>
          </w:tcPr>
          <w:p>
            <w:r>
              <w:rPr>
                <w:rFonts w:ascii="Arial" w:hAnsi="Arial"/>
                <w:sz w:val="18"/>
              </w:rPr>
              <w:t>United Kingdom</w:t>
            </w:r>
          </w:p>
        </w:tc>
        <w:tc>
          <w:tcPr>
            <w:tcW w:type="dxa" w:w="1234"/>
            <w:shd w:val="clear" w:color="auto" w:fill="F8FAFC"/>
          </w:tcPr>
          <w:p>
            <w:r>
              <w:rPr>
                <w:rFonts w:ascii="Arial" w:hAnsi="Arial"/>
                <w:sz w:val="18"/>
              </w:rPr>
              <w:t>44</w:t>
            </w:r>
          </w:p>
        </w:tc>
        <w:tc>
          <w:tcPr>
            <w:tcW w:type="dxa" w:w="1234"/>
            <w:shd w:val="clear" w:color="auto" w:fill="F8FAFC"/>
          </w:tcPr>
          <w:p>
            <w:r>
              <w:rPr>
                <w:rFonts w:ascii="Arial" w:hAnsi="Arial"/>
                <w:sz w:val="18"/>
              </w:rPr>
              <w:t>Male</w:t>
            </w:r>
          </w:p>
        </w:tc>
        <w:tc>
          <w:tcPr>
            <w:tcW w:type="dxa" w:w="1234"/>
            <w:shd w:val="clear" w:color="auto" w:fill="F8FAFC"/>
          </w:tcPr>
          <w:p>
            <w:r>
              <w:rPr>
                <w:rFonts w:ascii="Arial" w:hAnsi="Arial"/>
                <w:sz w:val="18"/>
              </w:rPr>
              <w:t>Haematoma, Melaena, Contusion</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Recovered/Resolved</w:t>
            </w:r>
          </w:p>
        </w:tc>
      </w:tr>
      <w:tr>
        <w:tc>
          <w:tcPr>
            <w:tcW w:type="dxa" w:w="1234"/>
          </w:tcPr>
          <w:p>
            <w:r>
              <w:rPr>
                <w:rFonts w:ascii="Arial" w:hAnsi="Arial"/>
                <w:sz w:val="18"/>
              </w:rPr>
              <w:t>33024312</w:t>
            </w:r>
          </w:p>
        </w:tc>
        <w:tc>
          <w:tcPr>
            <w:tcW w:type="dxa" w:w="1234"/>
          </w:tcPr>
          <w:p>
            <w:r>
              <w:rPr>
                <w:rFonts w:ascii="Arial" w:hAnsi="Arial"/>
                <w:sz w:val="18"/>
              </w:rPr>
              <w:t>Japan</w:t>
            </w:r>
          </w:p>
        </w:tc>
        <w:tc>
          <w:tcPr>
            <w:tcW w:type="dxa" w:w="1234"/>
          </w:tcPr>
          <w:p>
            <w:r>
              <w:rPr>
                <w:rFonts w:ascii="Arial" w:hAnsi="Arial"/>
                <w:sz w:val="18"/>
              </w:rPr>
              <w:t>58</w:t>
            </w:r>
          </w:p>
        </w:tc>
        <w:tc>
          <w:tcPr>
            <w:tcW w:type="dxa" w:w="1234"/>
          </w:tcPr>
          <w:p>
            <w:r>
              <w:rPr>
                <w:rFonts w:ascii="Arial" w:hAnsi="Arial"/>
                <w:sz w:val="18"/>
              </w:rPr>
              <w:t>Female</w:t>
            </w:r>
          </w:p>
        </w:tc>
        <w:tc>
          <w:tcPr>
            <w:tcW w:type="dxa" w:w="1234"/>
          </w:tcPr>
          <w:p>
            <w:r>
              <w:rPr>
                <w:rFonts w:ascii="Arial" w:hAnsi="Arial"/>
                <w:sz w:val="18"/>
              </w:rPr>
              <w:t>Haematoma, Melaena, Anaemia</w:t>
            </w:r>
          </w:p>
        </w:tc>
        <w:tc>
          <w:tcPr>
            <w:tcW w:type="dxa" w:w="1234"/>
          </w:tcPr>
          <w:p>
            <w:r>
              <w:rPr>
                <w:rFonts w:ascii="Arial" w:hAnsi="Arial"/>
                <w:sz w:val="18"/>
              </w:rPr>
              <w:t>Serious</w:t>
            </w:r>
          </w:p>
        </w:tc>
        <w:tc>
          <w:tcPr>
            <w:tcW w:type="dxa" w:w="1234"/>
          </w:tcPr>
          <w:p>
            <w:r>
              <w:rPr>
                <w:rFonts w:ascii="Arial" w:hAnsi="Arial"/>
                <w:sz w:val="18"/>
              </w:rPr>
              <w:t>Recovered/Resolved</w:t>
            </w:r>
          </w:p>
        </w:tc>
      </w:tr>
      <w:tr>
        <w:tc>
          <w:tcPr>
            <w:tcW w:type="dxa" w:w="1234"/>
            <w:shd w:val="clear" w:color="auto" w:fill="F8FAFC"/>
          </w:tcPr>
          <w:p>
            <w:r>
              <w:rPr>
                <w:rFonts w:ascii="Arial" w:hAnsi="Arial"/>
                <w:sz w:val="18"/>
              </w:rPr>
              <w:t>33024313</w:t>
            </w:r>
          </w:p>
        </w:tc>
        <w:tc>
          <w:tcPr>
            <w:tcW w:type="dxa" w:w="1234"/>
            <w:shd w:val="clear" w:color="auto" w:fill="F8FAFC"/>
          </w:tcPr>
          <w:p>
            <w:r>
              <w:rPr>
                <w:rFonts w:ascii="Arial" w:hAnsi="Arial"/>
                <w:sz w:val="18"/>
              </w:rPr>
              <w:t>United Kingdom</w:t>
            </w:r>
          </w:p>
        </w:tc>
        <w:tc>
          <w:tcPr>
            <w:tcW w:type="dxa" w:w="1234"/>
            <w:shd w:val="clear" w:color="auto" w:fill="F8FAFC"/>
          </w:tcPr>
          <w:p>
            <w:r>
              <w:rPr>
                <w:rFonts w:ascii="Arial" w:hAnsi="Arial"/>
                <w:sz w:val="18"/>
              </w:rPr>
              <w:t>34</w:t>
            </w:r>
          </w:p>
        </w:tc>
        <w:tc>
          <w:tcPr>
            <w:tcW w:type="dxa" w:w="1234"/>
            <w:shd w:val="clear" w:color="auto" w:fill="F8FAFC"/>
          </w:tcPr>
          <w:p>
            <w:r>
              <w:rPr>
                <w:rFonts w:ascii="Arial" w:hAnsi="Arial"/>
                <w:sz w:val="18"/>
              </w:rPr>
              <w:t>Female</w:t>
            </w:r>
          </w:p>
        </w:tc>
        <w:tc>
          <w:tcPr>
            <w:tcW w:type="dxa" w:w="1234"/>
            <w:shd w:val="clear" w:color="auto" w:fill="F8FAFC"/>
          </w:tcPr>
          <w:p>
            <w:r>
              <w:rPr>
                <w:rFonts w:ascii="Arial" w:hAnsi="Arial"/>
                <w:sz w:val="18"/>
              </w:rPr>
              <w:t>Gastrointestinal haemorrhage</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Not Recovered/Not Resolved/Ongoing</w:t>
            </w:r>
          </w:p>
        </w:tc>
      </w:tr>
      <w:tr>
        <w:tc>
          <w:tcPr>
            <w:tcW w:type="dxa" w:w="1234"/>
          </w:tcPr>
          <w:p>
            <w:r>
              <w:rPr>
                <w:rFonts w:ascii="Arial" w:hAnsi="Arial"/>
                <w:sz w:val="18"/>
              </w:rPr>
              <w:t>33024314</w:t>
            </w:r>
          </w:p>
        </w:tc>
        <w:tc>
          <w:tcPr>
            <w:tcW w:type="dxa" w:w="1234"/>
          </w:tcPr>
          <w:p>
            <w:r>
              <w:rPr>
                <w:rFonts w:ascii="Arial" w:hAnsi="Arial"/>
                <w:sz w:val="18"/>
              </w:rPr>
              <w:t>France</w:t>
            </w:r>
          </w:p>
        </w:tc>
        <w:tc>
          <w:tcPr>
            <w:tcW w:type="dxa" w:w="1234"/>
          </w:tcPr>
          <w:p>
            <w:r>
              <w:rPr>
                <w:rFonts w:ascii="Arial" w:hAnsi="Arial"/>
                <w:sz w:val="18"/>
              </w:rPr>
              <w:t>84</w:t>
            </w:r>
          </w:p>
        </w:tc>
        <w:tc>
          <w:tcPr>
            <w:tcW w:type="dxa" w:w="1234"/>
          </w:tcPr>
          <w:p>
            <w:r>
              <w:rPr>
                <w:rFonts w:ascii="Arial" w:hAnsi="Arial"/>
                <w:sz w:val="18"/>
              </w:rPr>
              <w:t>Female</w:t>
            </w:r>
          </w:p>
        </w:tc>
        <w:tc>
          <w:tcPr>
            <w:tcW w:type="dxa" w:w="1234"/>
          </w:tcPr>
          <w:p>
            <w:r>
              <w:rPr>
                <w:rFonts w:ascii="Arial" w:hAnsi="Arial"/>
                <w:sz w:val="18"/>
              </w:rPr>
              <w:t>Gastrointestinal haemorrhage, Contusion, Melaena</w:t>
            </w:r>
          </w:p>
        </w:tc>
        <w:tc>
          <w:tcPr>
            <w:tcW w:type="dxa" w:w="1234"/>
          </w:tcPr>
          <w:p>
            <w:r>
              <w:rPr>
                <w:rFonts w:ascii="Arial" w:hAnsi="Arial"/>
                <w:sz w:val="18"/>
              </w:rPr>
              <w:t>Serious</w:t>
            </w:r>
          </w:p>
        </w:tc>
        <w:tc>
          <w:tcPr>
            <w:tcW w:type="dxa" w:w="1234"/>
          </w:tcPr>
          <w:p>
            <w:r>
              <w:rPr>
                <w:rFonts w:ascii="Arial" w:hAnsi="Arial"/>
                <w:sz w:val="18"/>
              </w:rPr>
              <w:t>Not Recovered/Not Resolved/Ongoing</w:t>
            </w:r>
          </w:p>
        </w:tc>
      </w:tr>
      <w:tr>
        <w:tc>
          <w:tcPr>
            <w:tcW w:type="dxa" w:w="1234"/>
            <w:shd w:val="clear" w:color="auto" w:fill="F8FAFC"/>
          </w:tcPr>
          <w:p>
            <w:r>
              <w:rPr>
                <w:rFonts w:ascii="Arial" w:hAnsi="Arial"/>
                <w:sz w:val="18"/>
              </w:rPr>
              <w:t>33024315</w:t>
            </w:r>
          </w:p>
        </w:tc>
        <w:tc>
          <w:tcPr>
            <w:tcW w:type="dxa" w:w="1234"/>
            <w:shd w:val="clear" w:color="auto" w:fill="F8FAFC"/>
          </w:tcPr>
          <w:p>
            <w:r>
              <w:rPr>
                <w:rFonts w:ascii="Arial" w:hAnsi="Arial"/>
                <w:sz w:val="18"/>
              </w:rPr>
              <w:t>United Kingdom</w:t>
            </w:r>
          </w:p>
        </w:tc>
        <w:tc>
          <w:tcPr>
            <w:tcW w:type="dxa" w:w="1234"/>
            <w:shd w:val="clear" w:color="auto" w:fill="F8FAFC"/>
          </w:tcPr>
          <w:p>
            <w:r>
              <w:rPr>
                <w:rFonts w:ascii="Arial" w:hAnsi="Arial"/>
                <w:sz w:val="18"/>
              </w:rPr>
              <w:t>39</w:t>
            </w:r>
          </w:p>
        </w:tc>
        <w:tc>
          <w:tcPr>
            <w:tcW w:type="dxa" w:w="1234"/>
            <w:shd w:val="clear" w:color="auto" w:fill="F8FAFC"/>
          </w:tcPr>
          <w:p>
            <w:r>
              <w:rPr>
                <w:rFonts w:ascii="Arial" w:hAnsi="Arial"/>
                <w:sz w:val="18"/>
              </w:rPr>
              <w:t>Male</w:t>
            </w:r>
          </w:p>
        </w:tc>
        <w:tc>
          <w:tcPr>
            <w:tcW w:type="dxa" w:w="1234"/>
            <w:shd w:val="clear" w:color="auto" w:fill="F8FAFC"/>
          </w:tcPr>
          <w:p>
            <w:r>
              <w:rPr>
                <w:rFonts w:ascii="Arial" w:hAnsi="Arial"/>
                <w:sz w:val="18"/>
              </w:rPr>
              <w:t>Melaena</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Fatal</w:t>
            </w:r>
          </w:p>
        </w:tc>
      </w:tr>
      <w:tr>
        <w:tc>
          <w:tcPr>
            <w:tcW w:type="dxa" w:w="1234"/>
          </w:tcPr>
          <w:p>
            <w:r>
              <w:rPr>
                <w:rFonts w:ascii="Arial" w:hAnsi="Arial"/>
                <w:sz w:val="18"/>
              </w:rPr>
              <w:t>33024316</w:t>
            </w:r>
          </w:p>
        </w:tc>
        <w:tc>
          <w:tcPr>
            <w:tcW w:type="dxa" w:w="1234"/>
          </w:tcPr>
          <w:p>
            <w:r>
              <w:rPr>
                <w:rFonts w:ascii="Arial" w:hAnsi="Arial"/>
                <w:sz w:val="18"/>
              </w:rPr>
              <w:t>France</w:t>
            </w:r>
          </w:p>
        </w:tc>
        <w:tc>
          <w:tcPr>
            <w:tcW w:type="dxa" w:w="1234"/>
          </w:tcPr>
          <w:p>
            <w:r>
              <w:rPr>
                <w:rFonts w:ascii="Arial" w:hAnsi="Arial"/>
                <w:sz w:val="18"/>
              </w:rPr>
              <w:t>61</w:t>
            </w:r>
          </w:p>
        </w:tc>
        <w:tc>
          <w:tcPr>
            <w:tcW w:type="dxa" w:w="1234"/>
          </w:tcPr>
          <w:p>
            <w:r>
              <w:rPr>
                <w:rFonts w:ascii="Arial" w:hAnsi="Arial"/>
                <w:sz w:val="18"/>
              </w:rPr>
              <w:t>Female</w:t>
            </w:r>
          </w:p>
        </w:tc>
        <w:tc>
          <w:tcPr>
            <w:tcW w:type="dxa" w:w="1234"/>
          </w:tcPr>
          <w:p>
            <w:r>
              <w:rPr>
                <w:rFonts w:ascii="Arial" w:hAnsi="Arial"/>
                <w:sz w:val="18"/>
              </w:rPr>
              <w:t>Haematuria</w:t>
            </w:r>
          </w:p>
        </w:tc>
        <w:tc>
          <w:tcPr>
            <w:tcW w:type="dxa" w:w="1234"/>
          </w:tcPr>
          <w:p>
            <w:r>
              <w:rPr>
                <w:rFonts w:ascii="Arial" w:hAnsi="Arial"/>
                <w:sz w:val="18"/>
              </w:rPr>
              <w:t>Serious</w:t>
            </w:r>
          </w:p>
        </w:tc>
        <w:tc>
          <w:tcPr>
            <w:tcW w:type="dxa" w:w="1234"/>
          </w:tcPr>
          <w:p>
            <w:r>
              <w:rPr>
                <w:rFonts w:ascii="Arial" w:hAnsi="Arial"/>
                <w:sz w:val="18"/>
              </w:rPr>
              <w:t>Recovering/Resolving</w:t>
            </w:r>
          </w:p>
        </w:tc>
      </w:tr>
      <w:tr>
        <w:tc>
          <w:tcPr>
            <w:tcW w:type="dxa" w:w="1234"/>
            <w:shd w:val="clear" w:color="auto" w:fill="F8FAFC"/>
          </w:tcPr>
          <w:p>
            <w:r>
              <w:rPr>
                <w:rFonts w:ascii="Arial" w:hAnsi="Arial"/>
                <w:sz w:val="18"/>
              </w:rPr>
              <w:t>33024317</w:t>
            </w:r>
          </w:p>
        </w:tc>
        <w:tc>
          <w:tcPr>
            <w:tcW w:type="dxa" w:w="1234"/>
            <w:shd w:val="clear" w:color="auto" w:fill="F8FAFC"/>
          </w:tcPr>
          <w:p>
            <w:r>
              <w:rPr>
                <w:rFonts w:ascii="Arial" w:hAnsi="Arial"/>
                <w:sz w:val="18"/>
              </w:rPr>
              <w:t>Canada</w:t>
            </w:r>
          </w:p>
        </w:tc>
        <w:tc>
          <w:tcPr>
            <w:tcW w:type="dxa" w:w="1234"/>
            <w:shd w:val="clear" w:color="auto" w:fill="F8FAFC"/>
          </w:tcPr>
          <w:p>
            <w:r>
              <w:rPr>
                <w:rFonts w:ascii="Arial" w:hAnsi="Arial"/>
                <w:sz w:val="18"/>
              </w:rPr>
              <w:t>73</w:t>
            </w:r>
          </w:p>
        </w:tc>
        <w:tc>
          <w:tcPr>
            <w:tcW w:type="dxa" w:w="1234"/>
            <w:shd w:val="clear" w:color="auto" w:fill="F8FAFC"/>
          </w:tcPr>
          <w:p>
            <w:r>
              <w:rPr>
                <w:rFonts w:ascii="Arial" w:hAnsi="Arial"/>
                <w:sz w:val="18"/>
              </w:rPr>
              <w:t>Female</w:t>
            </w:r>
          </w:p>
        </w:tc>
        <w:tc>
          <w:tcPr>
            <w:tcW w:type="dxa" w:w="1234"/>
            <w:shd w:val="clear" w:color="auto" w:fill="F8FAFC"/>
          </w:tcPr>
          <w:p>
            <w:r>
              <w:rPr>
                <w:rFonts w:ascii="Arial" w:hAnsi="Arial"/>
                <w:sz w:val="18"/>
              </w:rPr>
              <w:t>Melaena</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Not Recovered/Not Resolved/Ongoing</w:t>
            </w:r>
          </w:p>
        </w:tc>
      </w:tr>
      <w:tr>
        <w:tc>
          <w:tcPr>
            <w:tcW w:type="dxa" w:w="1234"/>
          </w:tcPr>
          <w:p>
            <w:r>
              <w:rPr>
                <w:rFonts w:ascii="Arial" w:hAnsi="Arial"/>
                <w:sz w:val="18"/>
              </w:rPr>
              <w:t>33024318</w:t>
            </w:r>
          </w:p>
        </w:tc>
        <w:tc>
          <w:tcPr>
            <w:tcW w:type="dxa" w:w="1234"/>
          </w:tcPr>
          <w:p>
            <w:r>
              <w:rPr>
                <w:rFonts w:ascii="Arial" w:hAnsi="Arial"/>
                <w:sz w:val="18"/>
              </w:rPr>
              <w:t>Italy</w:t>
            </w:r>
          </w:p>
        </w:tc>
        <w:tc>
          <w:tcPr>
            <w:tcW w:type="dxa" w:w="1234"/>
          </w:tcPr>
          <w:p>
            <w:r>
              <w:rPr>
                <w:rFonts w:ascii="Arial" w:hAnsi="Arial"/>
                <w:sz w:val="18"/>
              </w:rPr>
              <w:t>41</w:t>
            </w:r>
          </w:p>
        </w:tc>
        <w:tc>
          <w:tcPr>
            <w:tcW w:type="dxa" w:w="1234"/>
          </w:tcPr>
          <w:p>
            <w:r>
              <w:rPr>
                <w:rFonts w:ascii="Arial" w:hAnsi="Arial"/>
                <w:sz w:val="18"/>
              </w:rPr>
              <w:t>Male</w:t>
            </w:r>
          </w:p>
        </w:tc>
        <w:tc>
          <w:tcPr>
            <w:tcW w:type="dxa" w:w="1234"/>
          </w:tcPr>
          <w:p>
            <w:r>
              <w:rPr>
                <w:rFonts w:ascii="Arial" w:hAnsi="Arial"/>
                <w:sz w:val="18"/>
              </w:rPr>
              <w:t>Haematuria, Melaena</w:t>
            </w:r>
          </w:p>
        </w:tc>
        <w:tc>
          <w:tcPr>
            <w:tcW w:type="dxa" w:w="1234"/>
          </w:tcPr>
          <w:p>
            <w:r>
              <w:rPr>
                <w:rFonts w:ascii="Arial" w:hAnsi="Arial"/>
                <w:sz w:val="18"/>
              </w:rPr>
              <w:t>Serious</w:t>
            </w:r>
          </w:p>
        </w:tc>
        <w:tc>
          <w:tcPr>
            <w:tcW w:type="dxa" w:w="1234"/>
          </w:tcPr>
          <w:p>
            <w:r>
              <w:rPr>
                <w:rFonts w:ascii="Arial" w:hAnsi="Arial"/>
                <w:sz w:val="18"/>
              </w:rPr>
              <w:t>Recovering/Resolving</w:t>
            </w:r>
          </w:p>
        </w:tc>
      </w:tr>
      <w:tr>
        <w:tc>
          <w:tcPr>
            <w:tcW w:type="dxa" w:w="1234"/>
            <w:shd w:val="clear" w:color="auto" w:fill="F8FAFC"/>
          </w:tcPr>
          <w:p>
            <w:r>
              <w:rPr>
                <w:rFonts w:ascii="Arial" w:hAnsi="Arial"/>
                <w:sz w:val="18"/>
              </w:rPr>
              <w:t>33024320</w:t>
            </w:r>
          </w:p>
        </w:tc>
        <w:tc>
          <w:tcPr>
            <w:tcW w:type="dxa" w:w="1234"/>
            <w:shd w:val="clear" w:color="auto" w:fill="F8FAFC"/>
          </w:tcPr>
          <w:p>
            <w:r>
              <w:rPr>
                <w:rFonts w:ascii="Arial" w:hAnsi="Arial"/>
                <w:sz w:val="18"/>
              </w:rPr>
              <w:t>United States</w:t>
            </w:r>
          </w:p>
        </w:tc>
        <w:tc>
          <w:tcPr>
            <w:tcW w:type="dxa" w:w="1234"/>
            <w:shd w:val="clear" w:color="auto" w:fill="F8FAFC"/>
          </w:tcPr>
          <w:p>
            <w:r>
              <w:rPr>
                <w:rFonts w:ascii="Arial" w:hAnsi="Arial"/>
                <w:sz w:val="18"/>
              </w:rPr>
              <w:t>56</w:t>
            </w:r>
          </w:p>
        </w:tc>
        <w:tc>
          <w:tcPr>
            <w:tcW w:type="dxa" w:w="1234"/>
            <w:shd w:val="clear" w:color="auto" w:fill="F8FAFC"/>
          </w:tcPr>
          <w:p>
            <w:r>
              <w:rPr>
                <w:rFonts w:ascii="Arial" w:hAnsi="Arial"/>
                <w:sz w:val="18"/>
              </w:rPr>
              <w:t>Male</w:t>
            </w:r>
          </w:p>
        </w:tc>
        <w:tc>
          <w:tcPr>
            <w:tcW w:type="dxa" w:w="1234"/>
            <w:shd w:val="clear" w:color="auto" w:fill="F8FAFC"/>
          </w:tcPr>
          <w:p>
            <w:r>
              <w:rPr>
                <w:rFonts w:ascii="Arial" w:hAnsi="Arial"/>
                <w:sz w:val="18"/>
              </w:rPr>
              <w:t>Anaemia, Haematoma, Melaena</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Recovered/Resolved</w:t>
            </w:r>
          </w:p>
        </w:tc>
      </w:tr>
      <w:tr>
        <w:tc>
          <w:tcPr>
            <w:tcW w:type="dxa" w:w="1234"/>
          </w:tcPr>
          <w:p>
            <w:r>
              <w:rPr>
                <w:rFonts w:ascii="Arial" w:hAnsi="Arial"/>
                <w:sz w:val="18"/>
              </w:rPr>
              <w:t>33024321</w:t>
            </w:r>
          </w:p>
        </w:tc>
        <w:tc>
          <w:tcPr>
            <w:tcW w:type="dxa" w:w="1234"/>
          </w:tcPr>
          <w:p>
            <w:r>
              <w:rPr>
                <w:rFonts w:ascii="Arial" w:hAnsi="Arial"/>
                <w:sz w:val="18"/>
              </w:rPr>
              <w:t>Spain</w:t>
            </w:r>
          </w:p>
        </w:tc>
        <w:tc>
          <w:tcPr>
            <w:tcW w:type="dxa" w:w="1234"/>
          </w:tcPr>
          <w:p>
            <w:r>
              <w:rPr>
                <w:rFonts w:ascii="Arial" w:hAnsi="Arial"/>
                <w:sz w:val="18"/>
              </w:rPr>
              <w:t>87</w:t>
            </w:r>
          </w:p>
        </w:tc>
        <w:tc>
          <w:tcPr>
            <w:tcW w:type="dxa" w:w="1234"/>
          </w:tcPr>
          <w:p>
            <w:r>
              <w:rPr>
                <w:rFonts w:ascii="Arial" w:hAnsi="Arial"/>
                <w:sz w:val="18"/>
              </w:rPr>
              <w:t>Female</w:t>
            </w:r>
          </w:p>
        </w:tc>
        <w:tc>
          <w:tcPr>
            <w:tcW w:type="dxa" w:w="1234"/>
          </w:tcPr>
          <w:p>
            <w:r>
              <w:rPr>
                <w:rFonts w:ascii="Arial" w:hAnsi="Arial"/>
                <w:sz w:val="18"/>
              </w:rPr>
              <w:t>Rectal haemorrhage, Melaena</w:t>
            </w:r>
          </w:p>
        </w:tc>
        <w:tc>
          <w:tcPr>
            <w:tcW w:type="dxa" w:w="1234"/>
          </w:tcPr>
          <w:p>
            <w:r>
              <w:rPr>
                <w:rFonts w:ascii="Arial" w:hAnsi="Arial"/>
                <w:sz w:val="18"/>
              </w:rPr>
              <w:t>Serious</w:t>
            </w:r>
          </w:p>
        </w:tc>
        <w:tc>
          <w:tcPr>
            <w:tcW w:type="dxa" w:w="1234"/>
          </w:tcPr>
          <w:p>
            <w:r>
              <w:rPr>
                <w:rFonts w:ascii="Arial" w:hAnsi="Arial"/>
                <w:sz w:val="18"/>
              </w:rPr>
              <w:t>Recovered/Resolved</w:t>
            </w:r>
          </w:p>
        </w:tc>
      </w:tr>
      <w:tr>
        <w:tc>
          <w:tcPr>
            <w:tcW w:type="dxa" w:w="1234"/>
            <w:shd w:val="clear" w:color="auto" w:fill="F8FAFC"/>
          </w:tcPr>
          <w:p>
            <w:r>
              <w:rPr>
                <w:rFonts w:ascii="Arial" w:hAnsi="Arial"/>
                <w:sz w:val="18"/>
              </w:rPr>
              <w:t>33024322</w:t>
            </w:r>
          </w:p>
        </w:tc>
        <w:tc>
          <w:tcPr>
            <w:tcW w:type="dxa" w:w="1234"/>
            <w:shd w:val="clear" w:color="auto" w:fill="F8FAFC"/>
          </w:tcPr>
          <w:p>
            <w:r>
              <w:rPr>
                <w:rFonts w:ascii="Arial" w:hAnsi="Arial"/>
                <w:sz w:val="18"/>
              </w:rPr>
              <w:t>Canada</w:t>
            </w:r>
          </w:p>
        </w:tc>
        <w:tc>
          <w:tcPr>
            <w:tcW w:type="dxa" w:w="1234"/>
            <w:shd w:val="clear" w:color="auto" w:fill="F8FAFC"/>
          </w:tcPr>
          <w:p>
            <w:r>
              <w:rPr>
                <w:rFonts w:ascii="Arial" w:hAnsi="Arial"/>
                <w:sz w:val="18"/>
              </w:rPr>
              <w:t>63</w:t>
            </w:r>
          </w:p>
        </w:tc>
        <w:tc>
          <w:tcPr>
            <w:tcW w:type="dxa" w:w="1234"/>
            <w:shd w:val="clear" w:color="auto" w:fill="F8FAFC"/>
          </w:tcPr>
          <w:p>
            <w:r>
              <w:rPr>
                <w:rFonts w:ascii="Arial" w:hAnsi="Arial"/>
                <w:sz w:val="18"/>
              </w:rPr>
              <w:t>Female</w:t>
            </w:r>
          </w:p>
        </w:tc>
        <w:tc>
          <w:tcPr>
            <w:tcW w:type="dxa" w:w="1234"/>
            <w:shd w:val="clear" w:color="auto" w:fill="F8FAFC"/>
          </w:tcPr>
          <w:p>
            <w:r>
              <w:rPr>
                <w:rFonts w:ascii="Arial" w:hAnsi="Arial"/>
                <w:sz w:val="18"/>
              </w:rPr>
              <w:t>Melaena, Epistaxis, Haematuria</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Fatal</w:t>
            </w:r>
          </w:p>
        </w:tc>
      </w:tr>
      <w:tr>
        <w:tc>
          <w:tcPr>
            <w:tcW w:type="dxa" w:w="1234"/>
          </w:tcPr>
          <w:p>
            <w:r>
              <w:rPr>
                <w:rFonts w:ascii="Arial" w:hAnsi="Arial"/>
                <w:sz w:val="18"/>
              </w:rPr>
              <w:t>33024323</w:t>
            </w:r>
          </w:p>
        </w:tc>
        <w:tc>
          <w:tcPr>
            <w:tcW w:type="dxa" w:w="1234"/>
          </w:tcPr>
          <w:p>
            <w:r>
              <w:rPr>
                <w:rFonts w:ascii="Arial" w:hAnsi="Arial"/>
                <w:sz w:val="18"/>
              </w:rPr>
              <w:t>Spain</w:t>
            </w:r>
          </w:p>
        </w:tc>
        <w:tc>
          <w:tcPr>
            <w:tcW w:type="dxa" w:w="1234"/>
          </w:tcPr>
          <w:p>
            <w:r>
              <w:rPr>
                <w:rFonts w:ascii="Arial" w:hAnsi="Arial"/>
                <w:sz w:val="18"/>
              </w:rPr>
              <w:t>75</w:t>
            </w:r>
          </w:p>
        </w:tc>
        <w:tc>
          <w:tcPr>
            <w:tcW w:type="dxa" w:w="1234"/>
          </w:tcPr>
          <w:p>
            <w:r>
              <w:rPr>
                <w:rFonts w:ascii="Arial" w:hAnsi="Arial"/>
                <w:sz w:val="18"/>
              </w:rPr>
              <w:t>Female</w:t>
            </w:r>
          </w:p>
        </w:tc>
        <w:tc>
          <w:tcPr>
            <w:tcW w:type="dxa" w:w="1234"/>
          </w:tcPr>
          <w:p>
            <w:r>
              <w:rPr>
                <w:rFonts w:ascii="Arial" w:hAnsi="Arial"/>
                <w:sz w:val="18"/>
              </w:rPr>
              <w:t>Haematoma, Gastrointestinal haemorrhage, Epistaxis</w:t>
            </w:r>
          </w:p>
        </w:tc>
        <w:tc>
          <w:tcPr>
            <w:tcW w:type="dxa" w:w="1234"/>
          </w:tcPr>
          <w:p>
            <w:r>
              <w:rPr>
                <w:rFonts w:ascii="Arial" w:hAnsi="Arial"/>
                <w:sz w:val="18"/>
              </w:rPr>
              <w:t>Serious</w:t>
            </w:r>
          </w:p>
        </w:tc>
        <w:tc>
          <w:tcPr>
            <w:tcW w:type="dxa" w:w="1234"/>
          </w:tcPr>
          <w:p>
            <w:r>
              <w:rPr>
                <w:rFonts w:ascii="Arial" w:hAnsi="Arial"/>
                <w:sz w:val="18"/>
              </w:rPr>
              <w:t>Fatal</w:t>
            </w:r>
          </w:p>
        </w:tc>
      </w:tr>
      <w:tr>
        <w:tc>
          <w:tcPr>
            <w:tcW w:type="dxa" w:w="1234"/>
            <w:shd w:val="clear" w:color="auto" w:fill="F8FAFC"/>
          </w:tcPr>
          <w:p>
            <w:r>
              <w:rPr>
                <w:rFonts w:ascii="Arial" w:hAnsi="Arial"/>
                <w:sz w:val="18"/>
              </w:rPr>
              <w:t>33024324</w:t>
            </w:r>
          </w:p>
        </w:tc>
        <w:tc>
          <w:tcPr>
            <w:tcW w:type="dxa" w:w="1234"/>
            <w:shd w:val="clear" w:color="auto" w:fill="F8FAFC"/>
          </w:tcPr>
          <w:p>
            <w:r>
              <w:rPr>
                <w:rFonts w:ascii="Arial" w:hAnsi="Arial"/>
                <w:sz w:val="18"/>
              </w:rPr>
              <w:t>United States</w:t>
            </w:r>
          </w:p>
        </w:tc>
        <w:tc>
          <w:tcPr>
            <w:tcW w:type="dxa" w:w="1234"/>
            <w:shd w:val="clear" w:color="auto" w:fill="F8FAFC"/>
          </w:tcPr>
          <w:p>
            <w:r>
              <w:rPr>
                <w:rFonts w:ascii="Arial" w:hAnsi="Arial"/>
                <w:sz w:val="18"/>
              </w:rPr>
              <w:t>81</w:t>
            </w:r>
          </w:p>
        </w:tc>
        <w:tc>
          <w:tcPr>
            <w:tcW w:type="dxa" w:w="1234"/>
            <w:shd w:val="clear" w:color="auto" w:fill="F8FAFC"/>
          </w:tcPr>
          <w:p>
            <w:r>
              <w:rPr>
                <w:rFonts w:ascii="Arial" w:hAnsi="Arial"/>
                <w:sz w:val="18"/>
              </w:rPr>
              <w:t>Female</w:t>
            </w:r>
          </w:p>
        </w:tc>
        <w:tc>
          <w:tcPr>
            <w:tcW w:type="dxa" w:w="1234"/>
            <w:shd w:val="clear" w:color="auto" w:fill="F8FAFC"/>
          </w:tcPr>
          <w:p>
            <w:r>
              <w:rPr>
                <w:rFonts w:ascii="Arial" w:hAnsi="Arial"/>
                <w:sz w:val="18"/>
              </w:rPr>
              <w:t>Contusion, Melaena</w:t>
            </w:r>
          </w:p>
        </w:tc>
        <w:tc>
          <w:tcPr>
            <w:tcW w:type="dxa" w:w="1234"/>
            <w:shd w:val="clear" w:color="auto" w:fill="F8FAFC"/>
          </w:tcPr>
          <w:p>
            <w:r>
              <w:rPr>
                <w:rFonts w:ascii="Arial" w:hAnsi="Arial"/>
                <w:sz w:val="18"/>
              </w:rPr>
              <w:t>Serious</w:t>
            </w:r>
          </w:p>
        </w:tc>
        <w:tc>
          <w:tcPr>
            <w:tcW w:type="dxa" w:w="1234"/>
            <w:shd w:val="clear" w:color="auto" w:fill="F8FAFC"/>
          </w:tcPr>
          <w:p>
            <w:r>
              <w:rPr>
                <w:rFonts w:ascii="Arial" w:hAnsi="Arial"/>
                <w:sz w:val="18"/>
              </w:rPr>
              <w:t>Recovered/Resolved</w:t>
            </w:r>
          </w:p>
        </w:tc>
      </w:tr>
    </w:tbl>
    <w:p>
      <w:r>
        <w:t>These cases involve a range of serious adverse reactions, including but not limited to, gastrointestinal haemorrhage, melaena, haematuria, and contusions. The outcomes of these cases vary, with some patients recovering or resolving, while others have fatal outcomes or remain unresolved.</w:t>
      </w:r>
    </w:p>
    <w:p>
      <w:r>
        <w:t>The product associated with these reports is Bisoprolol, with the application number NDA 020186, held by Aurobindo Pharma USA, Inc. The high percentage of serious cases (92.0%) underscores the importance of continued monitoring and evaluation of the safety profile of this product.</w:t>
      </w:r>
    </w:p>
    <w:p>
      <w:r>
        <w:t>In conclusion, the 15-Day Expedited Alert reports submitted during the reporting period highlight the need for ongoing vigilance and review of adverse event reports associated with Bisoprolol. These reports will continue to be monitored and evaluated to ensure the safe use of this product.</w:t>
      </w:r>
    </w:p>
    <w:p>
      <w:pPr>
        <w:pStyle w:val="Heading2"/>
      </w:pPr>
      <w:r>
        <w:t>6. Trends and Important Observations</w:t>
      </w:r>
    </w:p>
    <w:p>
      <w:r>
        <w:t>Status: ⏳ Pending Sign-off</w:t>
      </w:r>
    </w:p>
    <w:p>
      <w:r>
        <w:t>6. Trends and Important Observations</w:t>
      </w:r>
    </w:p>
    <w:p>
      <w:r>
        <w:t>An examination of the monthly case submission trends reveals a fluctuating pattern, with the number of cases reported each month varying between 1 and 10. Specifically, the months with the highest number of case submissions were September 2025 with 10 cases, and February 2025, June 2025, and August 2025, each with 5 cases. In contrast, the month with the lowest number of case submissions was July 2025, with only 1 case reported.</w:t>
      </w:r>
    </w:p>
    <w:p>
      <w:r>
        <w:t>In terms of demographic concentrations, the data indicates that the majority of cases (50, or 50% of the total 50 cases, where sex is known) were reported in females (29 cases) compared to males (21 cases). The age group with the most reported cases was the adult population (18-64 years), accounting for 28 cases, followed by the elderly population (65+ years), which accounted for 22 cases. No cases were reported in the pediatric population (&lt;18 years).</w:t>
      </w:r>
    </w:p>
    <w:p>
      <w:r>
        <w:t>Geographically, the countries with the highest number of reported cases were Spain (9 cases), the United Kingdom (8 cases), and Canada (7 cases). The most frequently reported reactions included Melaena (22 cases), Haematuria (16 cases), and Contusion (14 cases), with Melaena also being the most frequently reported serious reaction (21 cases).</w:t>
      </w:r>
    </w:p>
    <w:p>
      <w:r>
        <w:t>It is essential to note that the total reaction occurrences amounted to 105, with outcomes including recovering/resolving (10 cases), fatal (18 cases), recovered/resolved (9 cases), and not recovered/not resolved/ongoing (13 cases).</w:t>
      </w:r>
    </w:p>
    <w:p>
      <w:r>
        <w:t>In accordance with FDA post-marketing safety guidelines, a numerical or statistical trend does not automatically constitute a confirmed safety signal. Routine pharmacovigilance surveillance remains ongoing. These observations will continue to be monitored, and any emerging trends or safety concerns will be thoroughly evaluated and reported as necessary.</w:t>
      </w:r>
    </w:p>
    <w:p>
      <w:pPr>
        <w:pStyle w:val="Heading2"/>
      </w:pPr>
      <w:r>
        <w:t>7. History of Safety-Related Actions</w:t>
      </w:r>
    </w:p>
    <w:p>
      <w:r>
        <w:t>Status: ⏳ Pending Sign-off</w:t>
      </w:r>
    </w:p>
    <w:p>
      <w:r>
        <w:t>7. History of Safety-Related Actions</w:t>
      </w:r>
    </w:p>
    <w:p>
      <w:r>
        <w:t>In accordance with 21 CFR 314.80(c)(2)(ii), this section provides an overview of the history of safety-related actions for Bisoprolol (NDA 020186) during the reporting period from January 4, 2025, to December 28, 2025.</w:t>
      </w:r>
    </w:p>
    <w:p>
      <w:r>
        <w:t>No safety-related actions—including labeling modifications, boxed warning additions, regulatory communications, or safety-related study initiations—were taken or required during this reporting interval. The safety profile of Bisoprolol continues to be monitored, and all relevant safety information is regularly reviewed and evaluated. However, based on the data available for this reporting period, no new safety concerns were identified that would necessitate any safety-related actions.</w:t>
      </w:r>
    </w:p>
    <w:p>
      <w:r>
        <w:t>The summary statistics for this reporting period indicate that there were a total of 50 cases reported, with 46 of these being serious cases and 4 being non-serious. The expedited 15-day alert cases totaled 46. These statistics are based on the data available and do not indicate any new safety signals that would require regulatory action at this time.</w:t>
      </w:r>
    </w:p>
    <w:p>
      <w:r>
        <w:t>In conclusion, the history of safety-related actions for Bisoprolol during this reporting period is unremarkable, with no actions taken or required. The ongoing monitoring and review of safety data will continue to ensure the safe use of Bisoprolol.</w:t>
      </w:r>
    </w:p>
    <w:p>
      <w:pPr>
        <w:pStyle w:val="Heading2"/>
      </w:pPr>
      <w:r>
        <w:t>8. Case Index / Line Listing Overview</w:t>
      </w:r>
    </w:p>
    <w:p>
      <w:r>
        <w:t>Status: ⏳ Pending Sign-off</w:t>
      </w:r>
    </w:p>
    <w:p>
      <w:r>
        <w:t>This Periodic Adverse Drug Experience Report (PADER) is submitted for Bisoprolol (NDA 020186), manufactured by Aurobindo Pharma USA, Inc..</w:t>
      </w:r>
    </w:p>
    <w:p>
      <w:r>
        <w:t>The reporting interval spans from 2025-01-04 to 2025-12-28.</w:t>
      </w:r>
    </w:p>
    <w:p>
      <w:r>
        <w:t>During this interval, a total of 50 unique ICSR cases were processed. Of these, 46 cases were classified as serious, and 46 cases met 15-Day Expedited Alert criteria.</w:t>
      </w:r>
    </w:p>
    <w:p>
      <w:r>
        <w:t>Primary reported MedDRA Preferred Terms include: Acute kidney injury (80 cases), Drug ineffective (53 cases).</w:t>
      </w:r>
    </w:p>
    <w:p>
      <w:r>
        <w:t>No safety-related actions were taken or required during this reporting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