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Arial" w:cs="Arial" w:eastAsia="Arial" w:hAnsi="Arial"/>
          <w:b/>
          <w:bCs/>
          <w:color w:val="0F172A"/>
          <w:sz w:val="48"/>
          <w:szCs w:val="48"/>
        </w:rPr>
        <w:t xml:space="preserve">Agentic Computational Biology</w:t>
      </w:r>
    </w:p>
    <w:p>
      <w:pPr>
        <w:spacing w:after="80"/>
      </w:pPr>
      <w:r>
        <w:rPr>
          <w:rFonts w:ascii="Arial" w:cs="Arial" w:eastAsia="Arial" w:hAnsi="Arial"/>
          <w:b/>
          <w:bCs/>
          <w:color w:val="0F172A"/>
          <w:sz w:val="48"/>
          <w:szCs w:val="48"/>
        </w:rPr>
        <w:t xml:space="preserve">Research System</w:t>
      </w:r>
    </w:p>
    <w:p>
      <w:pPr>
        <w:pBdr>
          <w:bottom w:val="single" w:color="2563EB" w:sz="6" w:space="8"/>
        </w:pBdr>
        <w:spacing w:after="200"/>
      </w:pPr>
      <w:r>
        <w:rPr>
          <w:rFonts w:ascii="Arial" w:cs="Arial" w:eastAsia="Arial" w:hAnsi="Arial"/>
          <w:color w:val="64748B"/>
          <w:sz w:val="22"/>
          <w:szCs w:val="22"/>
        </w:rPr>
        <w:t xml:space="preserve">Architecture Document v0.1</w:t>
      </w:r>
      <w:r>
        <w:rPr>
          <w:rFonts w:ascii="Arial" w:cs="Arial" w:eastAsia="Arial" w:hAnsi="Arial"/>
          <w:color w:val="94A3B8"/>
          <w:sz w:val="22"/>
          <w:szCs w:val="22"/>
        </w:rPr>
        <w:t xml:space="preserve">  |  March 2026  |  Internal</w:t>
      </w:r>
    </w:p>
    <w:p>
      <w:pPr>
        <w:shd w:fill="F1F5F9" w:val="clear"/>
        <w:spacing w:before="200" w:after="200"/>
        <w:ind w:left="240" w:right="240"/>
      </w:pPr>
      <w:r>
        <w:rPr>
          <w:rFonts w:ascii="Arial" w:cs="Arial" w:eastAsia="Arial" w:hAnsi="Arial"/>
          <w:b/>
          <w:bCs/>
          <w:color w:val="1E293B"/>
          <w:sz w:val="20"/>
          <w:szCs w:val="20"/>
        </w:rPr>
        <w:t xml:space="preserve">Thesis: </w:t>
      </w:r>
      <w:r>
        <w:rPr>
          <w:rFonts w:ascii="Arial" w:cs="Arial" w:eastAsia="Arial" w:hAnsi="Arial"/>
          <w:color w:val="475569"/>
          <w:sz w:val="20"/>
          <w:szCs w:val="20"/>
        </w:rPr>
        <w:t xml:space="preserve">A lead researcher agent orchestrates specialist worker agents against a single source of truth (SSOT) to execute evidence-based drug discovery pipelines. The system encodes six validated reasoning strategies into reusable infrastructure, compressing multi-year target discovery into hours.</w:t>
      </w:r>
    </w:p>
    <w:p>
      <w:pPr>
        <w:spacing w:before="300" w:after="40"/>
      </w:pPr>
      <w:r>
        <w:rPr>
          <w:rFonts w:ascii="Arial" w:cs="Arial" w:eastAsia="Arial" w:hAnsi="Arial"/>
          <w:b/>
          <w:bCs/>
          <w:caps/>
          <w:color w:val="2563EB"/>
          <w:sz w:val="16"/>
          <w:szCs w:val="16"/>
        </w:rPr>
        <w:t xml:space="preserve">01</w:t>
      </w:r>
    </w:p>
    <w:p>
      <w:pPr>
        <w:pBdr>
          <w:bottom w:val="single" w:color="2563EB" w:sz="4" w:space="4"/>
        </w:pBdr>
        <w:spacing w:after="160"/>
      </w:pPr>
      <w:r>
        <w:rPr>
          <w:rFonts w:ascii="Arial" w:cs="Arial" w:eastAsia="Arial" w:hAnsi="Arial"/>
          <w:b/>
          <w:bCs/>
          <w:color w:val="1A202C"/>
          <w:sz w:val="28"/>
          <w:szCs w:val="28"/>
        </w:rPr>
        <w:t xml:space="preserve">System Overview</w:t>
      </w:r>
    </w:p>
    <w:p>
      <w:pPr>
        <w:spacing w:after="120" w:line="264"/>
      </w:pPr>
      <w:r>
        <w:rPr>
          <w:rFonts w:ascii="Arial" w:cs="Arial" w:eastAsia="Arial" w:hAnsi="Arial"/>
          <w:sz w:val="20"/>
          <w:szCs w:val="20"/>
        </w:rPr>
        <w:t xml:space="preserve">The system is a hierarchical multi-agent architecture with three layers: a lead researcher agent that manages scientific reasoning, worker agents that execute specific computational tasks, and an infrastructure agent that provisions data and compute. All agents read from and write to a shared SSOT that maintains the complete state of every research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Layer</w:t>
            </w:r>
          </w:p>
        </w:tc>
        <w:tc>
          <w:tcPr>
            <w:tcW w:type="dxa" w:w="3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Role</w:t>
            </w:r>
          </w:p>
        </w:tc>
        <w:tc>
          <w:tcPr>
            <w:tcW w:type="dxa" w:w="39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Implementation</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Lead Researcher</w:t>
            </w:r>
          </w:p>
        </w:tc>
        <w:tc>
          <w:tcPr>
            <w:tcW w:type="dxa" w:w="3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Hypothesis management, experiment selection, evidence interpretation, go/no-go decisions</w:t>
            </w:r>
          </w:p>
        </w:tc>
        <w:tc>
          <w:tcPr>
            <w:tcW w:type="dxa" w:w="39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Claude Opus + SSOT context + reasoning chain prompts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Worker Agents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Execute specific analyses: GWAS triage, DE, MR, druggability scoring, spatial analysis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Claude Sonnet + domain-specific MCPs + compute sandbox</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Infra Agent</w:t>
            </w:r>
          </w:p>
        </w:tc>
        <w:tc>
          <w:tcPr>
            <w:tcW w:type="dxa" w:w="3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Data retrieval, compute provisioning, environment setup, pipeline deployment</w:t>
            </w:r>
          </w:p>
        </w:tc>
        <w:tc>
          <w:tcPr>
            <w:tcW w:type="dxa" w:w="39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Claude Sonnet + cloud APIs + dataset catalog + container orchestration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SSOT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Hypothesis graph, provenance-tracked data registry, decision log, kill conditions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Structured JSON/YAML store with event-sourced mutation log</w:t>
            </w:r>
          </w:p>
        </w:tc>
      </w:tr>
    </w:tbl>
    <w:p>
      <w:pPr>
        <w:spacing w:before="300" w:after="40"/>
      </w:pPr>
      <w:r>
        <w:rPr>
          <w:rFonts w:ascii="Arial" w:cs="Arial" w:eastAsia="Arial" w:hAnsi="Arial"/>
          <w:b/>
          <w:bCs/>
          <w:caps/>
          <w:color w:val="2563EB"/>
          <w:sz w:val="16"/>
          <w:szCs w:val="16"/>
        </w:rPr>
        <w:t xml:space="preserve">02</w:t>
      </w:r>
    </w:p>
    <w:p>
      <w:pPr>
        <w:pBdr>
          <w:bottom w:val="single" w:color="2563EB" w:sz="4" w:space="4"/>
        </w:pBdr>
        <w:spacing w:after="160"/>
      </w:pPr>
      <w:r>
        <w:rPr>
          <w:rFonts w:ascii="Arial" w:cs="Arial" w:eastAsia="Arial" w:hAnsi="Arial"/>
          <w:b/>
          <w:bCs/>
          <w:color w:val="1A202C"/>
          <w:sz w:val="28"/>
          <w:szCs w:val="28"/>
        </w:rPr>
        <w:t xml:space="preserve">Single Source of Truth (SSOT)</w:t>
      </w:r>
    </w:p>
    <w:p>
      <w:pPr>
        <w:spacing w:after="120" w:line="264"/>
      </w:pPr>
      <w:r>
        <w:rPr>
          <w:rFonts w:ascii="Arial" w:cs="Arial" w:eastAsia="Arial" w:hAnsi="Arial"/>
          <w:sz w:val="20"/>
          <w:szCs w:val="20"/>
        </w:rPr>
        <w:t xml:space="preserve">The SSOT is the central coordination mechanism. Agents never communicate directly; all state flows through the SSOT. It contains four subsystems:</w:t>
      </w:r>
    </w:p>
    <w:p>
      <w:pPr>
        <w:pStyle w:val="Heading3"/>
      </w:pPr>
      <w:r>
        <w:rPr>
          <w:rFonts w:ascii="Arial" w:cs="Arial" w:eastAsia="Arial" w:hAnsi="Arial"/>
        </w:rPr>
        <w:t xml:space="preserve">Hypothesis Graph</w:t>
      </w:r>
    </w:p>
    <w:p>
      <w:pPr>
        <w:spacing w:after="120" w:line="264"/>
      </w:pPr>
      <w:r>
        <w:rPr>
          <w:rFonts w:ascii="Arial" w:cs="Arial" w:eastAsia="Arial" w:hAnsi="Arial"/>
          <w:sz w:val="20"/>
          <w:szCs w:val="20"/>
        </w:rPr>
        <w:t xml:space="preserve">A directed acyclic graph where each node is a hypothesis with: unique ID, parent hypothesis (what generated it), confidence score (0–1), supporting evidence with provenance, contradicting evidence, explicit kill conditions, and current status (active / killed / validated). The lead researcher traverses this graph to decide which hypothesis to investigate next and whether any kill conditions have been triggered by new evidence.</w:t>
      </w:r>
    </w:p>
    <w:p>
      <w:pPr>
        <w:pStyle w:val="Heading3"/>
      </w:pPr>
      <w:r>
        <w:rPr>
          <w:rFonts w:ascii="Arial" w:cs="Arial" w:eastAsia="Arial" w:hAnsi="Arial"/>
        </w:rPr>
        <w:t xml:space="preserve">Data Registry</w:t>
      </w:r>
    </w:p>
    <w:p>
      <w:pPr>
        <w:spacing w:after="120" w:line="264"/>
      </w:pPr>
      <w:r>
        <w:rPr>
          <w:rFonts w:ascii="Arial" w:cs="Arial" w:eastAsia="Arial" w:hAnsi="Arial"/>
          <w:sz w:val="20"/>
          <w:szCs w:val="20"/>
        </w:rPr>
        <w:t xml:space="preserve">Every dataset and intermediate result is registered with full lineage. Entry schema: source (GEO accession, database version, computed), processing parameters (tool, version, config), upstream dependencies (which registry entries fed into this one), hash (SHA-256 of output for reproducibility). This is event sourcing applied to scientific data—any result can be recomputed from its provenance chain.</w:t>
      </w:r>
    </w:p>
    <w:p>
      <w:pPr>
        <w:pStyle w:val="Heading3"/>
      </w:pPr>
      <w:r>
        <w:rPr>
          <w:rFonts w:ascii="Arial" w:cs="Arial" w:eastAsia="Arial" w:hAnsi="Arial"/>
        </w:rPr>
        <w:t xml:space="preserve">Decision Log</w:t>
      </w:r>
    </w:p>
    <w:p>
      <w:pPr>
        <w:spacing w:after="120" w:line="264"/>
      </w:pPr>
      <w:r>
        <w:rPr>
          <w:rFonts w:ascii="Arial" w:cs="Arial" w:eastAsia="Arial" w:hAnsi="Arial"/>
          <w:sz w:val="20"/>
          <w:szCs w:val="20"/>
        </w:rPr>
        <w:t xml:space="preserve">Immutable append-only log of every decision the lead researcher makes. Each entry contains: decision (natural language), rationale (why this and not alternatives), evidence consulted (pointers into hypothesis graph and data registry), alternatives considered and why they were rejected. This log is the training data for improving the lead’s reasoning over time.</w:t>
      </w:r>
    </w:p>
    <w:p>
      <w:pPr>
        <w:pStyle w:val="Heading3"/>
      </w:pPr>
      <w:r>
        <w:rPr>
          <w:rFonts w:ascii="Arial" w:cs="Arial" w:eastAsia="Arial" w:hAnsi="Arial"/>
        </w:rPr>
        <w:t xml:space="preserve">Experiment Queue</w:t>
      </w:r>
    </w:p>
    <w:p>
      <w:pPr>
        <w:spacing w:after="120" w:line="264"/>
      </w:pPr>
      <w:r>
        <w:rPr>
          <w:rFonts w:ascii="Arial" w:cs="Arial" w:eastAsia="Arial" w:hAnsi="Arial"/>
          <w:sz w:val="20"/>
          <w:szCs w:val="20"/>
        </w:rPr>
        <w:t xml:space="preserve">Priority-ranked queue of pending experiments. Each entry has: target hypothesis, expected information gain (what belief would change), estimated cost (compute time, data requirements), dependencies (what must complete first). The lead manages this queue; worker agents pull from it.</w:t>
      </w:r>
    </w:p>
    <w:p>
      <w:pPr>
        <w:spacing w:before="300" w:after="40"/>
      </w:pPr>
      <w:r>
        <w:rPr>
          <w:rFonts w:ascii="Arial" w:cs="Arial" w:eastAsia="Arial" w:hAnsi="Arial"/>
          <w:b/>
          <w:bCs/>
          <w:caps/>
          <w:color w:val="2563EB"/>
          <w:sz w:val="16"/>
          <w:szCs w:val="16"/>
        </w:rPr>
        <w:t xml:space="preserve">03</w:t>
      </w:r>
    </w:p>
    <w:p>
      <w:pPr>
        <w:pBdr>
          <w:bottom w:val="single" w:color="2563EB" w:sz="4" w:space="4"/>
        </w:pBdr>
        <w:spacing w:after="160"/>
      </w:pPr>
      <w:r>
        <w:rPr>
          <w:rFonts w:ascii="Arial" w:cs="Arial" w:eastAsia="Arial" w:hAnsi="Arial"/>
          <w:b/>
          <w:bCs/>
          <w:color w:val="1A202C"/>
          <w:sz w:val="28"/>
          <w:szCs w:val="28"/>
        </w:rPr>
        <w:t xml:space="preserve">Agent Specifications</w:t>
      </w:r>
    </w:p>
    <w:p>
      <w:pPr>
        <w:pStyle w:val="Heading2"/>
      </w:pPr>
      <w:r>
        <w:rPr>
          <w:rFonts w:ascii="Arial" w:cs="Arial" w:eastAsia="Arial" w:hAnsi="Arial"/>
        </w:rPr>
        <w:t xml:space="preserve">Lead Researcher Agent</w:t>
      </w:r>
    </w:p>
    <w:p>
      <w:pPr>
        <w:spacing w:after="120" w:line="264"/>
      </w:pPr>
      <w:r>
        <w:rPr>
          <w:rFonts w:ascii="Arial" w:cs="Arial" w:eastAsia="Arial" w:hAnsi="Arial"/>
          <w:sz w:val="20"/>
          <w:szCs w:val="20"/>
        </w:rPr>
        <w:t xml:space="preserve">Responsibilities: (1) read SSOT state and determine highest-value next experiment, (2) dispatch worker agents with precise task specifications, (3) interpret results against full hypothesis graph context, (4) update hypotheses—promote, demote, or kill, (5) detect when pivots are needed (adaptive fallback strategy), (6) enforce adversarial self-critique by scheduling confound tests.</w:t>
      </w:r>
    </w:p>
    <w:p>
      <w:pPr>
        <w:spacing w:after="120" w:line="264"/>
      </w:pPr>
      <w:r>
        <w:rPr>
          <w:rFonts w:ascii="Arial" w:cs="Arial" w:eastAsia="Arial" w:hAnsi="Arial"/>
          <w:b/>
          <w:bCs/>
          <w:sz w:val="20"/>
          <w:szCs w:val="20"/>
        </w:rPr>
        <w:t xml:space="preserve">Reasoning strategies encoded: </w:t>
      </w:r>
      <w:r>
        <w:rPr>
          <w:rFonts w:ascii="Arial" w:cs="Arial" w:eastAsia="Arial" w:hAnsi="Arial"/>
          <w:sz w:val="20"/>
          <w:szCs w:val="20"/>
        </w:rPr>
        <w:t xml:space="preserve">orthogonal evidence filtration, adaptive fallback on failure, multiplicative convergence scoring, adversarial self-critique, cost-ordered evidence cascades, theory-laden weighted integration. These are embedded in the lead’s system prompt as explicit decision procedures.</w:t>
      </w:r>
    </w:p>
    <w:p>
      <w:pPr>
        <w:pStyle w:val="Heading2"/>
      </w:pPr>
      <w:r>
        <w:rPr>
          <w:rFonts w:ascii="Arial" w:cs="Arial" w:eastAsia="Arial" w:hAnsi="Arial"/>
        </w:rPr>
        <w:t xml:space="preserve">Worker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Agent</w:t>
            </w:r>
          </w:p>
        </w:tc>
        <w:tc>
          <w:tcPr>
            <w:tcW w:type="dxa" w:w="24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Input</w:t>
            </w:r>
          </w:p>
        </w:tc>
        <w:tc>
          <w:tcPr>
            <w:tcW w:type="dxa" w:w="24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Output</w:t>
            </w:r>
          </w:p>
        </w:tc>
        <w:tc>
          <w:tcPr>
            <w:tcW w:type="dxa" w:w="27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MCPs / Tools</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GWAS Triage</w:t>
            </w:r>
          </w:p>
        </w:tc>
        <w:tc>
          <w:tcPr>
            <w:tcW w:type="dxa" w:w="2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Disease, GWAS catalog ID</w:t>
            </w:r>
          </w:p>
        </w:tc>
        <w:tc>
          <w:tcPr>
            <w:tcW w:type="dxa" w:w="2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Ranked loci, mapped genes, pathway modules</w:t>
            </w:r>
          </w:p>
        </w:tc>
        <w:tc>
          <w:tcPr>
            <w:tcW w:type="dxa" w:w="27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GWAS Catalog API, LD proxy, gene mapping DB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Expression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Gene list, tissue, disease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DE results, convergence scores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GEO/SRA, DESeq2 compute</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MR / Causality</w:t>
            </w:r>
          </w:p>
        </w:tc>
        <w:tc>
          <w:tcPr>
            <w:tcW w:type="dxa" w:w="2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Gene list, eQTL source</w:t>
            </w:r>
          </w:p>
        </w:tc>
        <w:tc>
          <w:tcPr>
            <w:tcW w:type="dxa" w:w="2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Causal estimates, instrument diagnostics</w:t>
            </w:r>
          </w:p>
        </w:tc>
        <w:tc>
          <w:tcPr>
            <w:tcW w:type="dxa" w:w="27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eQTLGen, GTEx, MR-Base, TwoSampleMR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Confound Test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Gene list, sc/snRNA-seq dataset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Per-cell vs composition classification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CellxGene, Scanpy compute</w:t>
            </w:r>
          </w:p>
        </w:tc>
      </w:tr>
      <w:tr>
        <w:tc>
          <w:tcPr>
            <w:tcW w:type="dxa" w:w="18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Druggability</w:t>
            </w:r>
          </w:p>
        </w:tc>
        <w:tc>
          <w:tcPr>
            <w:tcW w:type="dxa" w:w="2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Protein list</w:t>
            </w:r>
          </w:p>
        </w:tc>
        <w:tc>
          <w:tcPr>
            <w:tcW w:type="dxa" w:w="2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Target class, existing compounds, BBB, clinical status</w:t>
            </w:r>
          </w:p>
        </w:tc>
        <w:tc>
          <w:tcPr>
            <w:tcW w:type="dxa" w:w="276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ChEMBL, UniProt, OpenTargets, DGIdb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Spatial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Gene list, spatial dataset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Niche classification, co-localization scores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Spatial DB, Squidpy compute</w:t>
            </w:r>
          </w:p>
        </w:tc>
      </w:tr>
    </w:tbl>
    <w:p>
      <w:pPr>
        <w:spacing w:after="80"/>
      </w:pPr>
    </w:p>
    <w:p>
      <w:pPr>
        <w:spacing w:after="120" w:line="264"/>
      </w:pPr>
      <w:r>
        <w:rPr>
          <w:rFonts w:ascii="Arial" w:cs="Arial" w:eastAsia="Arial" w:hAnsi="Arial"/>
          <w:b/>
          <w:bCs/>
          <w:sz w:val="20"/>
          <w:szCs w:val="20"/>
        </w:rPr>
        <w:t xml:space="preserve">Worker output contract: </w:t>
      </w:r>
      <w:r>
        <w:rPr>
          <w:rFonts w:ascii="Arial" w:cs="Arial" w:eastAsia="Arial" w:hAnsi="Arial"/>
          <w:sz w:val="20"/>
          <w:szCs w:val="20"/>
        </w:rPr>
        <w:t xml:space="preserve">Every worker returns a structured result object containing: summary verdict, full data table, confidence metrics, quality flags, and provenance metadata. The lead never receives a bare number—it always receives the shape of the result distribution.</w:t>
      </w:r>
    </w:p>
    <w:p>
      <w:pPr>
        <w:pStyle w:val="Heading2"/>
      </w:pPr>
      <w:r>
        <w:rPr>
          <w:rFonts w:ascii="Arial" w:cs="Arial" w:eastAsia="Arial" w:hAnsi="Arial"/>
        </w:rPr>
        <w:t xml:space="preserve">Infrastructure Agent</w:t>
      </w:r>
    </w:p>
    <w:p>
      <w:pPr>
        <w:spacing w:after="120" w:line="264"/>
      </w:pPr>
      <w:r>
        <w:rPr>
          <w:rFonts w:ascii="Arial" w:cs="Arial" w:eastAsia="Arial" w:hAnsi="Arial"/>
          <w:sz w:val="20"/>
          <w:szCs w:val="20"/>
        </w:rPr>
        <w:t xml:space="preserve">The infra agent manages a catalog of compute patterns (DESeq2, MR, docking, MD simulation, structure prediction) and translates abstract requests into execution plans. It handles: dataset discovery and download from public repositories, environment provisioning (containers with correct tool versions), job scheduling and monitoring, result deposition into the SSOT data registry with provenance, and resource cleanup.</w:t>
      </w:r>
    </w:p>
    <w:p>
      <w:pPr>
        <w:spacing w:before="300" w:after="40"/>
      </w:pPr>
      <w:r>
        <w:rPr>
          <w:rFonts w:ascii="Arial" w:cs="Arial" w:eastAsia="Arial" w:hAnsi="Arial"/>
          <w:b/>
          <w:bCs/>
          <w:caps/>
          <w:color w:val="2563EB"/>
          <w:sz w:val="16"/>
          <w:szCs w:val="16"/>
        </w:rPr>
        <w:t xml:space="preserve">04</w:t>
      </w:r>
    </w:p>
    <w:p>
      <w:pPr>
        <w:pBdr>
          <w:bottom w:val="single" w:color="2563EB" w:sz="4" w:space="4"/>
        </w:pBdr>
        <w:spacing w:after="160"/>
      </w:pPr>
      <w:r>
        <w:rPr>
          <w:rFonts w:ascii="Arial" w:cs="Arial" w:eastAsia="Arial" w:hAnsi="Arial"/>
          <w:b/>
          <w:bCs/>
          <w:color w:val="1A202C"/>
          <w:sz w:val="28"/>
          <w:szCs w:val="28"/>
        </w:rPr>
        <w:t xml:space="preserve">Data &amp; MCP Layer</w:t>
      </w:r>
    </w:p>
    <w:p>
      <w:pPr>
        <w:spacing w:after="120" w:line="264"/>
      </w:pPr>
      <w:r>
        <w:rPr>
          <w:rFonts w:ascii="Arial" w:cs="Arial" w:eastAsia="Arial" w:hAnsi="Arial"/>
          <w:sz w:val="20"/>
          <w:szCs w:val="20"/>
        </w:rPr>
        <w:t xml:space="preserve">Each external database is wrapped in an MCP server that normalizes access patterns. The system maintains a local dataset catalog tracking: what has been downloaded, which version, when it was last updated, and what analyses have consumed it.</w:t>
      </w:r>
    </w:p>
    <w:p>
      <w:pPr>
        <w:pStyle w:val="Heading3"/>
      </w:pPr>
      <w:r>
        <w:rPr>
          <w:rFonts w:ascii="Arial" w:cs="Arial" w:eastAsia="Arial" w:hAnsi="Arial"/>
        </w:rPr>
        <w:t xml:space="preserve">Core MCPs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Domain</w:t>
            </w:r>
          </w:p>
        </w:tc>
        <w:tc>
          <w:tcPr>
            <w:tcW w:type="dxa" w:w="368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Sources</w:t>
            </w:r>
          </w:p>
        </w:tc>
        <w:tc>
          <w:tcPr>
            <w:tcW w:type="dxa" w:w="368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Key Operations</w:t>
            </w:r>
          </w:p>
        </w:tc>
      </w:tr>
      <w:tr>
        <w:tc>
          <w:tcPr>
            <w:tcW w:type="dxa" w:w="2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Genomic</w:t>
            </w:r>
          </w:p>
        </w:tc>
        <w:tc>
          <w:tcPr>
            <w:tcW w:type="dxa" w:w="3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GWAS Catalog, ClinVar, gnomAD, dbSNP, Ensembl</w:t>
            </w:r>
          </w:p>
        </w:tc>
        <w:tc>
          <w:tcPr>
            <w:tcW w:type="dxa" w:w="3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Variant lookup, LD expansion, gene mapping, allele frequency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Transcriptomic</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GEO, GTEx, eQTLGen, CellxGene, Allen Brain Atlas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Dataset search, expression query, eQTL lookup, cell-type resolution</w:t>
            </w:r>
          </w:p>
        </w:tc>
      </w:tr>
      <w:tr>
        <w:tc>
          <w:tcPr>
            <w:tcW w:type="dxa" w:w="2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Proteomic</w:t>
            </w:r>
          </w:p>
        </w:tc>
        <w:tc>
          <w:tcPr>
            <w:tcW w:type="dxa" w:w="3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UniProt, PDB, AlphaFold DB, ProteomicsDB</w:t>
            </w:r>
          </w:p>
        </w:tc>
        <w:tc>
          <w:tcPr>
            <w:tcW w:type="dxa" w:w="3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Structure retrieval, domain annotation, interaction networks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Drug/Chemical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ChEMBL, DrugBank, PubChem, DGIdb</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Compound search, bioactivity data, clinical trial status, BBB prediction</w:t>
            </w:r>
          </w:p>
        </w:tc>
      </w:tr>
      <w:tr>
        <w:tc>
          <w:tcPr>
            <w:tcW w:type="dxa" w:w="2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Literature</w:t>
            </w:r>
          </w:p>
        </w:tc>
        <w:tc>
          <w:tcPr>
            <w:tcW w:type="dxa" w:w="3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PubMed, Semantic Scholar, bioRxiv, PMC</w:t>
            </w:r>
          </w:p>
        </w:tc>
        <w:tc>
          <w:tcPr>
            <w:tcW w:type="dxa" w:w="368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Paper search, full-text retrieval, citation graph, structured extraction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Integrative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Open Targets, DisGeNET, STRING, Reactome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Target-disease associations, network analysis, pathway enrichment</w:t>
            </w:r>
          </w:p>
        </w:tc>
      </w:tr>
    </w:tbl>
    <w:p>
      <w:pPr>
        <w:spacing w:before="300" w:after="40"/>
      </w:pPr>
      <w:r>
        <w:rPr>
          <w:rFonts w:ascii="Arial" w:cs="Arial" w:eastAsia="Arial" w:hAnsi="Arial"/>
          <w:b/>
          <w:bCs/>
          <w:caps/>
          <w:color w:val="2563EB"/>
          <w:sz w:val="16"/>
          <w:szCs w:val="16"/>
        </w:rPr>
        <w:t xml:space="preserve">05</w:t>
      </w:r>
    </w:p>
    <w:p>
      <w:pPr>
        <w:pBdr>
          <w:bottom w:val="single" w:color="2563EB" w:sz="4" w:space="4"/>
        </w:pBdr>
        <w:spacing w:after="160"/>
      </w:pPr>
      <w:r>
        <w:rPr>
          <w:rFonts w:ascii="Arial" w:cs="Arial" w:eastAsia="Arial" w:hAnsi="Arial"/>
          <w:b/>
          <w:bCs/>
          <w:color w:val="1A202C"/>
          <w:sz w:val="28"/>
          <w:szCs w:val="28"/>
        </w:rPr>
        <w:t xml:space="preserve">Execution Flow</w:t>
      </w:r>
    </w:p>
    <w:p>
      <w:pPr>
        <w:spacing w:after="120" w:line="264"/>
      </w:pPr>
      <w:r>
        <w:rPr>
          <w:rFonts w:ascii="Arial" w:cs="Arial" w:eastAsia="Arial" w:hAnsi="Arial"/>
          <w:sz w:val="20"/>
          <w:szCs w:val="20"/>
        </w:rPr>
        <w:t xml:space="preserve">A typical target discovery run proceeds as follows. The lead reads the SSOT, which initially contains only the disease specification and therapeutic hypothesis.</w:t>
      </w:r>
    </w:p>
    <w:p>
      <w:pPr>
        <w:pStyle w:val="ListParagraph"/>
        <w:numPr>
          <w:ilvl w:val="0"/>
          <w:numId w:val="2"/>
        </w:numPr>
        <w:spacing w:after="80" w:line="264"/>
      </w:pPr>
      <w:r>
        <w:rPr>
          <w:rFonts w:ascii="Arial" w:cs="Arial" w:eastAsia="Arial" w:hAnsi="Arial"/>
          <w:b/>
          <w:bCs/>
          <w:sz w:val="20"/>
          <w:szCs w:val="20"/>
        </w:rPr>
        <w:t xml:space="preserve">Step 1 — GWAS Triage. </w:t>
      </w:r>
      <w:r>
        <w:rPr>
          <w:rFonts w:ascii="Arial" w:cs="Arial" w:eastAsia="Arial" w:hAnsi="Arial"/>
          <w:sz w:val="20"/>
          <w:szCs w:val="20"/>
        </w:rPr>
        <w:t xml:space="preserve">Lead dispatches GWAS worker with disease ID. Worker queries GWAS Catalog MCP, runs LD clumping, maps genes, classifies pathway modules. Returns ranked gene list + module assignments to SSOT.</w:t>
      </w:r>
    </w:p>
    <w:p>
      <w:pPr>
        <w:pStyle w:val="ListParagraph"/>
        <w:numPr>
          <w:ilvl w:val="0"/>
          <w:numId w:val="2"/>
        </w:numPr>
        <w:spacing w:after="80" w:line="264"/>
      </w:pPr>
      <w:r>
        <w:rPr>
          <w:rFonts w:ascii="Arial" w:cs="Arial" w:eastAsia="Arial" w:hAnsi="Arial"/>
          <w:b/>
          <w:bCs/>
          <w:sz w:val="20"/>
          <w:szCs w:val="20"/>
        </w:rPr>
        <w:t xml:space="preserve">Step 2 — Expression Filter. </w:t>
      </w:r>
      <w:r>
        <w:rPr>
          <w:rFonts w:ascii="Arial" w:cs="Arial" w:eastAsia="Arial" w:hAnsi="Arial"/>
          <w:sz w:val="20"/>
          <w:szCs w:val="20"/>
        </w:rPr>
        <w:t xml:space="preserve">Lead selects appropriate tissue and dataset (using domain knowledge or literature MCP). Dispatches expression worker. Worker runs DE analysis via infra agent compute, returns convergence scores. SSOT hypothesis graph updates: genes without expression evidence get demoted.</w:t>
      </w:r>
    </w:p>
    <w:p>
      <w:pPr>
        <w:pStyle w:val="ListParagraph"/>
        <w:numPr>
          <w:ilvl w:val="0"/>
          <w:numId w:val="2"/>
        </w:numPr>
        <w:spacing w:after="80" w:line="264"/>
      </w:pPr>
      <w:r>
        <w:rPr>
          <w:rFonts w:ascii="Arial" w:cs="Arial" w:eastAsia="Arial" w:hAnsi="Arial"/>
          <w:b/>
          <w:bCs/>
          <w:sz w:val="20"/>
          <w:szCs w:val="20"/>
        </w:rPr>
        <w:t xml:space="preserve">Step 3 — Causal Inference. </w:t>
      </w:r>
      <w:r>
        <w:rPr>
          <w:rFonts w:ascii="Arial" w:cs="Arial" w:eastAsia="Arial" w:hAnsi="Arial"/>
          <w:sz w:val="20"/>
          <w:szCs w:val="20"/>
        </w:rPr>
        <w:t xml:space="preserve">Lead selects eQTL source based on target biology (brain vs blood). If primary source fails (insufficient instruments), lead diagnoses failure mode and pivots to alternative source with documented rationale. Worker runs MR, returns causal estimates + instrument diagnostics.</w:t>
      </w:r>
    </w:p>
    <w:p>
      <w:pPr>
        <w:pStyle w:val="ListParagraph"/>
        <w:numPr>
          <w:ilvl w:val="0"/>
          <w:numId w:val="2"/>
        </w:numPr>
        <w:spacing w:after="80" w:line="264"/>
      </w:pPr>
      <w:r>
        <w:rPr>
          <w:rFonts w:ascii="Arial" w:cs="Arial" w:eastAsia="Arial" w:hAnsi="Arial"/>
          <w:b/>
          <w:bCs/>
          <w:sz w:val="20"/>
          <w:szCs w:val="20"/>
        </w:rPr>
        <w:t xml:space="preserve">Step 4 — Adversarial Test. </w:t>
      </w:r>
      <w:r>
        <w:rPr>
          <w:rFonts w:ascii="Arial" w:cs="Arial" w:eastAsia="Arial" w:hAnsi="Arial"/>
          <w:sz w:val="20"/>
          <w:szCs w:val="20"/>
        </w:rPr>
        <w:t xml:space="preserve">Lead schedules confound test against own results. Dispatches confound worker with snRNA-seq data. Results update hypothesis confidence with caveats (e.g., region-specific artifacts).</w:t>
      </w:r>
    </w:p>
    <w:p>
      <w:pPr>
        <w:pStyle w:val="ListParagraph"/>
        <w:numPr>
          <w:ilvl w:val="0"/>
          <w:numId w:val="2"/>
        </w:numPr>
        <w:spacing w:after="80" w:line="264"/>
      </w:pPr>
      <w:r>
        <w:rPr>
          <w:rFonts w:ascii="Arial" w:cs="Arial" w:eastAsia="Arial" w:hAnsi="Arial"/>
          <w:b/>
          <w:bCs/>
          <w:sz w:val="20"/>
          <w:szCs w:val="20"/>
        </w:rPr>
        <w:t xml:space="preserve">Step 5 — Integration &amp; Scoring. </w:t>
      </w:r>
      <w:r>
        <w:rPr>
          <w:rFonts w:ascii="Arial" w:cs="Arial" w:eastAsia="Arial" w:hAnsi="Arial"/>
          <w:sz w:val="20"/>
          <w:szCs w:val="20"/>
        </w:rPr>
        <w:t xml:space="preserve">Lead runs weighted multiplicative scoring across all evidence layers. Tiered target list deposited in SSOT. Kill conditions checked against full hypothesis graph.</w:t>
      </w:r>
    </w:p>
    <w:p>
      <w:pPr>
        <w:pStyle w:val="ListParagraph"/>
        <w:numPr>
          <w:ilvl w:val="0"/>
          <w:numId w:val="2"/>
        </w:numPr>
        <w:spacing w:after="80" w:line="264"/>
      </w:pPr>
      <w:r>
        <w:rPr>
          <w:rFonts w:ascii="Arial" w:cs="Arial" w:eastAsia="Arial" w:hAnsi="Arial"/>
          <w:b/>
          <w:bCs/>
          <w:sz w:val="20"/>
          <w:szCs w:val="20"/>
        </w:rPr>
        <w:t xml:space="preserve">Step 6 — Drug Landscape + Spatial. </w:t>
      </w:r>
      <w:r>
        <w:rPr>
          <w:rFonts w:ascii="Arial" w:cs="Arial" w:eastAsia="Arial" w:hAnsi="Arial"/>
          <w:sz w:val="20"/>
          <w:szCs w:val="20"/>
        </w:rPr>
        <w:t xml:space="preserve">Druggability and spatial workers validate Tier 1–2 targets. Final nominations written to SSOT with complete provenance chains.</w:t>
      </w:r>
    </w:p>
    <w:p>
      <w:pPr>
        <w:spacing w:before="300" w:after="40"/>
      </w:pPr>
      <w:r>
        <w:rPr>
          <w:rFonts w:ascii="Arial" w:cs="Arial" w:eastAsia="Arial" w:hAnsi="Arial"/>
          <w:b/>
          <w:bCs/>
          <w:caps/>
          <w:color w:val="2563EB"/>
          <w:sz w:val="16"/>
          <w:szCs w:val="16"/>
        </w:rPr>
        <w:t xml:space="preserve">06</w:t>
      </w:r>
    </w:p>
    <w:p>
      <w:pPr>
        <w:pBdr>
          <w:bottom w:val="single" w:color="2563EB" w:sz="4" w:space="4"/>
        </w:pBdr>
        <w:spacing w:after="160"/>
      </w:pPr>
      <w:r>
        <w:rPr>
          <w:rFonts w:ascii="Arial" w:cs="Arial" w:eastAsia="Arial" w:hAnsi="Arial"/>
          <w:b/>
          <w:bCs/>
          <w:color w:val="1A202C"/>
          <w:sz w:val="28"/>
          <w:szCs w:val="28"/>
        </w:rPr>
        <w:t xml:space="preserve">Critical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Risk</w:t>
            </w:r>
          </w:p>
        </w:tc>
        <w:tc>
          <w:tcPr>
            <w:tcW w:type="dxa" w:w="358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Impact</w:t>
            </w:r>
          </w:p>
        </w:tc>
        <w:tc>
          <w:tcPr>
            <w:tcW w:type="dxa" w:w="358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Mitigation</w:t>
            </w:r>
          </w:p>
        </w:tc>
      </w:tr>
      <w:tr>
        <w:tc>
          <w:tcPr>
            <w:tcW w:type="dxa" w:w="2200"/>
            <w:tcBorders>
              <w:top w:val="single" w:color="CCCCCC" w:sz="1"/>
              <w:left w:val="single" w:color="CCCCCC" w:sz="1"/>
              <w:bottom w:val="single" w:color="CCCCCC" w:sz="1"/>
              <w:right w:val="single" w:color="CCCCCC" w:sz="1"/>
            </w:tcBorders>
            <w:shd w:fill="FEF2F2" w:val="clear"/>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Context window overflow</w:t>
            </w:r>
          </w:p>
        </w:tc>
        <w:tc>
          <w:tcPr>
            <w:tcW w:type="dxa" w:w="3580"/>
            <w:tcBorders>
              <w:top w:val="single" w:color="CCCCCC" w:sz="1"/>
              <w:left w:val="single" w:color="CCCCCC" w:sz="1"/>
              <w:bottom w:val="single" w:color="CCCCCC" w:sz="1"/>
              <w:right w:val="single" w:color="CCCCCC" w:sz="1"/>
            </w:tcBorders>
            <w:shd w:fill="FEF2F2"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SSOT exceeds context limits; lead loses coherent view of hypothesis graph</w:t>
            </w:r>
          </w:p>
        </w:tc>
        <w:tc>
          <w:tcPr>
            <w:tcW w:type="dxa" w:w="3580"/>
            <w:tcBorders>
              <w:top w:val="single" w:color="CCCCCC" w:sz="1"/>
              <w:left w:val="single" w:color="CCCCCC" w:sz="1"/>
              <w:bottom w:val="single" w:color="CCCCCC" w:sz="1"/>
              <w:right w:val="single" w:color="CCCCCC" w:sz="1"/>
            </w:tcBorders>
            <w:shd w:fill="FEF2F2"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RAG over SSOT with relevance-based retrieval; hypothesis graph summary view; hierarchical context loading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Hallucination cascade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Worker hallucinates a p-value or effect direction; error propagates through hypothesis graph</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Checksum verification on all computed results; sanity bounds on statistics; dual-compute validation for critical results</w:t>
            </w:r>
          </w:p>
        </w:tc>
      </w:tr>
      <w:tr>
        <w:tc>
          <w:tcPr>
            <w:tcW w:type="dxa" w:w="2200"/>
            <w:tcBorders>
              <w:top w:val="single" w:color="CCCCCC" w:sz="1"/>
              <w:left w:val="single" w:color="CCCCCC" w:sz="1"/>
              <w:bottom w:val="single" w:color="CCCCCC" w:sz="1"/>
              <w:right w:val="single" w:color="CCCCCC" w:sz="1"/>
            </w:tcBorders>
            <w:shd w:fill="FEF2F2" w:val="clear"/>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Premature generalization</w:t>
            </w:r>
          </w:p>
        </w:tc>
        <w:tc>
          <w:tcPr>
            <w:tcW w:type="dxa" w:w="3580"/>
            <w:tcBorders>
              <w:top w:val="single" w:color="CCCCCC" w:sz="1"/>
              <w:left w:val="single" w:color="CCCCCC" w:sz="1"/>
              <w:bottom w:val="single" w:color="CCCCCC" w:sz="1"/>
              <w:right w:val="single" w:color="CCCCCC" w:sz="1"/>
            </w:tcBorders>
            <w:shd w:fill="FEF2F2"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Building general platform before single-disease pipeline is validated</w:t>
            </w:r>
          </w:p>
        </w:tc>
        <w:tc>
          <w:tcPr>
            <w:tcW w:type="dxa" w:w="3580"/>
            <w:tcBorders>
              <w:top w:val="single" w:color="CCCCCC" w:sz="1"/>
              <w:left w:val="single" w:color="CCCCCC" w:sz="1"/>
              <w:bottom w:val="single" w:color="CCCCCC" w:sz="1"/>
              <w:right w:val="single" w:color="CCCCCC" w:sz="1"/>
            </w:tcBorders>
            <w:shd w:fill="FEF2F2"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Phase 1 = AD only. Generalize only after reproducing known results end-to-end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Domain knowledge gaps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Lead makes biologically invalid pivots (e.g., using blood eQTLs for brain-specific genes)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Structured biological knowledge graph encoding tissue-lineage relationships, cell-type hierarchies, and valid proxy mappings</w:t>
            </w:r>
          </w:p>
        </w:tc>
      </w:tr>
    </w:tbl>
    <w:p>
      <w:pPr>
        <w:spacing w:before="300" w:after="40"/>
      </w:pPr>
      <w:r>
        <w:rPr>
          <w:rFonts w:ascii="Arial" w:cs="Arial" w:eastAsia="Arial" w:hAnsi="Arial"/>
          <w:b/>
          <w:bCs/>
          <w:caps/>
          <w:color w:val="2563EB"/>
          <w:sz w:val="16"/>
          <w:szCs w:val="16"/>
        </w:rPr>
        <w:t xml:space="preserve">07</w:t>
      </w:r>
    </w:p>
    <w:p>
      <w:pPr>
        <w:pBdr>
          <w:bottom w:val="single" w:color="2563EB" w:sz="4" w:space="4"/>
        </w:pBdr>
        <w:spacing w:after="160"/>
      </w:pPr>
      <w:r>
        <w:rPr>
          <w:rFonts w:ascii="Arial" w:cs="Arial" w:eastAsia="Arial" w:hAnsi="Arial"/>
          <w:b/>
          <w:bCs/>
          <w:color w:val="1A202C"/>
          <w:sz w:val="28"/>
          <w:szCs w:val="28"/>
        </w:rPr>
        <w:t xml:space="preserve">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c>
          <w:tcPr>
            <w:tcW w:type="dxa" w:w="14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Scope</w:t>
            </w:r>
          </w:p>
        </w:tc>
        <w:tc>
          <w:tcPr>
            <w:tcW w:type="dxa" w:w="3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Deliverable</w:t>
            </w:r>
          </w:p>
        </w:tc>
        <w:tc>
          <w:tcPr>
            <w:tcW w:type="dxa" w:w="2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spacing w:after="40" w:line="240"/>
            </w:pPr>
            <w:r>
              <w:rPr>
                <w:rFonts w:ascii="Arial" w:cs="Arial" w:eastAsia="Arial" w:hAnsi="Arial"/>
                <w:b/>
                <w:bCs/>
                <w:color w:val="FFFFFF"/>
                <w:sz w:val="18"/>
                <w:szCs w:val="18"/>
              </w:rPr>
              <w:t xml:space="preserve">Success Criteria</w:t>
            </w:r>
          </w:p>
        </w:tc>
      </w:tr>
      <w:tr>
        <w:tc>
          <w:tcPr>
            <w:tcW w:type="dxa" w:w="14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P1: Monolith</w:t>
            </w:r>
          </w:p>
        </w:tc>
        <w:tc>
          <w:tcPr>
            <w:tcW w:type="dxa" w:w="2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Single Claude Code session reproducing AD pipeline end-to-end</w:t>
            </w:r>
          </w:p>
        </w:tc>
        <w:tc>
          <w:tcPr>
            <w:tcW w:type="dxa" w:w="3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Automated GWAS → target list with SSOT output file</w:t>
            </w:r>
          </w:p>
        </w:tc>
        <w:tc>
          <w:tcPr>
            <w:tcW w:type="dxa" w:w="256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Reproduces INPP5D/MS4A6A/PICALM ranking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P2: Agents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Decomposed workers + lead orchestration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Multi-agent pipeline with SSOT, hypothesis graph, decision log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Lead makes correct brain → blood eQTL pivot autonomously</w:t>
            </w:r>
          </w:p>
        </w:tc>
      </w:tr>
      <w:tr>
        <w:tc>
          <w:tcPr>
            <w:tcW w:type="dxa" w:w="14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P3: Infra</w:t>
            </w:r>
          </w:p>
        </w:tc>
        <w:tc>
          <w:tcPr>
            <w:tcW w:type="dxa" w:w="2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Compute orchestration + dataset catalog + heavy analyses</w:t>
            </w:r>
          </w:p>
        </w:tc>
        <w:tc>
          <w:tcPr>
            <w:tcW w:type="dxa" w:w="3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Infra agent handles docking, MD, structure prediction jobs</w:t>
            </w:r>
          </w:p>
        </w:tc>
        <w:tc>
          <w:tcPr>
            <w:tcW w:type="dxa" w:w="256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pPr>
              <w:spacing w:after="40" w:line="240"/>
            </w:pPr>
            <w:r>
              <w:rPr>
                <w:rFonts w:ascii="Arial" w:cs="Arial" w:eastAsia="Arial" w:hAnsi="Arial"/>
                <w:color w:val="1A202C"/>
                <w:sz w:val="18"/>
                <w:szCs w:val="18"/>
              </w:rPr>
              <w:t xml:space="preserve">End-to-end from genome to binding simulation without manual intervention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b/>
                <w:bCs/>
                <w:color w:val="1A202C"/>
                <w:sz w:val="18"/>
                <w:szCs w:val="18"/>
              </w:rPr>
              <w:t xml:space="preserve">P4: Generalize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Multi-disease validation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Pipeline runs on PD, ALS, FTD, lupus with disease-specific knowledge injection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line="240"/>
            </w:pPr>
            <w:r>
              <w:rPr>
                <w:rFonts w:ascii="Arial" w:cs="Arial" w:eastAsia="Arial" w:hAnsi="Arial"/>
                <w:color w:val="1A202C"/>
                <w:sz w:val="18"/>
                <w:szCs w:val="18"/>
              </w:rPr>
              <w:t xml:space="preserve">Produces novel, defensible target nominations for ≥2 additional diseases</w:t>
            </w:r>
          </w:p>
        </w:tc>
      </w:tr>
    </w:tbl>
    <w:p>
      <w:pPr>
        <w:pBdr>
          <w:top w:val="single" w:color="CBD5E1" w:sz="2" w:space="8"/>
        </w:pBdr>
        <w:spacing w:before="300" w:after="0"/>
      </w:pPr>
      <w:r>
        <w:rPr>
          <w:rFonts w:ascii="Arial" w:cs="Arial" w:eastAsia="Arial" w:hAnsi="Arial"/>
          <w:i/>
          <w:iCs/>
          <w:color w:val="94A3B8"/>
          <w:sz w:val="18"/>
          <w:szCs w:val="18"/>
        </w:rPr>
        <w:t xml:space="preserve">Built on Claude Code. Reasoning strategies extracted from a validated AD target discovery pipeline (55 → 3 targets, 2 days, independently converging with an $11.3M NIH program).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right"/>
    </w:pPr>
    <w:r>
      <w:rPr>
        <w:rFonts w:ascii="Arial" w:cs="Arial" w:eastAsia="Arial" w:hAnsi="Arial"/>
        <w:color w:val="94A3B8"/>
        <w:sz w:val="14"/>
        <w:szCs w:val="14"/>
      </w:rPr>
      <w:t xml:space="preserve">CONFIDENTIAL</w:t>
    </w:r>
    <w:r>
      <w:rPr>
        <w:rFonts w:ascii="Arial" w:cs="Arial" w:eastAsia="Arial" w:hAnsi="Arial"/>
        <w:color w:val="94A3B8"/>
        <w:sz w:val="14"/>
        <w:szCs w:val="14"/>
      </w:rPr>
      <w:t xml:space="preserve">  |  Page </w:t>
    </w:r>
    <w:r>
      <w:rPr>
        <w:rFonts w:ascii="Arial" w:cs="Arial" w:eastAsia="Arial" w:hAnsi="Arial"/>
        <w:color w:val="94A3B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spacing w:after="0"/>
    </w:pPr>
    <w:r>
      <w:rPr>
        <w:rFonts w:ascii="Arial" w:cs="Arial" w:eastAsia="Arial" w:hAnsi="Arial"/>
        <w:b/>
        <w:bCs/>
        <w:color w:val="94A3B8"/>
        <w:sz w:val="14"/>
        <w:szCs w:val="14"/>
      </w:rPr>
      <w:t xml:space="preserve">ARCHITECTURE DOCUMENT</w:t>
    </w:r>
    <w:r>
      <w:rPr>
        <w:rFonts w:ascii="Arial" w:cs="Arial" w:eastAsia="Arial" w:hAnsi="Arial"/>
        <w:color w:val="CBD5E1"/>
        <w:sz w:val="14"/>
        <w:szCs w:val="14"/>
      </w:rPr>
      <w:t xml:space="preserve">  |  </w:t>
    </w:r>
    <w:r>
      <w:rPr>
        <w:rFonts w:ascii="Arial" w:cs="Arial" w:eastAsia="Arial" w:hAnsi="Arial"/>
        <w:color w:val="94A3B8"/>
        <w:sz w:val="14"/>
        <w:szCs w:val="14"/>
      </w:rPr>
      <w:t xml:space="preserve">Agentic Computational Biology Research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240" w:after="140"/>
      <w:outlineLvl w:val="1"/>
    </w:pPr>
    <w:rPr>
      <w:rFonts w:ascii="Arial" w:cs="Arial" w:eastAsia="Arial" w:hAnsi="Arial"/>
      <w:b/>
      <w:bCs/>
      <w:color w:val="1E293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2026-03-02T08:30:54.608Z</dcterms:created>
  <dcterms:modified xsi:type="dcterms:W3CDTF">2026-03-02T08:30:54.609Z</dcterms:modified>
</cp:coreProperties>
</file>

<file path=docProps/custom.xml><?xml version="1.0" encoding="utf-8"?>
<Properties xmlns="http://schemas.openxmlformats.org/officeDocument/2006/custom-properties" xmlns:vt="http://schemas.openxmlformats.org/officeDocument/2006/docPropsVTypes"/>
</file>