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Office Hours, TR 11am-noon in Northrop 210 or by appointment</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2nd Edition,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will serve as an opportunity to work collaboratively on the homework problem sets with the TA available for help. The lab will also include some exercises that involve analyzing real-world hydrological data and getting hands-on experience with software and tools.</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3"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50% of your total grade</w:t>
      </w:r>
    </w:p>
    <w:p>
      <w:pPr>
        <w:numPr>
          <w:ilvl w:val="0"/>
          <w:numId w:val="1001"/>
        </w:numPr>
        <w:pStyle w:val="Compact"/>
      </w:pPr>
      <w:r>
        <w:t xml:space="preserve">Each exam will constitute 25% of your total grade</w:t>
      </w:r>
    </w:p>
    <w:p>
      <w:pPr>
        <w:pStyle w:val="FirstParagraph"/>
      </w:pPr>
      <w:r>
        <w:t xml:space="preserve">500 Level</w:t>
      </w:r>
    </w:p>
    <w:p>
      <w:pPr>
        <w:numPr>
          <w:ilvl w:val="0"/>
          <w:numId w:val="1002"/>
        </w:numPr>
        <w:pStyle w:val="Compact"/>
      </w:pPr>
      <w:r>
        <w:t xml:space="preserve">Homework will constitute 40%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20%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at arcsrvs@unm.edu or 505-277-3506.</w:t>
      </w:r>
    </w:p>
    <w:p>
      <w:pPr>
        <w:pStyle w:val="BodyText"/>
      </w:pPr>
      <w:r>
        <w:rPr>
          <w:bCs/>
          <w:b/>
        </w:rPr>
        <w:t xml:space="preserve">UAP 2720 and 2740</w:t>
      </w:r>
      <w:r>
        <w:t xml:space="preserve">. Our classroom and university should foster mutual respect, kindness, and support. If you have concerns about discrimination, harassment, or violence, please seek support and report incidents. Find confidential services at LoboRESPECT Advocacy Center, the Women’s Resource Center, and the LGBTQ Resource Center. UNM prohibits discrimination on the basis of sex (including gender, sex stereotyping, gender expression, and gender identity). All instructors are</w:t>
      </w:r>
      <w:r>
        <w:t xml:space="preserve"> </w:t>
      </w:r>
      <w:r>
        <w:t xml:space="preserve">“</w:t>
      </w:r>
      <w:r>
        <w:t xml:space="preserve">responsible employees</w:t>
      </w:r>
      <w:r>
        <w:t xml:space="preserve">”</w:t>
      </w:r>
      <w:r>
        <w:t xml:space="preserve"> </w:t>
      </w:r>
      <w:r>
        <w:t xml:space="preserve">who must communicate reports of sexual harassment, sexual misconduct and sexual violence to Compliance, Ethics and Equal Opportunity. For more information, please see UAP 2720 and UAP 2740.</w:t>
      </w:r>
    </w:p>
    <w:p>
      <w:pPr>
        <w:pStyle w:val="BodyText"/>
      </w:pPr>
      <w:r>
        <w:rPr>
          <w:bCs/>
          <w:b/>
        </w:rPr>
        <w:t xml:space="preserve">Course Materials Access</w:t>
      </w:r>
      <w:r>
        <w:t xml:space="preserve">: Your digital course materials are directly available now on the My Shelf link in Canvas. Your physical course materials, such as books and required lab/studio course kits, are available at the UNM Bookstore, and you will receive an email about how to pick them up. To simplify your course materials access, you are automatically enrolled in a Complete option at a flat rate of $279 per semester. This will show up on your bursar bill. The Complete option covers all your required course materials for all your Albuquerque campus courses, including any graduate courses you may be taking (branch campus course materials are billed and available separately). If you are interested in course materials access for only selected courses, or if you want to opt out entirely, you will need to select the option you want in the My Shelf link in Canvas. You can change your selected option in the My Shelf link in Canvas until the registrar’s</w:t>
      </w:r>
      <w:r>
        <w:t xml:space="preserve"> </w:t>
      </w:r>
      <w:r>
        <w:t xml:space="preserve">“</w:t>
      </w:r>
      <w:r>
        <w:t xml:space="preserve">Last Day to Drop Without a</w:t>
      </w:r>
      <w:r>
        <w:t xml:space="preserve"> </w:t>
      </w:r>
      <w:r>
        <w:t xml:space="preserve">‘</w:t>
      </w:r>
      <w:r>
        <w:t xml:space="preserve">W</w:t>
      </w:r>
      <w:r>
        <w:t xml:space="preserve">’</w:t>
      </w:r>
      <w:r>
        <w:t xml:space="preserve"> </w:t>
      </w:r>
      <w:r>
        <w:t xml:space="preserve">Grade and 100% Tuition Refund.</w:t>
      </w:r>
      <w:r>
        <w:t xml:space="preserve">”</w:t>
      </w:r>
      <w:r>
        <w:t xml:space="preserve"> </w:t>
      </w:r>
      <w:r>
        <w:t xml:space="preserve">Make sure that you review the video and information here to understand cost and the options for Complete (automatic enrollment), Select (take action), and Opt-out (take action).</w:t>
      </w:r>
    </w:p>
    <w:p>
      <w:pPr>
        <w:pStyle w:val="BodyText"/>
      </w:pPr>
      <w:r>
        <w:rPr>
          <w:bCs/>
          <w:b/>
        </w:rPr>
        <w:t xml:space="preserve">Respectful Conduct Expectations</w:t>
      </w:r>
      <w:r>
        <w:t xml:space="preserve">: I am committed to building with you a positive classroom environment in which everyone can learn. I reserve the right to intervene and enforce standards of respectful behavior when classroom conduct is inconsistent with University expectations. Interventions and enforcement may include but are not limited to required meetings to discuss classroom expectations, written notification of expectations, and/or removal from a class meeting. The University of New Mexico ensures freedom of academic inquiry, free expression and open debate, and a respectful campus through adherence to the following policies: D75: Classroom Conduct, Student Code of Conduct, University Policy 2240 – Respectful Campus, University Policy 2210 – Campus Violence.</w:t>
      </w:r>
    </w:p>
    <w:p>
      <w:pPr>
        <w:pStyle w:val="BodyText"/>
      </w:pPr>
      <w:r>
        <w:rPr>
          <w:bCs/>
          <w:b/>
        </w:rPr>
        <w:t xml:space="preserve">Religions and Faith Traditions</w:t>
      </w:r>
      <w:r>
        <w:t xml:space="preserve">: The University of New Mexico promotes respect for all religions and faith traditions. Any student who is unable to attend classes or to participate in any examination, presentation, or assignment on a given day because of the observance of a major religious holiday or cultural observance, or due to related travel, is encouraged to speak with their instructor about an excused absence and opportunities to make up, without unreasonable burden, any work that has been missed.</w:t>
      </w:r>
    </w:p>
    <w:p>
      <w:pPr>
        <w:pStyle w:val="BodyText"/>
      </w:pPr>
      <w:r>
        <w:rPr>
          <w:bCs/>
          <w:b/>
        </w:rPr>
        <w:t xml:space="preserve">Thriving and Finding Support</w:t>
      </w:r>
      <w:r>
        <w:t xml:space="preserve">: Students are especially successful at UNM when they take advantage of support and get involved in campus and academic life. Your MyUNM login page provides direct links to wellbeing resources, including financial capability, mental health, food, jobs, and resource centers. MyUNM will help you identify academic resources like peer tutoring and opportunities like study abroad. You can contact academic advisors and resource advisors for information and guidance via Student Hub on MyUNM. I look forward to providing you with information about academic opportunities related to our class and to helping you find support resources.</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28">
        <w:r>
          <w:rPr>
            <w:rStyle w:val="Hyperlink"/>
          </w:rPr>
          <w:t xml:space="preserve">https://loborespect.unm.edu</w:t>
        </w:r>
      </w:hyperlink>
      <w:r>
        <w:t xml:space="preserve">), the Women’s Resource Center (</w:t>
      </w:r>
      <w:hyperlink r:id="rId29">
        <w:r>
          <w:rPr>
            <w:rStyle w:val="Hyperlink"/>
          </w:rPr>
          <w:t xml:space="preserve">https://women.unm.edu</w:t>
        </w:r>
      </w:hyperlink>
      <w:r>
        <w:t xml:space="preserve">), and the LGBTQ Resource Center (</w:t>
      </w:r>
      <w:hyperlink r:id="rId30">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1">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2">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Responsible Learning and Academic Honesty</w:t>
      </w:r>
      <w:r>
        <w:t xml:space="preserve">: Cheating and plagiarism (academic dishonesty) are often driven by lack of time, desperation, or lack of knowledge about how to identify a source. Communicate with me and ask for help, even at the last minute, rather than risking your academic career by committing academic dishonesty. Academic dishonesty involves claiming that work created by another source is your own original work. It is a Student Code of Conduct violation that can lead to a disciplinary procedure. When you use a resource in work submitted for this class, document how you used it and distinguish clearly between your original work and the material taken from the resource.</w:t>
      </w:r>
    </w:p>
    <w:p>
      <w:pPr>
        <w:pStyle w:val="BodyText"/>
      </w:pPr>
      <w:r>
        <w:rPr>
          <w:bCs/>
          <w:b/>
        </w:rPr>
        <w:t xml:space="preserve">Credit-hour statement:</w:t>
      </w:r>
      <w:r>
        <w:t xml:space="preserve"> </w:t>
      </w:r>
      <w:r>
        <w:t xml:space="preserve">EPS 522 is a three credit-hour course. Class meets for two 75-minute sessions of direct instruction for fifteen weeks during the Fall 2025 semester. ENVS 423L is a four credit-hour course, where on top of the two 75-minute sessions of direct instruction, there is a two hour and 50-minute lab each week. Please plan for a minimum of six hours of out-of-class work (or homework, study, assignment completion, and class preparation) each week.</w:t>
      </w:r>
    </w:p>
    <w:bookmarkEnd w:id="33"/>
    <w:bookmarkStart w:id="34"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jc w:val="left"/>
            </w:pPr>
            <w:r>
              <w:t xml:space="preserve">HW1</w:t>
            </w: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Snow/Snowmelt (guest lecture)</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jc w:val="left"/>
            </w:pPr>
            <w:r>
              <w:t xml:space="preserve">HW3</w:t>
            </w: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Streamflow</w:t>
            </w:r>
          </w:p>
        </w:tc>
        <w:tc>
          <w:tcPr/>
          <w:p>
            <w:pPr>
              <w:pStyle w:val="Compact"/>
              <w:jc w:val="left"/>
            </w:pPr>
            <w:r>
              <w:t xml:space="preserve">Ch. 9</w:t>
            </w:r>
          </w:p>
        </w:tc>
        <w:tc>
          <w:tcPr/>
          <w:p>
            <w:pPr>
              <w:pStyle w:val="Compact"/>
              <w:jc w:val="left"/>
            </w:pPr>
            <w:r>
              <w:t xml:space="preserve">HW4</w:t>
            </w: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Evapo(transpir)ation (guest lecture)</w:t>
            </w:r>
          </w:p>
        </w:tc>
        <w:tc>
          <w:tcPr/>
          <w:p>
            <w:pPr>
              <w:pStyle w:val="Compact"/>
              <w:jc w:val="left"/>
            </w:pPr>
            <w:r>
              <w:t xml:space="preserve">Ch. 9</w:t>
            </w:r>
          </w:p>
        </w:tc>
        <w:tc>
          <w:tcPr/>
          <w:p>
            <w:pPr>
              <w:pStyle w:val="Compact"/>
              <w:jc w:val="left"/>
            </w:pPr>
            <w:r>
              <w:t xml:space="preserve">HW5</w:t>
            </w: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 (guest lecture)</w:t>
            </w:r>
          </w:p>
        </w:tc>
        <w:tc>
          <w:tcPr/>
          <w:p>
            <w:pPr>
              <w:pStyle w:val="Compact"/>
            </w:pPr>
          </w:p>
        </w:tc>
        <w:tc>
          <w:tcPr/>
          <w:p>
            <w:pPr>
              <w:pStyle w:val="Compact"/>
            </w:pP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Review</w:t>
            </w:r>
          </w:p>
        </w:tc>
        <w:tc>
          <w:tcPr/>
          <w:p>
            <w:pPr>
              <w:pStyle w:val="Compact"/>
            </w:pPr>
          </w:p>
        </w:tc>
        <w:tc>
          <w:tcPr/>
          <w:p>
            <w:pPr>
              <w:pStyle w:val="Compact"/>
              <w:jc w:val="left"/>
            </w:pPr>
            <w:r>
              <w:t xml:space="preserve">Project Lit. Review Due</w:t>
            </w: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Vadose Zone (guest lecture)</w:t>
            </w:r>
          </w:p>
        </w:tc>
        <w:tc>
          <w:tcPr/>
          <w:p>
            <w:pPr>
              <w:pStyle w:val="Compact"/>
              <w:jc w:val="left"/>
            </w:pPr>
            <w:r>
              <w:t xml:space="preserve">Ch. 6</w:t>
            </w:r>
          </w:p>
        </w:tc>
        <w:tc>
          <w:tcPr/>
          <w:p>
            <w:pPr>
              <w:pStyle w:val="Compact"/>
              <w:jc w:val="left"/>
            </w:pPr>
            <w:r>
              <w:t xml:space="preserve">HW6</w:t>
            </w: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HW7</w:t>
            </w: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Groundwater</w:t>
            </w:r>
          </w:p>
        </w:tc>
        <w:tc>
          <w:tcPr/>
          <w:p>
            <w:pPr>
              <w:pStyle w:val="Compact"/>
            </w:pPr>
          </w:p>
        </w:tc>
        <w:tc>
          <w:tcPr/>
          <w:p>
            <w:pPr>
              <w:pStyle w:val="Compact"/>
              <w:jc w:val="left"/>
            </w:pPr>
            <w:r>
              <w:t xml:space="preserve">HW8</w:t>
            </w: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Hydrologic Modeling</w:t>
            </w:r>
          </w:p>
        </w:tc>
        <w:tc>
          <w:tcPr/>
          <w:p>
            <w:pPr>
              <w:pStyle w:val="Compact"/>
              <w:jc w:val="left"/>
            </w:pPr>
            <w:r>
              <w:t xml:space="preserve">Ch. 2.9, 9.5–6</w:t>
            </w:r>
          </w:p>
        </w:tc>
        <w:tc>
          <w:tcPr/>
          <w:p>
            <w:pPr>
              <w:pStyle w:val="Compact"/>
            </w:pP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jc w:val="left"/>
            </w:pPr>
            <w:r>
              <w:t xml:space="preserve">HW9</w:t>
            </w: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jc w:val="left"/>
            </w:pPr>
            <w:r>
              <w:t xml:space="preserve">Ch. 10</w:t>
            </w:r>
          </w:p>
        </w:tc>
        <w:tc>
          <w:tcPr/>
          <w:p>
            <w:pPr>
              <w:pStyle w:val="Compact"/>
            </w:pP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Water Resources Management</w:t>
            </w:r>
          </w:p>
        </w:tc>
        <w:tc>
          <w:tcPr/>
          <w:p>
            <w:pPr>
              <w:pStyle w:val="Compact"/>
              <w:jc w:val="left"/>
            </w:pPr>
            <w:r>
              <w:t xml:space="preserve">Ch. 10</w:t>
            </w:r>
          </w:p>
        </w:tc>
        <w:tc>
          <w:tcPr/>
          <w:p>
            <w:pPr>
              <w:pStyle w:val="Compact"/>
              <w:jc w:val="left"/>
            </w:pPr>
            <w:r>
              <w:t xml:space="preserve">HW10</w:t>
            </w: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pP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pPr>
          </w:p>
        </w:tc>
      </w:tr>
      <w:tr>
        <w:tc>
          <w:tcPr/>
          <w:p>
            <w:pPr>
              <w:pStyle w:val="Compact"/>
              <w:jc w:val="left"/>
            </w:pPr>
            <w:r>
              <w:t xml:space="preserve">?</w:t>
            </w:r>
          </w:p>
        </w:tc>
        <w:tc>
          <w:tcPr/>
          <w:p>
            <w:pPr>
              <w:pStyle w:val="Compact"/>
              <w:jc w:val="left"/>
            </w:pPr>
            <w:r>
              <w:t xml:space="preserve">?</w:t>
            </w:r>
          </w:p>
        </w:tc>
        <w:tc>
          <w:tcPr/>
          <w:p>
            <w:pPr>
              <w:pStyle w:val="Compact"/>
              <w:jc w:val="left"/>
            </w:pPr>
            <w:r>
              <w:t xml:space="preserve">Comprehensive Exam</w:t>
            </w:r>
          </w:p>
        </w:tc>
        <w:tc>
          <w:tcPr/>
          <w:p>
            <w:pPr>
              <w:pStyle w:val="Compact"/>
            </w:pPr>
          </w:p>
        </w:tc>
        <w:tc>
          <w:tcPr/>
          <w:p>
            <w:pPr>
              <w:pStyle w:val="Compact"/>
            </w:pPr>
          </w:p>
        </w:tc>
      </w:tr>
    </w:tbl>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2025-08-20T13:51:04Z</dcterms:created>
  <dcterms:modified xsi:type="dcterms:W3CDTF">2025-08-20T13:51:04Z</dcterms:modified>
</cp:coreProperties>
</file>

<file path=docProps/custom.xml><?xml version="1.0" encoding="utf-8"?>
<Properties xmlns="http://schemas.openxmlformats.org/officeDocument/2006/custom-properties" xmlns:vt="http://schemas.openxmlformats.org/officeDocument/2006/docPropsVTypes"/>
</file>