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p>
    <w:p>
      <w:pPr>
        <w:spacing w:before="0" w:after="120" w:line="276" w:lineRule="auto"/>
      </w:pPr>
    </w:p>
    <w:p>
      <w:pPr>
        <w:spacing w:before="0" w:after="120" w:line="276" w:lineRule="auto"/>
      </w:pPr>
    </w:p>
    <w:p>
      <w:pPr>
        <w:spacing w:before="0" w:after="120" w:line="276" w:lineRule="auto"/>
      </w:pPr>
    </w:p>
    <w:p>
      <w:pPr>
        <w:spacing w:before="0" w:after="120" w:line="276" w:lineRule="auto"/>
      </w:pPr>
    </w:p>
    <w:p>
      <w:pPr>
        <w:spacing w:before="0" w:after="360" w:line="252" w:lineRule="auto"/>
      </w:pPr>
      <w:r>
        <w:rPr>
          <w:b/>
          <w:color w:val="1F3A5F"/>
          <w:sz w:val="56"/>
        </w:rPr>
        <w:t>Circular Concrete in the Netherlands</w:t>
      </w:r>
    </w:p>
    <w:p>
      <w:pPr>
        <w:spacing w:before="0" w:after="600" w:line="264" w:lineRule="auto"/>
      </w:pPr>
      <w:r>
        <w:rPr>
          <w:color w:val="6B6B6B"/>
          <w:sz w:val="32"/>
        </w:rPr>
        <w:t>Business Plan and Viability Assessment</w:t>
      </w:r>
    </w:p>
    <w:p>
      <w:pPr>
        <w:spacing w:before="0" w:after="160" w:line="288" w:lineRule="auto"/>
      </w:pPr>
      <w:r>
        <w:rPr>
          <w:b/>
          <w:sz w:val="22"/>
        </w:rPr>
        <w:t>Base case:</w:t>
      </w:r>
      <w:r>
        <w:rPr>
          <w:sz w:val="22"/>
        </w:rPr>
        <w:t xml:space="preserve"> a circular ready-mix concrete plant (recycled aggregate + low-clinker cement), Zuid-Holland</w:t>
      </w:r>
    </w:p>
    <w:p>
      <w:pPr>
        <w:spacing w:before="0" w:after="160" w:line="288" w:lineRule="auto"/>
      </w:pPr>
      <w:r>
        <w:rPr>
          <w:b/>
          <w:sz w:val="22"/>
        </w:rPr>
        <w:t>Prepared for:</w:t>
      </w:r>
      <w:r>
        <w:rPr>
          <w:sz w:val="22"/>
        </w:rPr>
        <w:t xml:space="preserve"> investors and competition jury</w:t>
      </w:r>
    </w:p>
    <w:p>
      <w:pPr>
        <w:spacing w:before="0" w:after="160" w:line="288" w:lineRule="auto"/>
      </w:pPr>
      <w:r>
        <w:rPr>
          <w:b/>
          <w:sz w:val="22"/>
        </w:rPr>
        <w:t>Date:</w:t>
      </w:r>
      <w:r>
        <w:rPr>
          <w:sz w:val="22"/>
        </w:rPr>
        <w:t xml:space="preserve"> 22 October 2026</w:t>
      </w:r>
    </w:p>
    <w:p>
      <w:pPr>
        <w:spacing w:before="0" w:after="160" w:line="288" w:lineRule="auto"/>
      </w:pPr>
      <w:r>
        <w:rPr>
          <w:b/>
          <w:sz w:val="22"/>
        </w:rPr>
        <w:t>Money:</w:t>
      </w:r>
      <w:r>
        <w:rPr>
          <w:sz w:val="22"/>
        </w:rPr>
        <w:t xml:space="preserve"> real 2026 euros, excluding VAT. Discount rate 8% real. Horizon 2026–2036.</w:t>
      </w:r>
    </w:p>
    <w:p>
      <w:pPr>
        <w:spacing w:before="0" w:after="160" w:line="288" w:lineRule="auto"/>
      </w:pPr>
      <w:r>
        <w:rPr>
          <w:b/>
          <w:sz w:val="19"/>
        </w:rPr>
        <w:t>How to read the labels.</w:t>
      </w:r>
      <w:r>
        <w:rPr>
          <w:sz w:val="19"/>
        </w:rPr>
        <w:t xml:space="preserve"> </w:t>
      </w:r>
      <w:r>
        <w:rPr>
          <w:b/>
          <w:sz w:val="19"/>
        </w:rPr>
        <w:t>[VERIFIED]</w:t>
      </w:r>
      <w:r>
        <w:rPr>
          <w:sz w:val="19"/>
        </w:rPr>
        <w:t xml:space="preserve"> = we found and read a source. </w:t>
      </w:r>
      <w:r>
        <w:rPr>
          <w:b/>
          <w:sz w:val="19"/>
        </w:rPr>
        <w:t>[ESTIMATE]</w:t>
      </w:r>
      <w:r>
        <w:rPr>
          <w:sz w:val="19"/>
        </w:rPr>
        <w:t xml:space="preserve"> = we calculated it from sources or from the financial model. </w:t>
      </w:r>
      <w:r>
        <w:rPr>
          <w:b/>
          <w:sz w:val="19"/>
        </w:rPr>
        <w:t>[ASSUMPTION]</w:t>
      </w:r>
      <w:r>
        <w:rPr>
          <w:sz w:val="19"/>
        </w:rPr>
        <w:t xml:space="preserve"> = no source; we explain our reasoning. Codes such as POL-17 or A-MKT-16 point to the source list (Appendix B) and the assumptions register (Appendix A). All model results are estimates from </w:t>
      </w:r>
      <w:r>
        <w:rPr>
          <w:rFonts w:ascii="Consolas" w:hAnsi="Consolas" w:eastAsia="Consolas"/>
          <w:color w:val="6B6B6B"/>
          <w:sz w:val="16"/>
        </w:rPr>
        <w:t>model/financial_model.xlsx</w:t>
      </w:r>
      <w:r>
        <w:rPr>
          <w:sz w:val="19"/>
        </w:rPr>
        <w:t xml:space="preserve"> and </w:t>
      </w:r>
      <w:r>
        <w:rPr>
          <w:rFonts w:ascii="Consolas" w:hAnsi="Consolas" w:eastAsia="Consolas"/>
          <w:color w:val="6B6B6B"/>
          <w:sz w:val="16"/>
        </w:rPr>
        <w:t>model/model_core.py</w:t>
      </w:r>
      <w:r>
        <w:rPr>
          <w:sz w:val="19"/>
        </w:rPr>
        <w:t xml:space="preserve"> (the two give the same numbers).</w:t>
      </w:r>
    </w:p>
    <w:p>
      <w:r>
        <w:br w:type="page"/>
      </w:r>
    </w:p>
    <w:p>
      <w:pPr>
        <w:pStyle w:val="Heading1"/>
      </w:pPr>
      <w:r>
        <w:t>Contents</w:t>
      </w:r>
    </w:p>
    <w:p>
      <w:pPr>
        <w:tabs>
          <w:tab w:pos="425" w:val="left"/>
        </w:tabs>
        <w:spacing w:before="0" w:after="60" w:line="276" w:lineRule="auto"/>
        <w:ind w:left="425" w:hanging="340"/>
      </w:pPr>
      <w:r>
        <w:t>1.</w:t>
        <w:tab/>
      </w:r>
      <w:r>
        <w:t>Executive summary</w:t>
      </w:r>
    </w:p>
    <w:p>
      <w:pPr>
        <w:tabs>
          <w:tab w:pos="425" w:val="left"/>
        </w:tabs>
        <w:spacing w:before="0" w:after="60" w:line="276" w:lineRule="auto"/>
        <w:ind w:left="425" w:hanging="340"/>
      </w:pPr>
      <w:r>
        <w:t>2.</w:t>
        <w:tab/>
      </w:r>
      <w:r>
        <w:t>Problem and opportunity</w:t>
      </w:r>
    </w:p>
    <w:p>
      <w:pPr>
        <w:tabs>
          <w:tab w:pos="425" w:val="left"/>
        </w:tabs>
        <w:spacing w:before="0" w:after="60" w:line="276" w:lineRule="auto"/>
        <w:ind w:left="425" w:hanging="340"/>
      </w:pPr>
      <w:r>
        <w:t>3.</w:t>
        <w:tab/>
      </w:r>
      <w:r>
        <w:t>Policy and market context</w:t>
      </w:r>
    </w:p>
    <w:p>
      <w:pPr>
        <w:tabs>
          <w:tab w:pos="425" w:val="left"/>
        </w:tabs>
        <w:spacing w:before="0" w:after="60" w:line="276" w:lineRule="auto"/>
        <w:ind w:left="425" w:hanging="340"/>
      </w:pPr>
      <w:r>
        <w:t>4.</w:t>
        <w:tab/>
      </w:r>
      <w:r>
        <w:t>Product, technology and operations</w:t>
      </w:r>
    </w:p>
    <w:p>
      <w:pPr>
        <w:tabs>
          <w:tab w:pos="425" w:val="left"/>
        </w:tabs>
        <w:spacing w:before="0" w:after="60" w:line="276" w:lineRule="auto"/>
        <w:ind w:left="425" w:hanging="340"/>
      </w:pPr>
      <w:r>
        <w:t>5.</w:t>
        <w:tab/>
      </w:r>
      <w:r>
        <w:t>Competition</w:t>
      </w:r>
    </w:p>
    <w:p>
      <w:pPr>
        <w:tabs>
          <w:tab w:pos="425" w:val="left"/>
        </w:tabs>
        <w:spacing w:before="0" w:after="60" w:line="276" w:lineRule="auto"/>
        <w:ind w:left="425" w:hanging="340"/>
      </w:pPr>
      <w:r>
        <w:t>6.</w:t>
        <w:tab/>
      </w:r>
      <w:r>
        <w:t>Price and cost breakdown</w:t>
      </w:r>
    </w:p>
    <w:p>
      <w:pPr>
        <w:tabs>
          <w:tab w:pos="425" w:val="left"/>
        </w:tabs>
        <w:spacing w:before="0" w:after="60" w:line="276" w:lineRule="auto"/>
        <w:ind w:left="425" w:hanging="340"/>
      </w:pPr>
      <w:r>
        <w:t>7.</w:t>
        <w:tab/>
      </w:r>
      <w:r>
        <w:t>Financial plan and scenarios</w:t>
      </w:r>
    </w:p>
    <w:p>
      <w:pPr>
        <w:tabs>
          <w:tab w:pos="425" w:val="left"/>
        </w:tabs>
        <w:spacing w:before="0" w:after="60" w:line="276" w:lineRule="auto"/>
        <w:ind w:left="425" w:hanging="340"/>
      </w:pPr>
      <w:r>
        <w:t>8.</w:t>
        <w:tab/>
      </w:r>
      <w:r>
        <w:t>Viability verdict and options</w:t>
      </w:r>
    </w:p>
    <w:p>
      <w:pPr>
        <w:tabs>
          <w:tab w:pos="425" w:val="left"/>
        </w:tabs>
        <w:spacing w:before="0" w:after="60" w:line="276" w:lineRule="auto"/>
        <w:ind w:left="425" w:hanging="340"/>
      </w:pPr>
      <w:r>
        <w:t>9.</w:t>
        <w:tab/>
      </w:r>
      <w:r>
        <w:t>Selling points and go-to-market</w:t>
      </w:r>
    </w:p>
    <w:p>
      <w:pPr>
        <w:tabs>
          <w:tab w:pos="425" w:val="left"/>
        </w:tabs>
        <w:spacing w:before="0" w:after="60" w:line="276" w:lineRule="auto"/>
        <w:ind w:left="425" w:hanging="340"/>
      </w:pPr>
      <w:r>
        <w:t>10.</w:t>
        <w:tab/>
      </w:r>
      <w:r>
        <w:t>Risks and mitigation</w:t>
      </w:r>
    </w:p>
    <w:p>
      <w:pPr>
        <w:tabs>
          <w:tab w:pos="425" w:val="left"/>
        </w:tabs>
        <w:spacing w:before="0" w:after="60" w:line="276" w:lineRule="auto"/>
        <w:ind w:left="425" w:hanging="340"/>
      </w:pPr>
      <w:r>
        <w:t>11.</w:t>
        <w:tab/>
      </w:r>
      <w:r>
        <w:t>Conclusion and next steps</w:t>
      </w:r>
    </w:p>
    <w:p>
      <w:r>
        <w:t>Appendix A — Key assumptions</w:t>
      </w:r>
    </w:p>
    <w:p>
      <w:r>
        <w:t>Appendix B — Key sources</w:t>
      </w:r>
    </w:p>
    <w:p>
      <w:r>
        <w:t>Appendix C — Method and red-team review</w:t>
      </w:r>
    </w:p>
    <w:p>
      <w:pPr>
        <w:pStyle w:val="Heading2"/>
      </w:pPr>
      <w:r>
        <w:t>Words used in this report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916"/>
        <w:gridCol w:w="8720"/>
      </w:tblGrid>
      <w:tr>
        <w:trPr>
          <w:cantSplit w:val="true"/>
          <w:tblHeader w:val="true"/>
        </w:trPr>
        <w:tc>
          <w:tcPr>
            <w:tcW w:type="dxa" w:w="917"/>
            <w:shd w:val="clear" w:color="auto" w:fill="1F3A5F"/>
          </w:tcPr>
          <w:p>
            <w:pPr>
              <w:spacing w:before="0" w:after="0" w:line="252" w:lineRule="auto"/>
            </w:pPr>
            <w:r>
              <w:rPr>
                <w:b/>
                <w:color w:val="FFFFFF"/>
                <w:sz w:val="18"/>
              </w:rPr>
              <w:t>Term</w:t>
            </w:r>
          </w:p>
        </w:tc>
        <w:tc>
          <w:tcPr>
            <w:tcW w:type="dxa" w:w="8721"/>
            <w:shd w:val="clear" w:color="auto" w:fill="1F3A5F"/>
          </w:tcPr>
          <w:p>
            <w:pPr>
              <w:spacing w:before="0" w:after="0" w:line="252" w:lineRule="auto"/>
            </w:pPr>
            <w:r>
              <w:rPr>
                <w:b/>
                <w:color w:val="FFFFFF"/>
                <w:sz w:val="18"/>
              </w:rPr>
              <w:t>Meaning</w:t>
            </w:r>
          </w:p>
        </w:tc>
      </w:tr>
      <w:tr>
        <w:trPr>
          <w:cantSplit w:val="true"/>
        </w:trPr>
        <w:tc>
          <w:tcPr>
            <w:tcW w:type="dxa" w:w="917"/>
          </w:tcPr>
          <w:p>
            <w:pPr>
              <w:spacing w:before="0" w:after="0" w:line="252" w:lineRule="auto"/>
            </w:pPr>
            <w:r>
              <w:rPr>
                <w:b/>
                <w:sz w:val="18"/>
              </w:rPr>
              <w:t>RCA</w:t>
            </w:r>
          </w:p>
        </w:tc>
        <w:tc>
          <w:tcPr>
            <w:tcW w:type="dxa" w:w="8721"/>
          </w:tcPr>
          <w:p>
            <w:pPr>
              <w:spacing w:before="0" w:after="0" w:line="252" w:lineRule="auto"/>
            </w:pPr>
            <w:r>
              <w:rPr>
                <w:sz w:val="18"/>
              </w:rPr>
              <w:t>Recycled concrete aggregate (Dutch: *betongranulaat*). Crushed old concrete that replaces gravel in new concrete.</w:t>
            </w:r>
          </w:p>
        </w:tc>
      </w:tr>
      <w:tr>
        <w:trPr>
          <w:cantSplit w:val="true"/>
        </w:trPr>
        <w:tc>
          <w:tcPr>
            <w:tcW w:type="dxa" w:w="917"/>
            <w:shd w:val="clear" w:color="auto" w:fill="F2F5F9"/>
          </w:tcPr>
          <w:p>
            <w:pPr>
              <w:spacing w:before="0" w:after="0" w:line="252" w:lineRule="auto"/>
            </w:pPr>
            <w:r>
              <w:rPr>
                <w:b/>
                <w:sz w:val="18"/>
              </w:rPr>
              <w:t>CEM III/B</w:t>
            </w:r>
          </w:p>
        </w:tc>
        <w:tc>
          <w:tcPr>
            <w:tcW w:type="dxa" w:w="8721"/>
            <w:shd w:val="clear" w:color="auto" w:fill="F2F5F9"/>
          </w:tcPr>
          <w:p>
            <w:pPr>
              <w:spacing w:before="0" w:after="0" w:line="252" w:lineRule="auto"/>
            </w:pPr>
            <w:r>
              <w:rPr>
                <w:sz w:val="18"/>
              </w:rPr>
              <w:t>Blast-furnace slag cement. It contains only 20–34% clinker, so it has much lower CO₂ than ordinary cement (CEM I). It is the standard cement in Dutch ready-mix concrete.</w:t>
            </w:r>
          </w:p>
        </w:tc>
      </w:tr>
      <w:tr>
        <w:trPr>
          <w:cantSplit w:val="true"/>
        </w:trPr>
        <w:tc>
          <w:tcPr>
            <w:tcW w:type="dxa" w:w="917"/>
          </w:tcPr>
          <w:p>
            <w:pPr>
              <w:spacing w:before="0" w:after="0" w:line="252" w:lineRule="auto"/>
            </w:pPr>
            <w:r>
              <w:rPr>
                <w:b/>
                <w:sz w:val="18"/>
              </w:rPr>
              <w:t>MKI</w:t>
            </w:r>
          </w:p>
        </w:tc>
        <w:tc>
          <w:tcPr>
            <w:tcW w:type="dxa" w:w="8721"/>
          </w:tcPr>
          <w:p>
            <w:pPr>
              <w:spacing w:before="0" w:after="0" w:line="252" w:lineRule="auto"/>
            </w:pPr>
            <w:r>
              <w:rPr>
                <w:sz w:val="18"/>
              </w:rPr>
              <w:t>*Milieukostenindicator*: the environmental cost of a product, in euros of "shadow cost" per m³. Dutch public clients use it in tenders.</w:t>
            </w:r>
          </w:p>
        </w:tc>
      </w:tr>
      <w:tr>
        <w:trPr>
          <w:cantSplit w:val="true"/>
        </w:trPr>
        <w:tc>
          <w:tcPr>
            <w:tcW w:type="dxa" w:w="917"/>
            <w:shd w:val="clear" w:color="auto" w:fill="F2F5F9"/>
          </w:tcPr>
          <w:p>
            <w:pPr>
              <w:spacing w:before="0" w:after="0" w:line="252" w:lineRule="auto"/>
            </w:pPr>
            <w:r>
              <w:rPr>
                <w:b/>
                <w:sz w:val="18"/>
              </w:rPr>
              <w:t>MPG</w:t>
            </w:r>
          </w:p>
        </w:tc>
        <w:tc>
          <w:tcPr>
            <w:tcW w:type="dxa" w:w="8721"/>
            <w:shd w:val="clear" w:color="auto" w:fill="F2F5F9"/>
          </w:tcPr>
          <w:p>
            <w:pPr>
              <w:spacing w:before="0" w:after="0" w:line="252" w:lineRule="auto"/>
            </w:pPr>
            <w:r>
              <w:rPr>
                <w:sz w:val="18"/>
              </w:rPr>
              <w:t>*Milieuprestatie Gebouwen*: the legal limit for the environmental impact of a new building, in € shadow cost per m² floor area per year.</w:t>
            </w:r>
          </w:p>
        </w:tc>
      </w:tr>
      <w:tr>
        <w:trPr>
          <w:cantSplit w:val="true"/>
        </w:trPr>
        <w:tc>
          <w:tcPr>
            <w:tcW w:type="dxa" w:w="917"/>
          </w:tcPr>
          <w:p>
            <w:pPr>
              <w:spacing w:before="0" w:after="0" w:line="252" w:lineRule="auto"/>
            </w:pPr>
            <w:r>
              <w:rPr>
                <w:b/>
                <w:sz w:val="18"/>
              </w:rPr>
              <w:t>Gate fee</w:t>
            </w:r>
          </w:p>
        </w:tc>
        <w:tc>
          <w:tcPr>
            <w:tcW w:type="dxa" w:w="8721"/>
          </w:tcPr>
          <w:p>
            <w:pPr>
              <w:spacing w:before="0" w:after="0" w:line="252" w:lineRule="auto"/>
            </w:pPr>
            <w:r>
              <w:rPr>
                <w:sz w:val="18"/>
              </w:rPr>
              <w:t>The price a demolition firm pays to a crusher (or to us) to accept its concrete rubble.</w:t>
            </w:r>
          </w:p>
        </w:tc>
      </w:tr>
      <w:tr>
        <w:trPr>
          <w:cantSplit w:val="true"/>
        </w:trPr>
        <w:tc>
          <w:tcPr>
            <w:tcW w:type="dxa" w:w="917"/>
            <w:shd w:val="clear" w:color="auto" w:fill="F2F5F9"/>
          </w:tcPr>
          <w:p>
            <w:pPr>
              <w:spacing w:before="0" w:after="0" w:line="252" w:lineRule="auto"/>
            </w:pPr>
            <w:r>
              <w:rPr>
                <w:b/>
                <w:sz w:val="18"/>
              </w:rPr>
              <w:t>EBITDA</w:t>
            </w:r>
          </w:p>
        </w:tc>
        <w:tc>
          <w:tcPr>
            <w:tcW w:type="dxa" w:w="8721"/>
            <w:shd w:val="clear" w:color="auto" w:fill="F2F5F9"/>
          </w:tcPr>
          <w:p>
            <w:pPr>
              <w:spacing w:before="0" w:after="0" w:line="252" w:lineRule="auto"/>
            </w:pPr>
            <w:r>
              <w:rPr>
                <w:sz w:val="18"/>
              </w:rPr>
              <w:t>Earnings before interest, tax, depreciation and amortisation: the cash profit from operations.</w:t>
            </w:r>
          </w:p>
        </w:tc>
      </w:tr>
      <w:tr>
        <w:trPr>
          <w:cantSplit w:val="true"/>
        </w:trPr>
        <w:tc>
          <w:tcPr>
            <w:tcW w:type="dxa" w:w="917"/>
          </w:tcPr>
          <w:p>
            <w:pPr>
              <w:spacing w:before="0" w:after="0" w:line="252" w:lineRule="auto"/>
            </w:pPr>
            <w:r>
              <w:rPr>
                <w:b/>
                <w:sz w:val="18"/>
              </w:rPr>
              <w:t>NPV</w:t>
            </w:r>
          </w:p>
        </w:tc>
        <w:tc>
          <w:tcPr>
            <w:tcW w:type="dxa" w:w="8721"/>
          </w:tcPr>
          <w:p>
            <w:pPr>
              <w:spacing w:before="0" w:after="0" w:line="252" w:lineRule="auto"/>
            </w:pPr>
            <w:r>
              <w:rPr>
                <w:sz w:val="18"/>
              </w:rPr>
              <w:t>Net present value: all future cash flows, discounted at 8% a year, minus the investment. NPV &gt; 0 means the project earns more than 8%.</w:t>
            </w:r>
          </w:p>
        </w:tc>
      </w:tr>
      <w:tr>
        <w:trPr>
          <w:cantSplit w:val="true"/>
        </w:trPr>
        <w:tc>
          <w:tcPr>
            <w:tcW w:type="dxa" w:w="917"/>
            <w:shd w:val="clear" w:color="auto" w:fill="F2F5F9"/>
          </w:tcPr>
          <w:p>
            <w:pPr>
              <w:spacing w:before="0" w:after="0" w:line="252" w:lineRule="auto"/>
            </w:pPr>
            <w:r>
              <w:rPr>
                <w:b/>
                <w:sz w:val="18"/>
              </w:rPr>
              <w:t>IRR</w:t>
            </w:r>
          </w:p>
        </w:tc>
        <w:tc>
          <w:tcPr>
            <w:tcW w:type="dxa" w:w="8721"/>
            <w:shd w:val="clear" w:color="auto" w:fill="F2F5F9"/>
          </w:tcPr>
          <w:p>
            <w:pPr>
              <w:spacing w:before="0" w:after="0" w:line="252" w:lineRule="auto"/>
            </w:pPr>
            <w:r>
              <w:rPr>
                <w:sz w:val="18"/>
              </w:rPr>
              <w:t>Internal rate of return: the discount rate at which NPV = 0.</w:t>
            </w:r>
          </w:p>
        </w:tc>
      </w:tr>
      <w:tr>
        <w:trPr>
          <w:cantSplit w:val="true"/>
        </w:trPr>
        <w:tc>
          <w:tcPr>
            <w:tcW w:type="dxa" w:w="917"/>
          </w:tcPr>
          <w:p>
            <w:pPr>
              <w:spacing w:before="0" w:after="0" w:line="252" w:lineRule="auto"/>
            </w:pPr>
            <w:r>
              <w:rPr>
                <w:b/>
                <w:sz w:val="18"/>
              </w:rPr>
              <w:t>Payback</w:t>
            </w:r>
          </w:p>
        </w:tc>
        <w:tc>
          <w:tcPr>
            <w:tcW w:type="dxa" w:w="8721"/>
          </w:tcPr>
          <w:p>
            <w:pPr>
              <w:spacing w:before="0" w:after="0" w:line="252" w:lineRule="auto"/>
            </w:pPr>
            <w:r>
              <w:rPr>
                <w:sz w:val="18"/>
              </w:rPr>
              <w:t>The number of years until the cumulative cash flow turns positive.</w:t>
            </w:r>
          </w:p>
        </w:tc>
      </w:tr>
      <w:tr>
        <w:trPr>
          <w:cantSplit w:val="true"/>
        </w:trPr>
        <w:tc>
          <w:tcPr>
            <w:tcW w:type="dxa" w:w="917"/>
            <w:shd w:val="clear" w:color="auto" w:fill="F2F5F9"/>
          </w:tcPr>
          <w:p>
            <w:pPr>
              <w:spacing w:before="0" w:after="0" w:line="252" w:lineRule="auto"/>
            </w:pPr>
            <w:r>
              <w:rPr>
                <w:b/>
                <w:sz w:val="18"/>
              </w:rPr>
              <w:t>GWW / B&amp;U</w:t>
            </w:r>
          </w:p>
        </w:tc>
        <w:tc>
          <w:tcPr>
            <w:tcW w:type="dxa" w:w="8721"/>
            <w:shd w:val="clear" w:color="auto" w:fill="F2F5F9"/>
          </w:tcPr>
          <w:p>
            <w:pPr>
              <w:spacing w:before="0" w:after="0" w:line="252" w:lineRule="auto"/>
            </w:pPr>
            <w:r>
              <w:rPr>
                <w:sz w:val="18"/>
              </w:rPr>
              <w:t>GWW = civil works (roads, bridges, water). B&amp;U = buildings (housing and utility).</w:t>
            </w:r>
          </w:p>
        </w:tc>
      </w:tr>
    </w:tbl>
    <w:p>
      <w:pPr>
        <w:spacing w:before="0" w:after="40" w:line="240" w:lineRule="auto"/>
      </w:pPr>
    </w:p>
    <w:p>
      <w:r>
        <w:br w:type="page"/>
      </w:r>
    </w:p>
    <w:p>
      <w:pPr>
        <w:pStyle w:val="Heading1"/>
      </w:pPr>
      <w:r>
        <w:t>1. Executive summary</w:t>
      </w:r>
    </w:p>
    <w:tbl>
      <w:tblPr>
        <w:tblW w:type="auto" w:w="0"/>
        <w:jc w:val="center"/>
        <w:tblBorders>
          <w:top w:val="nil"/>
          <w:left w:val="single" w:sz="24" w:space="0" w:color="C8641E"/>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638"/>
      </w:tblGrid>
      <w:tr>
        <w:tc>
          <w:tcPr>
            <w:tcW w:type="dxa" w:w="9638"/>
            <w:shd w:val="clear" w:color="auto" w:fill="FDF3E7"/>
          </w:tcPr>
          <w:p>
            <w:pPr>
              <w:spacing w:before="0" w:after="40" w:line="276" w:lineRule="auto"/>
            </w:pPr>
            <w:r>
              <w:rPr>
                <w:b/>
                <w:sz w:val="21"/>
              </w:rPr>
              <w:t>Verdict: NOT VIABLE.</w:t>
            </w:r>
            <w:r>
              <w:rPr>
                <w:sz w:val="21"/>
              </w:rPr>
              <w:t xml:space="preserve"> A new stand-alone circular ready-mix plant in the Netherlands does not earn back its investment. Base-case NPV is </w:t>
            </w:r>
            <w:r>
              <w:rPr>
                <w:b/>
                <w:sz w:val="21"/>
              </w:rPr>
              <w:t>−€5.33M</w:t>
            </w:r>
            <w:r>
              <w:rPr>
                <w:sz w:val="21"/>
              </w:rPr>
              <w:t xml:space="preserve"> at 8% (−97% of the €5.5M capex). IRR is </w:t>
            </w:r>
            <w:r>
              <w:rPr>
                <w:b/>
                <w:sz w:val="21"/>
              </w:rPr>
              <w:t>−13.9%</w:t>
            </w:r>
            <w:r>
              <w:rPr>
                <w:sz w:val="21"/>
              </w:rPr>
              <w:t>. Payback is not reached in 10 years. The verdict uses four criteria that were fixed before the model was built.</w:t>
            </w:r>
          </w:p>
        </w:tc>
      </w:tr>
    </w:tbl>
    <w:p>
      <w:pPr>
        <w:spacing w:before="0" w:after="80" w:line="240" w:lineRule="auto"/>
      </w:pPr>
    </w:p>
    <w:p>
      <w:r>
        <w:rPr>
          <w:b/>
        </w:rPr>
        <w:t>The idea.</w:t>
      </w:r>
      <w:r>
        <w:t xml:space="preserve"> One ready-mix plant (70,000 m³/yr) on a waterside site in the Rotterdam–Drechtsteden area. It buys certified recycled aggregate (RCA) and uses CEM III/B cement. 60% of its volume is circular concrete with 50% recycled coarse aggregate. Permits in 2026, build in 2027, first sales in 2028.</w:t>
      </w:r>
    </w:p>
    <w:p>
      <w:r>
        <w:rPr>
          <w:b/>
        </w:rPr>
        <w:t>Why it fails.</w:t>
      </w:r>
    </w:p>
    <w:p>
      <w:pPr>
        <w:pStyle w:val="ListBullet"/>
      </w:pPr>
      <w:r>
        <w:rPr>
          <w:b/>
        </w:rPr>
        <w:t>The product is fine; the plant is not.</w:t>
      </w:r>
      <w:r>
        <w:t xml:space="preserve"> The circular mix is about </w:t>
      </w:r>
      <w:r>
        <w:rPr>
          <w:b/>
        </w:rPr>
        <w:t>€2.5/m³ cheaper</w:t>
      </w:r>
      <w:r>
        <w:t xml:space="preserve"> to make than the standard Dutch mix, because RCA costs less than gravel. But the whole plant earns only </w:t>
      </w:r>
      <w:r>
        <w:rPr>
          <w:b/>
        </w:rPr>
        <w:t>€4.6/m³ EBITDA</w:t>
      </w:r>
      <w:r>
        <w:t xml:space="preserve"> (3.4% margin in 2030). It needs about </w:t>
      </w:r>
      <w:r>
        <w:rPr>
          <w:b/>
        </w:rPr>
        <w:t>€11.7/m³</w:t>
      </w:r>
      <w:r>
        <w:t xml:space="preserve"> to repay €5.5M of capex at 8%. EBITDA stays at </w:t>
      </w:r>
      <w:r>
        <w:rPr>
          <w:b/>
        </w:rPr>
        <w:t>€0.2–0.3M a year</w:t>
      </w:r>
      <w:r>
        <w:t xml:space="preserve"> from 2030 </w:t>
      </w:r>
      <w:r>
        <w:rPr>
          <w:color w:val="6B6B6B"/>
          <w:sz w:val="17"/>
        </w:rPr>
        <w:t>[ESTIMATE]</w:t>
      </w:r>
      <w:r>
        <w:t>.</w:t>
      </w:r>
    </w:p>
    <w:p>
      <w:pPr>
        <w:pStyle w:val="ListBullet"/>
      </w:pPr>
      <w:r>
        <w:rPr>
          <w:b/>
        </w:rPr>
        <w:t>"Green" brings little cash.</w:t>
      </w:r>
      <w:r>
        <w:t xml:space="preserve"> Our circular mix has about the same CO₂ as the Dutch standard (132 vs 129 kg/m³), because the standard already uses low-CO₂ cement. Cash premiums are small and uncertain (base 1.5% on public work) </w:t>
      </w:r>
      <w:r>
        <w:rPr>
          <w:color w:val="6B6B6B"/>
          <w:sz w:val="17"/>
        </w:rPr>
        <w:t>[ESTIMATE; VERIFIED, MKT-20, MKT-25]</w:t>
      </w:r>
      <w:r>
        <w:t>.</w:t>
      </w:r>
    </w:p>
    <w:p>
      <w:pPr>
        <w:pStyle w:val="ListBullet"/>
      </w:pPr>
      <w:r>
        <w:rPr>
          <w:b/>
        </w:rPr>
        <w:t>The market is tough.</w:t>
      </w:r>
      <w:r>
        <w:t xml:space="preserve"> Ready-mix volume fell 20% in 2023 (6.0 Mm³ at 178 plants). Large groups own cement and plants. A funded specialist (SL Materials, €100M commitment, Oct 2026) is expanding </w:t>
      </w:r>
      <w:r>
        <w:rPr>
          <w:color w:val="6B6B6B"/>
          <w:sz w:val="17"/>
        </w:rPr>
        <w:t>[VERIFIED, CMP-05, CMP-43]</w:t>
      </w:r>
      <w:r>
        <w:t>.</w:t>
      </w:r>
    </w:p>
    <w:p>
      <w:pPr>
        <w:pStyle w:val="ListBullet"/>
      </w:pPr>
      <w:r>
        <w:rPr>
          <w:b/>
        </w:rPr>
        <w:t>Selling price dominates.</w:t>
      </w:r>
      <w:r>
        <w:t xml:space="preserve"> NPV = 0 needs a plant-average price of </w:t>
      </w:r>
      <w:r>
        <w:rPr>
          <w:b/>
        </w:rPr>
        <w:t>€154/m³ (+14%)</w:t>
      </w:r>
      <w:r>
        <w:t xml:space="preserve"> or </w:t>
      </w:r>
      <w:r>
        <w:rPr>
          <w:b/>
        </w:rPr>
        <w:t>134,000 m³/yr</w:t>
      </w:r>
      <w:r>
        <w:t xml:space="preserve"> (about 4× an average Dutch plant). Our €135/m³ base price is more likely too high than too low.</w:t>
      </w:r>
    </w:p>
    <w:p>
      <w:r>
        <w:rPr>
          <w:b/>
        </w:rPr>
        <w:t>The best route and what it would take.</w:t>
      </w:r>
      <w:r>
        <w:t xml:space="preserve"> We tested 10 options and 2 packages. </w:t>
      </w:r>
      <w:r>
        <w:rPr>
          <w:b/>
        </w:rPr>
        <w:t>All have a negative NPV</w:t>
      </w:r>
      <w:r>
        <w:t xml:space="preserve"> (−€2.5M to −€6.3M). The route that comes closest is to </w:t>
      </w:r>
      <w:r>
        <w:rPr>
          <w:b/>
        </w:rPr>
        <w:t>buy an existing plant, crush rubble on site with a demolition partner and sell 90,000 m³/yr under framework contracts</w:t>
      </w:r>
      <w:r>
        <w:t xml:space="preserve"> (package P2). Its NPV is </w:t>
      </w:r>
      <w:r>
        <w:rPr>
          <w:b/>
        </w:rPr>
        <w:t>−€4.0M</w:t>
      </w:r>
      <w:r>
        <w:t xml:space="preserve"> (range </w:t>
      </w:r>
      <w:r>
        <w:rPr>
          <w:b/>
        </w:rPr>
        <w:t>−€6.8M to −€1.4M</w:t>
      </w:r>
      <w:r>
        <w:t xml:space="preserve">). It would need a gate fee of about </w:t>
      </w:r>
      <w:r>
        <w:rPr>
          <w:b/>
        </w:rPr>
        <w:t>€15–30 per tonne</w:t>
      </w:r>
      <w:r>
        <w:t xml:space="preserve"> of rubble. Today's bulk market pays </w:t>
      </w:r>
      <w:r>
        <w:rPr>
          <w:b/>
        </w:rPr>
        <w:t>€0–1/t</w:t>
      </w:r>
      <w:r>
        <w:t xml:space="preserve"> </w:t>
      </w:r>
      <w:r>
        <w:rPr>
          <w:color w:val="6B6B6B"/>
          <w:sz w:val="17"/>
        </w:rPr>
        <w:t>[VERIFIED, MKT-20]</w:t>
      </w:r>
      <w:r>
        <w:t>.</w:t>
      </w:r>
    </w:p>
    <w:p>
      <w:r>
        <w:rPr>
          <w:b/>
        </w:rPr>
        <w:t>Recommendation.</w:t>
      </w:r>
      <w:r>
        <w:t xml:space="preserve"> </w:t>
      </w:r>
      <w:r>
        <w:rPr>
          <w:b/>
        </w:rPr>
        <w:t>Do not invest</w:t>
      </w:r>
      <w:r>
        <w:t xml:space="preserve"> on present evidence. If the founders still want to pursue the idea, spend only </w:t>
      </w:r>
      <w:r>
        <w:rPr>
          <w:b/>
        </w:rPr>
        <w:t>€50–100k on a due-diligence phase</w:t>
      </w:r>
      <w:r>
        <w:t xml:space="preserve"> (Q4 2026 – Q2 2027) to test three hard gates: a plant at ≤€2.5M, a rubble contract with a much higher gate fee, and ≥40,000 m³/yr of signed framework volume. If any gate fails, stop.</w:t>
      </w:r>
    </w:p>
    <w:p>
      <w:r>
        <w:rPr>
          <w:b/>
        </w:rPr>
        <w:t>Funding need of the base case:</w:t>
      </w:r>
      <w:r>
        <w:t xml:space="preserve"> €7.09M (lowest cumulative cash point, 2029). </w:t>
      </w:r>
      <w:r>
        <w:rPr>
          <w:b/>
        </w:rPr>
        <w:t>EBITDA in the 3rd operating year (2030):</w:t>
      </w:r>
      <w:r>
        <w:t xml:space="preserve"> +€0.32M.</w:t>
      </w:r>
    </w:p>
    <w:p>
      <w:r>
        <w:br w:type="page"/>
      </w:r>
    </w:p>
    <w:p>
      <w:pPr>
        <w:pStyle w:val="Heading1"/>
      </w:pPr>
      <w:r>
        <w:t>2. Problem and opportunity</w:t>
      </w:r>
    </w:p>
    <w:p>
      <w:pPr>
        <w:pStyle w:val="Heading2"/>
      </w:pPr>
      <w:r>
        <w:t>2.1 The problem</w:t>
      </w:r>
    </w:p>
    <w:p>
      <w:r>
        <w:t xml:space="preserve">Concrete is the most used building material in the Netherlands. The country uses about </w:t>
      </w:r>
      <w:r>
        <w:rPr>
          <w:b/>
        </w:rPr>
        <w:t>14 Mm³ of concrete a year</w:t>
      </w:r>
      <w:r>
        <w:t xml:space="preserve"> (about 33 Mt; all types). Ready-mix concrete alone was </w:t>
      </w:r>
      <w:r>
        <w:rPr>
          <w:b/>
        </w:rPr>
        <w:t>6.0 Mm³ in 2023</w:t>
      </w:r>
      <w:r>
        <w:t xml:space="preserve"> </w:t>
      </w:r>
      <w:r>
        <w:rPr>
          <w:color w:val="6B6B6B"/>
          <w:sz w:val="17"/>
        </w:rPr>
        <w:t>[VERIFIED, MKT-01, CMP-43]</w:t>
      </w:r>
      <w:r>
        <w:t>. Two problems sit in this chain:</w:t>
      </w:r>
    </w:p>
    <w:p>
      <w:pPr>
        <w:pStyle w:val="ListBullet"/>
      </w:pPr>
      <w:r>
        <w:rPr>
          <w:b/>
        </w:rPr>
        <w:t>CO₂.</w:t>
      </w:r>
      <w:r>
        <w:t xml:space="preserve"> Cement causes most of the CO₂ in concrete. The Betonakkoord (the national Concrete Agreement of 2018) now aims for at least </w:t>
      </w:r>
      <w:r>
        <w:rPr>
          <w:b/>
        </w:rPr>
        <w:t>−70% CO₂ in 2030 vs 1990</w:t>
      </w:r>
      <w:r>
        <w:t xml:space="preserve"> </w:t>
      </w:r>
      <w:r>
        <w:rPr>
          <w:color w:val="6B6B6B"/>
          <w:sz w:val="17"/>
        </w:rPr>
        <w:t>[VERIFIED, POL-04, POL-05]</w:t>
      </w:r>
      <w:r>
        <w:t>.</w:t>
      </w:r>
    </w:p>
    <w:p>
      <w:pPr>
        <w:pStyle w:val="ListBullet"/>
      </w:pPr>
      <w:r>
        <w:rPr>
          <w:b/>
        </w:rPr>
        <w:t>Waste and raw materials.</w:t>
      </w:r>
      <w:r>
        <w:t xml:space="preserve"> The country releases </w:t>
      </w:r>
      <w:r>
        <w:rPr>
          <w:b/>
        </w:rPr>
        <w:t>11.5–15 Mt of concrete rubble a year</w:t>
      </w:r>
      <w:r>
        <w:t xml:space="preserve">. Only </w:t>
      </w:r>
      <w:r>
        <w:rPr>
          <w:b/>
        </w:rPr>
        <w:t>8–15% goes back into new concrete</w:t>
      </w:r>
      <w:r>
        <w:t xml:space="preserve">. Most of it is crushed for road foundations </w:t>
      </w:r>
      <w:r>
        <w:rPr>
          <w:color w:val="6B6B6B"/>
          <w:sz w:val="17"/>
        </w:rPr>
        <w:t>[VERIFIED, MKT-05, MKT-09, POL-55]</w:t>
      </w:r>
      <w:r>
        <w:t xml:space="preserve">. At the same time about </w:t>
      </w:r>
      <w:r>
        <w:rPr>
          <w:b/>
        </w:rPr>
        <w:t>75% of coarse aggregate (gravel, crushed rock) is imported</w:t>
      </w:r>
      <w:r>
        <w:t xml:space="preserve">, and the last large Dutch river-gravel project ends in late 2026 </w:t>
      </w:r>
      <w:r>
        <w:rPr>
          <w:color w:val="6B6B6B"/>
          <w:sz w:val="17"/>
        </w:rPr>
        <w:t>[VERIFIED, MKT-17, MKT-18]</w:t>
      </w:r>
      <w:r>
        <w:t>.</w:t>
      </w:r>
    </w:p>
    <w:p>
      <w:pPr>
        <w:pStyle w:val="Heading2"/>
      </w:pPr>
      <w:r>
        <w:t>2.2 The opportunity we tested</w:t>
      </w:r>
    </w:p>
    <w:p>
      <w:r>
        <w:t>Policy is pushing rubble back into concrete:</w:t>
      </w:r>
    </w:p>
    <w:p>
      <w:pPr>
        <w:pStyle w:val="ListBullet"/>
      </w:pPr>
      <w:r>
        <w:t xml:space="preserve">The Betonakkoord caps the share of concrete in road-base granulate at </w:t>
      </w:r>
      <w:r>
        <w:rPr>
          <w:b/>
        </w:rPr>
        <w:t>30% (2025), 15% (2027) and 5% (2030)</w:t>
      </w:r>
      <w:r>
        <w:t xml:space="preserve"> </w:t>
      </w:r>
      <w:r>
        <w:rPr>
          <w:color w:val="6B6B6B"/>
          <w:sz w:val="17"/>
        </w:rPr>
        <w:t>[VERIFIED, MKT-11]</w:t>
      </w:r>
      <w:r>
        <w:t>.</w:t>
      </w:r>
    </w:p>
    <w:p>
      <w:pPr>
        <w:pStyle w:val="ListBullet"/>
      </w:pPr>
      <w:r>
        <w:t xml:space="preserve">Its path for rubble back into concrete is </w:t>
      </w:r>
      <w:r>
        <w:rPr>
          <w:b/>
        </w:rPr>
        <w:t>&lt;15% (2025) → 20% (2026) → 30% (2027) → 40% (2028) → 50% (2029) → &gt;60% (2030)</w:t>
      </w:r>
      <w:r>
        <w:t xml:space="preserve"> </w:t>
      </w:r>
      <w:r>
        <w:rPr>
          <w:color w:val="6B6B6B"/>
          <w:sz w:val="17"/>
        </w:rPr>
        <w:t>[VERIFIED, POL-01]</w:t>
      </w:r>
      <w:r>
        <w:t xml:space="preserve">. These targets are ambitions; they are not yet enforced </w:t>
      </w:r>
      <w:r>
        <w:rPr>
          <w:color w:val="6B6B6B"/>
          <w:sz w:val="17"/>
        </w:rPr>
        <w:t>[VERIFIED, POL-02]</w:t>
      </w:r>
      <w:r>
        <w:t>.</w:t>
      </w:r>
    </w:p>
    <w:p>
      <w:pPr>
        <w:pStyle w:val="ListBullet"/>
      </w:pPr>
      <w:r>
        <w:t xml:space="preserve">A draft decree makes </w:t>
      </w:r>
      <w:r>
        <w:rPr>
          <w:b/>
        </w:rPr>
        <w:t>maximum MKI values for concrete compulsory in all public civil-works (GWW) tenders</w:t>
      </w:r>
      <w:r>
        <w:t xml:space="preserve">, intended from 2027 (our base: 1 January 2028) </w:t>
      </w:r>
      <w:r>
        <w:rPr>
          <w:color w:val="6B6B6B"/>
          <w:sz w:val="17"/>
        </w:rPr>
        <w:t>[VERIFIED, POL-17; ASSUMPTION, A-POL-13]</w:t>
      </w:r>
      <w:r>
        <w:t>.</w:t>
      </w:r>
    </w:p>
    <w:p>
      <w:r>
        <w:t xml:space="preserve">So the question was: </w:t>
      </w:r>
      <w:r>
        <w:rPr>
          <w:b/>
        </w:rPr>
        <w:t>can a new circular concrete business be financially viable in 2027–2036, and if not, what would have to change?</w:t>
      </w:r>
    </w:p>
    <w:p>
      <w:pPr>
        <w:pStyle w:val="Heading2"/>
      </w:pPr>
      <w:r>
        <w:t>2.3 Four business types we screened</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319"/>
        <w:gridCol w:w="4641"/>
        <w:gridCol w:w="2677"/>
      </w:tblGrid>
      <w:tr>
        <w:trPr>
          <w:cantSplit w:val="true"/>
          <w:tblHeader w:val="true"/>
        </w:trPr>
        <w:tc>
          <w:tcPr>
            <w:tcW w:type="dxa" w:w="2320"/>
            <w:shd w:val="clear" w:color="auto" w:fill="1F3A5F"/>
          </w:tcPr>
          <w:p>
            <w:pPr>
              <w:spacing w:before="0" w:after="0" w:line="252" w:lineRule="auto"/>
            </w:pPr>
            <w:r>
              <w:rPr>
                <w:b/>
                <w:color w:val="FFFFFF"/>
                <w:sz w:val="18"/>
              </w:rPr>
              <w:t>Type</w:t>
            </w:r>
          </w:p>
        </w:tc>
        <w:tc>
          <w:tcPr>
            <w:tcW w:type="dxa" w:w="4641"/>
            <w:shd w:val="clear" w:color="auto" w:fill="1F3A5F"/>
          </w:tcPr>
          <w:p>
            <w:pPr>
              <w:spacing w:before="0" w:after="0" w:line="252" w:lineRule="auto"/>
            </w:pPr>
            <w:r>
              <w:rPr>
                <w:b/>
                <w:color w:val="FFFFFF"/>
                <w:sz w:val="18"/>
              </w:rPr>
              <w:t>What it does</w:t>
            </w:r>
          </w:p>
        </w:tc>
        <w:tc>
          <w:tcPr>
            <w:tcW w:type="dxa" w:w="2677"/>
            <w:shd w:val="clear" w:color="auto" w:fill="1F3A5F"/>
          </w:tcPr>
          <w:p>
            <w:pPr>
              <w:spacing w:before="0" w:after="0" w:line="252" w:lineRule="auto"/>
            </w:pPr>
            <w:r>
              <w:rPr>
                <w:b/>
                <w:color w:val="FFFFFF"/>
                <w:sz w:val="18"/>
              </w:rPr>
              <w:t>Role in this plan</w:t>
            </w:r>
          </w:p>
        </w:tc>
      </w:tr>
      <w:tr>
        <w:trPr>
          <w:cantSplit w:val="true"/>
        </w:trPr>
        <w:tc>
          <w:tcPr>
            <w:tcW w:type="dxa" w:w="2320"/>
          </w:tcPr>
          <w:p>
            <w:pPr>
              <w:spacing w:before="0" w:after="0" w:line="252" w:lineRule="auto"/>
            </w:pPr>
            <w:r>
              <w:rPr>
                <w:sz w:val="18"/>
              </w:rPr>
              <w:t>A. Recycling hub</w:t>
            </w:r>
          </w:p>
        </w:tc>
        <w:tc>
          <w:tcPr>
            <w:tcW w:type="dxa" w:w="4641"/>
          </w:tcPr>
          <w:p>
            <w:pPr>
              <w:spacing w:before="0" w:after="0" w:line="252" w:lineRule="auto"/>
            </w:pPr>
            <w:r>
              <w:rPr>
                <w:sz w:val="18"/>
              </w:rPr>
              <w:t>Crushes and separates demolition concrete into recycled gravel, sand and cement-rich fines</w:t>
            </w:r>
          </w:p>
        </w:tc>
        <w:tc>
          <w:tcPr>
            <w:tcW w:type="dxa" w:w="2677"/>
          </w:tcPr>
          <w:p>
            <w:pPr>
              <w:spacing w:before="0" w:after="0" w:line="252" w:lineRule="auto"/>
            </w:pPr>
            <w:r>
              <w:rPr>
                <w:sz w:val="18"/>
              </w:rPr>
              <w:t>Option (own crushing)</w:t>
            </w:r>
          </w:p>
        </w:tc>
      </w:tr>
      <w:tr>
        <w:trPr>
          <w:cantSplit w:val="true"/>
        </w:trPr>
        <w:tc>
          <w:tcPr>
            <w:tcW w:type="dxa" w:w="2320"/>
            <w:shd w:val="clear" w:color="auto" w:fill="F2F5F9"/>
          </w:tcPr>
          <w:p>
            <w:pPr>
              <w:spacing w:before="0" w:after="0" w:line="252" w:lineRule="auto"/>
            </w:pPr>
            <w:r>
              <w:rPr>
                <w:b/>
                <w:sz w:val="18"/>
              </w:rPr>
              <w:t>B. Circular ready-mix / prefab producer</w:t>
            </w:r>
          </w:p>
        </w:tc>
        <w:tc>
          <w:tcPr>
            <w:tcW w:type="dxa" w:w="4641"/>
            <w:shd w:val="clear" w:color="auto" w:fill="F2F5F9"/>
          </w:tcPr>
          <w:p>
            <w:pPr>
              <w:spacing w:before="0" w:after="0" w:line="252" w:lineRule="auto"/>
            </w:pPr>
            <w:r>
              <w:rPr>
                <w:sz w:val="18"/>
              </w:rPr>
              <w:t>Makes concrete with RCA and low-clinker cement</w:t>
            </w:r>
          </w:p>
        </w:tc>
        <w:tc>
          <w:tcPr>
            <w:tcW w:type="dxa" w:w="2677"/>
            <w:shd w:val="clear" w:color="auto" w:fill="F2F5F9"/>
          </w:tcPr>
          <w:p>
            <w:pPr>
              <w:spacing w:before="0" w:after="0" w:line="252" w:lineRule="auto"/>
            </w:pPr>
            <w:r>
              <w:rPr>
                <w:b/>
                <w:sz w:val="18"/>
              </w:rPr>
              <w:t>Base case, modelled in depth (B1: ready-mix)</w:t>
            </w:r>
          </w:p>
        </w:tc>
      </w:tr>
      <w:tr>
        <w:trPr>
          <w:cantSplit w:val="true"/>
        </w:trPr>
        <w:tc>
          <w:tcPr>
            <w:tcW w:type="dxa" w:w="2320"/>
          </w:tcPr>
          <w:p>
            <w:pPr>
              <w:spacing w:before="0" w:after="0" w:line="252" w:lineRule="auto"/>
            </w:pPr>
            <w:r>
              <w:rPr>
                <w:sz w:val="18"/>
              </w:rPr>
              <w:t>C. Element reuse</w:t>
            </w:r>
          </w:p>
        </w:tc>
        <w:tc>
          <w:tcPr>
            <w:tcW w:type="dxa" w:w="4641"/>
          </w:tcPr>
          <w:p>
            <w:pPr>
              <w:spacing w:before="0" w:after="0" w:line="252" w:lineRule="auto"/>
            </w:pPr>
            <w:r>
              <w:rPr>
                <w:sz w:val="18"/>
              </w:rPr>
              <w:t>Takes out, tests and resells whole concrete elements</w:t>
            </w:r>
          </w:p>
        </w:tc>
        <w:tc>
          <w:tcPr>
            <w:tcW w:type="dxa" w:w="2677"/>
          </w:tcPr>
          <w:p>
            <w:pPr>
              <w:spacing w:before="0" w:after="0" w:line="252" w:lineRule="auto"/>
            </w:pPr>
            <w:r>
              <w:rPr>
                <w:sz w:val="18"/>
              </w:rPr>
              <w:t>Screened only; no public prices or volumes</w:t>
            </w:r>
          </w:p>
        </w:tc>
      </w:tr>
      <w:tr>
        <w:trPr>
          <w:cantSplit w:val="true"/>
        </w:trPr>
        <w:tc>
          <w:tcPr>
            <w:tcW w:type="dxa" w:w="2320"/>
            <w:shd w:val="clear" w:color="auto" w:fill="F2F5F9"/>
          </w:tcPr>
          <w:p>
            <w:pPr>
              <w:spacing w:before="0" w:after="0" w:line="252" w:lineRule="auto"/>
            </w:pPr>
            <w:r>
              <w:rPr>
                <w:sz w:val="18"/>
              </w:rPr>
              <w:t>D. Platform</w:t>
            </w:r>
          </w:p>
        </w:tc>
        <w:tc>
          <w:tcPr>
            <w:tcW w:type="dxa" w:w="4641"/>
            <w:shd w:val="clear" w:color="auto" w:fill="F2F5F9"/>
          </w:tcPr>
          <w:p>
            <w:pPr>
              <w:spacing w:before="0" w:after="0" w:line="252" w:lineRule="auto"/>
            </w:pPr>
            <w:r>
              <w:rPr>
                <w:sz w:val="18"/>
              </w:rPr>
              <w:t>Matches supply and demand; material passports</w:t>
            </w:r>
          </w:p>
        </w:tc>
        <w:tc>
          <w:tcPr>
            <w:tcW w:type="dxa" w:w="2677"/>
            <w:shd w:val="clear" w:color="auto" w:fill="F2F5F9"/>
          </w:tcPr>
          <w:p>
            <w:pPr>
              <w:spacing w:before="0" w:after="0" w:line="252" w:lineRule="auto"/>
            </w:pPr>
            <w:r>
              <w:rPr>
                <w:sz w:val="18"/>
              </w:rPr>
              <w:t>Option (asset-light licence)</w:t>
            </w:r>
          </w:p>
        </w:tc>
      </w:tr>
    </w:tbl>
    <w:p>
      <w:pPr>
        <w:spacing w:before="0" w:after="40" w:line="240" w:lineRule="auto"/>
      </w:pPr>
    </w:p>
    <w:p>
      <w:r>
        <w:t xml:space="preserve">We chose </w:t>
      </w:r>
      <w:r>
        <w:rPr>
          <w:b/>
        </w:rPr>
        <w:t>ready-mix (B1) over prefab (B2)</w:t>
      </w:r>
      <w:r>
        <w:t xml:space="preserve">. A ready-mix plant costs about </w:t>
      </w:r>
      <w:r>
        <w:rPr>
          <w:b/>
        </w:rPr>
        <w:t>€5.5M</w:t>
      </w:r>
      <w:r>
        <w:t xml:space="preserve"> for 70,000 m³/yr. A prefab plant costs about </w:t>
      </w:r>
      <w:r>
        <w:rPr>
          <w:b/>
        </w:rPr>
        <w:t>€25M</w:t>
      </w:r>
      <w:r>
        <w:t xml:space="preserve"> for 30,000 m³/yr and needs ~75 staff </w:t>
      </w:r>
      <w:r>
        <w:rPr>
          <w:color w:val="6B6B6B"/>
          <w:sz w:val="17"/>
        </w:rPr>
        <w:t>[ESTIMATE, A-TEC-21, A-TEC-34]</w:t>
      </w:r>
      <w:r>
        <w:t>. Ready-mix also suits slow-hardening CEM III/B cement better, and a newcomer can reach revenue faster (12–18 months).</w:t>
      </w:r>
    </w:p>
    <w:p>
      <w:r>
        <w:br w:type="page"/>
      </w:r>
    </w:p>
    <w:p>
      <w:pPr>
        <w:pStyle w:val="Heading1"/>
      </w:pPr>
      <w:r>
        <w:t>3. Policy and market context</w:t>
      </w:r>
    </w:p>
    <w:p>
      <w:pPr>
        <w:pStyle w:val="Heading2"/>
      </w:pPr>
      <w:r>
        <w:t>3.1 Policy: what helps and what does not</w:t>
      </w:r>
    </w:p>
    <w:p>
      <w:pPr>
        <w:pStyle w:val="ListBullet"/>
      </w:pPr>
      <w:r>
        <w:rPr>
          <w:b/>
        </w:rPr>
        <w:t>Strongest demand driver: public civil works (GWW).</w:t>
      </w:r>
      <w:r>
        <w:t xml:space="preserve"> The draft GWW decree makes MKI ceilings compulsory for concrete in every public GWW tender. Above the EU threshold, the MKI of the whole work becomes an award criterion. Levels are not yet set </w:t>
      </w:r>
      <w:r>
        <w:rPr>
          <w:color w:val="6B6B6B"/>
          <w:sz w:val="17"/>
        </w:rPr>
        <w:t>[VERIFIED, POL-17, POL-18]</w:t>
      </w:r>
      <w:r>
        <w:t xml:space="preserve">. Municipalities are 30% of GWW turnover; about half of the GWW market rarely uses MKI today </w:t>
      </w:r>
      <w:r>
        <w:rPr>
          <w:color w:val="6B6B6B"/>
          <w:sz w:val="17"/>
        </w:rPr>
        <w:t>[VERIFIED, POL-20]</w:t>
      </w:r>
      <w:r>
        <w:t>.</w:t>
      </w:r>
    </w:p>
    <w:p>
      <w:pPr>
        <w:pStyle w:val="ListBullet"/>
      </w:pPr>
      <w:r>
        <w:rPr>
          <w:b/>
        </w:rPr>
        <w:t>Tender rewards are real but go to the contractor.</w:t>
      </w:r>
      <w:r>
        <w:t xml:space="preserve"> Rijkswaterstaat adds about </w:t>
      </w:r>
      <w:r>
        <w:rPr>
          <w:b/>
        </w:rPr>
        <w:t>€2 per € of MKI</w:t>
      </w:r>
      <w:r>
        <w:t xml:space="preserve"> to a bid; ProRail gives up to </w:t>
      </w:r>
      <w:r>
        <w:rPr>
          <w:b/>
        </w:rPr>
        <w:t>±25% award advantage</w:t>
      </w:r>
      <w:r>
        <w:t xml:space="preserve"> </w:t>
      </w:r>
      <w:r>
        <w:rPr>
          <w:color w:val="6B6B6B"/>
          <w:sz w:val="17"/>
        </w:rPr>
        <w:t>[VERIFIED, POL-23, POL-24]</w:t>
      </w:r>
      <w:r>
        <w:t>. The concrete supplier only gains if the contractor shares the advantage.</w:t>
      </w:r>
    </w:p>
    <w:p>
      <w:pPr>
        <w:pStyle w:val="ListBullet"/>
      </w:pPr>
      <w:r>
        <w:rPr>
          <w:b/>
        </w:rPr>
        <w:t>Buildings (MPG) give little pull.</w:t>
      </w:r>
      <w:r>
        <w:t xml:space="preserve"> The planned tightening for homes (0.8 → 0.5) was </w:t>
      </w:r>
      <w:r>
        <w:rPr>
          <w:b/>
        </w:rPr>
        <w:t>cancelled in June 2025</w:t>
      </w:r>
      <w:r>
        <w:t xml:space="preserve">. From 1 July 2026 a new method applies (homes 1.6, the same strictness; offices 1.55, about 15% stricter) </w:t>
      </w:r>
      <w:r>
        <w:rPr>
          <w:color w:val="6B6B6B"/>
          <w:sz w:val="17"/>
        </w:rPr>
        <w:t>[VERIFIED, POL-08, POL-10]</w:t>
      </w:r>
      <w:r>
        <w:t>.</w:t>
      </w:r>
    </w:p>
    <w:p>
      <w:pPr>
        <w:pStyle w:val="ListBullet"/>
      </w:pPr>
      <w:r>
        <w:rPr>
          <w:b/>
        </w:rPr>
        <w:t>Carbon cost (EU ETS and CBAM).</w:t>
      </w:r>
      <w:r>
        <w:t xml:space="preserve"> Free CO₂ allowances for cement fall from 97.5% (2026) to 0% (2034) under current law </w:t>
      </w:r>
      <w:r>
        <w:rPr>
          <w:color w:val="6B6B6B"/>
          <w:sz w:val="17"/>
        </w:rPr>
        <w:t>[VERIFIED, POL-39]</w:t>
      </w:r>
      <w:r>
        <w:t xml:space="preserve">. This raises the cost of high-clinker cement (CEM I) much more than CEM III/B. A July 2026 proposal would slow the phase-out to 2038 </w:t>
      </w:r>
      <w:r>
        <w:rPr>
          <w:color w:val="6B6B6B"/>
          <w:sz w:val="17"/>
        </w:rPr>
        <w:t>[VERIFIED, POL-42]</w:t>
      </w:r>
      <w:r>
        <w:t>.</w:t>
      </w:r>
    </w:p>
    <w:p>
      <w:pPr>
        <w:pStyle w:val="ListBullet"/>
      </w:pPr>
      <w:r>
        <w:rPr>
          <w:b/>
        </w:rPr>
        <w:t>Waste policy does not force concrete-to-concrete.</w:t>
      </w:r>
      <w:r>
        <w:t xml:space="preserve"> The new Circulair Materialenplan (from 30 Dec 2025) counts road base as recycling. There is no levy on primary sand and gravel </w:t>
      </w:r>
      <w:r>
        <w:rPr>
          <w:color w:val="6B6B6B"/>
          <w:sz w:val="17"/>
        </w:rPr>
        <w:t>[VERIFIED, POL-54, POL-55]</w:t>
      </w:r>
      <w:r>
        <w:t>.</w:t>
      </w:r>
    </w:p>
    <w:p>
      <w:pPr>
        <w:pStyle w:val="ListBullet"/>
      </w:pPr>
      <w:r>
        <w:rPr>
          <w:b/>
        </w:rPr>
        <w:t>Norms allow recycled aggregate, with limits.</w:t>
      </w:r>
      <w:r>
        <w:t xml:space="preserve"> NEN 8005 allows </w:t>
      </w:r>
      <w:r>
        <w:rPr>
          <w:b/>
        </w:rPr>
        <w:t>30%</w:t>
      </w:r>
      <w:r>
        <w:t xml:space="preserve"> of coarse aggregate (most exposure classes) or </w:t>
      </w:r>
      <w:r>
        <w:rPr>
          <w:b/>
        </w:rPr>
        <w:t>50%</w:t>
      </w:r>
      <w:r>
        <w:t xml:space="preserve"> (dry, unreinforced X0). CUR-Aanbeveling 112 allows up to 50% without changing design rules </w:t>
      </w:r>
      <w:r>
        <w:rPr>
          <w:color w:val="6B6B6B"/>
          <w:sz w:val="17"/>
        </w:rPr>
        <w:t>[VERIFIED, POL-30]</w:t>
      </w:r>
      <w:r>
        <w:t>.</w:t>
      </w:r>
    </w:p>
    <w:p>
      <w:pPr>
        <w:pStyle w:val="ListBullet"/>
      </w:pPr>
      <w:r>
        <w:rPr>
          <w:b/>
        </w:rPr>
        <w:t>Subsidies help a little.</w:t>
      </w:r>
      <w:r>
        <w:t xml:space="preserve"> MIA/Vamil (net ~7–12% of eligible capex), WBSO (R&amp;D wage credit), DEI+ and VEKI grants are competitive </w:t>
      </w:r>
      <w:r>
        <w:rPr>
          <w:color w:val="6B6B6B"/>
          <w:sz w:val="17"/>
        </w:rPr>
        <w:t>[VERIFIED, POL-68–POL-76]</w:t>
      </w:r>
      <w:r>
        <w:t>.</w:t>
      </w:r>
    </w:p>
    <w:p>
      <w:pPr>
        <w:pStyle w:val="Heading2"/>
      </w:pPr>
      <w:r>
        <w:t>3.2 Policy timeline 2026–2035</w:t>
      </w:r>
    </w:p>
    <w:p>
      <w:r>
        <w:t xml:space="preserve">Effect: </w:t>
      </w:r>
      <w:r>
        <w:rPr>
          <w:b/>
        </w:rPr>
        <w:t>+</w:t>
      </w:r>
      <w:r>
        <w:t xml:space="preserve"> helps this business, </w:t>
      </w:r>
      <w:r>
        <w:rPr>
          <w:b/>
        </w:rPr>
        <w:t>−</w:t>
      </w:r>
      <w:r>
        <w:t xml:space="preserve"> hurts, </w:t>
      </w:r>
      <w:r>
        <w:rPr>
          <w:b/>
        </w:rPr>
        <w:t>0</w:t>
      </w:r>
      <w:r>
        <w:t xml:space="preserve"> neutral.</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597"/>
        <w:gridCol w:w="4544"/>
        <w:gridCol w:w="1719"/>
        <w:gridCol w:w="1775"/>
      </w:tblGrid>
      <w:tr>
        <w:trPr>
          <w:cantSplit w:val="true"/>
          <w:tblHeader w:val="true"/>
        </w:trPr>
        <w:tc>
          <w:tcPr>
            <w:tcW w:type="dxa" w:w="1598"/>
            <w:shd w:val="clear" w:color="auto" w:fill="1F3A5F"/>
          </w:tcPr>
          <w:p>
            <w:pPr>
              <w:spacing w:before="0" w:after="0" w:line="252" w:lineRule="auto"/>
            </w:pPr>
            <w:r>
              <w:rPr>
                <w:b/>
                <w:color w:val="FFFFFF"/>
                <w:sz w:val="18"/>
              </w:rPr>
              <w:t>When</w:t>
            </w:r>
          </w:p>
        </w:tc>
        <w:tc>
          <w:tcPr>
            <w:tcW w:type="dxa" w:w="4545"/>
            <w:shd w:val="clear" w:color="auto" w:fill="1F3A5F"/>
          </w:tcPr>
          <w:p>
            <w:pPr>
              <w:spacing w:before="0" w:after="0" w:line="252" w:lineRule="auto"/>
            </w:pPr>
            <w:r>
              <w:rPr>
                <w:b/>
                <w:color w:val="FFFFFF"/>
                <w:sz w:val="18"/>
              </w:rPr>
              <w:t>Event</w:t>
            </w:r>
          </w:p>
        </w:tc>
        <w:tc>
          <w:tcPr>
            <w:tcW w:type="dxa" w:w="1719"/>
            <w:shd w:val="clear" w:color="auto" w:fill="1F3A5F"/>
          </w:tcPr>
          <w:p>
            <w:pPr>
              <w:spacing w:before="0" w:after="0" w:line="252" w:lineRule="auto"/>
            </w:pPr>
            <w:r>
              <w:rPr>
                <w:b/>
                <w:color w:val="FFFFFF"/>
                <w:sz w:val="18"/>
              </w:rPr>
              <w:t>Effect</w:t>
            </w:r>
          </w:p>
        </w:tc>
        <w:tc>
          <w:tcPr>
            <w:tcW w:type="dxa" w:w="1776"/>
            <w:shd w:val="clear" w:color="auto" w:fill="1F3A5F"/>
          </w:tcPr>
          <w:p>
            <w:pPr>
              <w:spacing w:before="0" w:after="0" w:line="252" w:lineRule="auto"/>
            </w:pPr>
            <w:r>
              <w:rPr>
                <w:b/>
                <w:color w:val="FFFFFF"/>
                <w:sz w:val="18"/>
              </w:rPr>
              <w:t>Certainty</w:t>
            </w:r>
          </w:p>
        </w:tc>
      </w:tr>
      <w:tr>
        <w:trPr>
          <w:cantSplit w:val="true"/>
        </w:trPr>
        <w:tc>
          <w:tcPr>
            <w:tcW w:type="dxa" w:w="1598"/>
          </w:tcPr>
          <w:p>
            <w:pPr>
              <w:spacing w:before="0" w:after="0" w:line="252" w:lineRule="auto"/>
            </w:pPr>
            <w:r>
              <w:rPr>
                <w:sz w:val="18"/>
              </w:rPr>
              <w:t>2026</w:t>
            </w:r>
          </w:p>
        </w:tc>
        <w:tc>
          <w:tcPr>
            <w:tcW w:type="dxa" w:w="4545"/>
          </w:tcPr>
          <w:p>
            <w:pPr>
              <w:spacing w:before="0" w:after="0" w:line="252" w:lineRule="auto"/>
            </w:pPr>
            <w:r>
              <w:rPr>
                <w:sz w:val="18"/>
              </w:rPr>
              <w:t>Betonakkoord ceiling and front-runner values apply in signatory tenders; 21 developers sign intent declaration (June)</w:t>
            </w:r>
          </w:p>
        </w:tc>
        <w:tc>
          <w:tcPr>
            <w:tcW w:type="dxa" w:w="1719"/>
          </w:tcPr>
          <w:p>
            <w:pPr>
              <w:spacing w:before="0" w:after="0" w:line="252" w:lineRule="auto"/>
            </w:pPr>
            <w:r>
              <w:rPr>
                <w:sz w:val="18"/>
              </w:rPr>
              <w:t>+ (small premium segment)</w:t>
            </w:r>
          </w:p>
        </w:tc>
        <w:tc>
          <w:tcPr>
            <w:tcW w:type="dxa" w:w="1776"/>
          </w:tcPr>
          <w:p>
            <w:pPr>
              <w:spacing w:before="0" w:after="0" w:line="252" w:lineRule="auto"/>
            </w:pPr>
            <w:r>
              <w:rPr>
                <w:sz w:val="18"/>
              </w:rPr>
              <w:t>High (values) / Medium (uptake)</w:t>
            </w:r>
          </w:p>
        </w:tc>
      </w:tr>
      <w:tr>
        <w:trPr>
          <w:cantSplit w:val="true"/>
        </w:trPr>
        <w:tc>
          <w:tcPr>
            <w:tcW w:type="dxa" w:w="1598"/>
            <w:shd w:val="clear" w:color="auto" w:fill="F2F5F9"/>
          </w:tcPr>
          <w:p>
            <w:pPr>
              <w:spacing w:before="0" w:after="0" w:line="252" w:lineRule="auto"/>
            </w:pPr>
            <w:r>
              <w:rPr>
                <w:sz w:val="18"/>
              </w:rPr>
              <w:t>1 Jan 2026</w:t>
            </w:r>
          </w:p>
        </w:tc>
        <w:tc>
          <w:tcPr>
            <w:tcW w:type="dxa" w:w="4545"/>
            <w:shd w:val="clear" w:color="auto" w:fill="F2F5F9"/>
          </w:tcPr>
          <w:p>
            <w:pPr>
              <w:spacing w:before="0" w:after="0" w:line="252" w:lineRule="auto"/>
            </w:pPr>
            <w:r>
              <w:rPr>
                <w:sz w:val="18"/>
              </w:rPr>
              <w:t>CBAM definitive phase; free allocation for cement −2.5%</w:t>
            </w:r>
          </w:p>
        </w:tc>
        <w:tc>
          <w:tcPr>
            <w:tcW w:type="dxa" w:w="1719"/>
            <w:shd w:val="clear" w:color="auto" w:fill="F2F5F9"/>
          </w:tcPr>
          <w:p>
            <w:pPr>
              <w:spacing w:before="0" w:after="0" w:line="252" w:lineRule="auto"/>
            </w:pPr>
            <w:r>
              <w:rPr>
                <w:sz w:val="18"/>
              </w:rPr>
              <w:t>+ (small)</w:t>
            </w:r>
          </w:p>
        </w:tc>
        <w:tc>
          <w:tcPr>
            <w:tcW w:type="dxa" w:w="1776"/>
            <w:shd w:val="clear" w:color="auto" w:fill="F2F5F9"/>
          </w:tcPr>
          <w:p>
            <w:pPr>
              <w:spacing w:before="0" w:after="0" w:line="252" w:lineRule="auto"/>
            </w:pPr>
            <w:r>
              <w:rPr>
                <w:sz w:val="18"/>
              </w:rPr>
              <w:t>High</w:t>
            </w:r>
          </w:p>
        </w:tc>
      </w:tr>
      <w:tr>
        <w:trPr>
          <w:cantSplit w:val="true"/>
        </w:trPr>
        <w:tc>
          <w:tcPr>
            <w:tcW w:type="dxa" w:w="1598"/>
          </w:tcPr>
          <w:p>
            <w:pPr>
              <w:spacing w:before="0" w:after="0" w:line="252" w:lineRule="auto"/>
            </w:pPr>
            <w:r>
              <w:rPr>
                <w:sz w:val="18"/>
              </w:rPr>
              <w:t>1 Jul 2026</w:t>
            </w:r>
          </w:p>
        </w:tc>
        <w:tc>
          <w:tcPr>
            <w:tcW w:type="dxa" w:w="4545"/>
          </w:tcPr>
          <w:p>
            <w:pPr>
              <w:spacing w:before="0" w:after="0" w:line="252" w:lineRule="auto"/>
            </w:pPr>
            <w:r>
              <w:rPr>
                <w:sz w:val="18"/>
              </w:rPr>
              <w:t>New MPG method; homes not tightened; offices −15%</w:t>
            </w:r>
          </w:p>
        </w:tc>
        <w:tc>
          <w:tcPr>
            <w:tcW w:type="dxa" w:w="1719"/>
          </w:tcPr>
          <w:p>
            <w:pPr>
              <w:spacing w:before="0" w:after="0" w:line="252" w:lineRule="auto"/>
            </w:pPr>
            <w:r>
              <w:rPr>
                <w:sz w:val="18"/>
              </w:rPr>
              <w:t>+ (small)</w:t>
            </w:r>
          </w:p>
        </w:tc>
        <w:tc>
          <w:tcPr>
            <w:tcW w:type="dxa" w:w="1776"/>
          </w:tcPr>
          <w:p>
            <w:pPr>
              <w:spacing w:before="0" w:after="0" w:line="252" w:lineRule="auto"/>
            </w:pPr>
            <w:r>
              <w:rPr>
                <w:sz w:val="18"/>
              </w:rPr>
              <w:t>High</w:t>
            </w:r>
          </w:p>
        </w:tc>
      </w:tr>
      <w:tr>
        <w:trPr>
          <w:cantSplit w:val="true"/>
        </w:trPr>
        <w:tc>
          <w:tcPr>
            <w:tcW w:type="dxa" w:w="1598"/>
            <w:shd w:val="clear" w:color="auto" w:fill="F2F5F9"/>
          </w:tcPr>
          <w:p>
            <w:pPr>
              <w:spacing w:before="0" w:after="0" w:line="252" w:lineRule="auto"/>
            </w:pPr>
            <w:r>
              <w:rPr>
                <w:sz w:val="18"/>
              </w:rPr>
              <w:t>2026</w:t>
            </w:r>
          </w:p>
        </w:tc>
        <w:tc>
          <w:tcPr>
            <w:tcW w:type="dxa" w:w="4545"/>
            <w:shd w:val="clear" w:color="auto" w:fill="F2F5F9"/>
          </w:tcPr>
          <w:p>
            <w:pPr>
              <w:spacing w:before="0" w:after="0" w:line="252" w:lineRule="auto"/>
            </w:pPr>
            <w:r>
              <w:rPr>
                <w:sz w:val="18"/>
              </w:rPr>
              <w:t>Circulair Materialenplan: road base counts as recycling</w:t>
            </w:r>
          </w:p>
        </w:tc>
        <w:tc>
          <w:tcPr>
            <w:tcW w:type="dxa" w:w="1719"/>
            <w:shd w:val="clear" w:color="auto" w:fill="F2F5F9"/>
          </w:tcPr>
          <w:p>
            <w:pPr>
              <w:spacing w:before="0" w:after="0" w:line="252" w:lineRule="auto"/>
              <w:jc w:val="center"/>
            </w:pPr>
            <w:r>
              <w:rPr>
                <w:sz w:val="18"/>
              </w:rPr>
              <w:t>0 / −</w:t>
            </w:r>
          </w:p>
        </w:tc>
        <w:tc>
          <w:tcPr>
            <w:tcW w:type="dxa" w:w="1776"/>
            <w:shd w:val="clear" w:color="auto" w:fill="F2F5F9"/>
          </w:tcPr>
          <w:p>
            <w:pPr>
              <w:spacing w:before="0" w:after="0" w:line="252" w:lineRule="auto"/>
            </w:pPr>
            <w:r>
              <w:rPr>
                <w:sz w:val="18"/>
              </w:rPr>
              <w:t>High</w:t>
            </w:r>
          </w:p>
        </w:tc>
      </w:tr>
      <w:tr>
        <w:trPr>
          <w:cantSplit w:val="true"/>
        </w:trPr>
        <w:tc>
          <w:tcPr>
            <w:tcW w:type="dxa" w:w="1598"/>
          </w:tcPr>
          <w:p>
            <w:pPr>
              <w:spacing w:before="0" w:after="0" w:line="252" w:lineRule="auto"/>
            </w:pPr>
            <w:r>
              <w:rPr>
                <w:sz w:val="18"/>
              </w:rPr>
              <w:t>18 Nov 2026 (planned)</w:t>
            </w:r>
          </w:p>
        </w:tc>
        <w:tc>
          <w:tcPr>
            <w:tcW w:type="dxa" w:w="4545"/>
          </w:tcPr>
          <w:p>
            <w:pPr>
              <w:spacing w:before="0" w:after="0" w:line="252" w:lineRule="auto"/>
            </w:pPr>
            <w:r>
              <w:rPr>
                <w:sz w:val="18"/>
              </w:rPr>
              <w:t>EU Circular Economy Act proposal (end-of-waste rules)</w:t>
            </w:r>
          </w:p>
        </w:tc>
        <w:tc>
          <w:tcPr>
            <w:tcW w:type="dxa" w:w="1719"/>
          </w:tcPr>
          <w:p>
            <w:pPr>
              <w:spacing w:before="0" w:after="0" w:line="252" w:lineRule="auto"/>
            </w:pPr>
            <w:r>
              <w:rPr>
                <w:sz w:val="18"/>
              </w:rPr>
              <w:t>+ (later)</w:t>
            </w:r>
          </w:p>
        </w:tc>
        <w:tc>
          <w:tcPr>
            <w:tcW w:type="dxa" w:w="1776"/>
          </w:tcPr>
          <w:p>
            <w:pPr>
              <w:spacing w:before="0" w:after="0" w:line="252" w:lineRule="auto"/>
            </w:pPr>
            <w:r>
              <w:rPr>
                <w:sz w:val="18"/>
              </w:rPr>
              <w:t>Medium / Low</w:t>
            </w:r>
          </w:p>
        </w:tc>
      </w:tr>
      <w:tr>
        <w:trPr>
          <w:cantSplit w:val="true"/>
        </w:trPr>
        <w:tc>
          <w:tcPr>
            <w:tcW w:type="dxa" w:w="1598"/>
            <w:shd w:val="clear" w:color="auto" w:fill="F2F5F9"/>
          </w:tcPr>
          <w:p>
            <w:pPr>
              <w:spacing w:before="0" w:after="0" w:line="252" w:lineRule="auto"/>
            </w:pPr>
            <w:r>
              <w:rPr>
                <w:sz w:val="18"/>
              </w:rPr>
              <w:t>2027</w:t>
            </w:r>
          </w:p>
        </w:tc>
        <w:tc>
          <w:tcPr>
            <w:tcW w:type="dxa" w:w="4545"/>
            <w:shd w:val="clear" w:color="auto" w:fill="F2F5F9"/>
          </w:tcPr>
          <w:p>
            <w:pPr>
              <w:spacing w:before="0" w:after="0" w:line="252" w:lineRule="auto"/>
            </w:pPr>
            <w:r>
              <w:rPr>
                <w:sz w:val="18"/>
              </w:rPr>
              <w:t>EU ETS review negotiations (proposal: phase-out to 2038)</w:t>
            </w:r>
          </w:p>
        </w:tc>
        <w:tc>
          <w:tcPr>
            <w:tcW w:type="dxa" w:w="1719"/>
            <w:shd w:val="clear" w:color="auto" w:fill="F2F5F9"/>
          </w:tcPr>
          <w:p>
            <w:pPr>
              <w:spacing w:before="0" w:after="0" w:line="252" w:lineRule="auto"/>
            </w:pPr>
            <w:r>
              <w:rPr>
                <w:sz w:val="18"/>
              </w:rPr>
              <w:t>− if adopted</w:t>
            </w:r>
          </w:p>
        </w:tc>
        <w:tc>
          <w:tcPr>
            <w:tcW w:type="dxa" w:w="1776"/>
            <w:shd w:val="clear" w:color="auto" w:fill="F2F5F9"/>
          </w:tcPr>
          <w:p>
            <w:pPr>
              <w:spacing w:before="0" w:after="0" w:line="252" w:lineRule="auto"/>
            </w:pPr>
            <w:r>
              <w:rPr>
                <w:sz w:val="18"/>
              </w:rPr>
              <w:t>Medium</w:t>
            </w:r>
          </w:p>
        </w:tc>
      </w:tr>
      <w:tr>
        <w:trPr>
          <w:cantSplit w:val="true"/>
        </w:trPr>
        <w:tc>
          <w:tcPr>
            <w:tcW w:type="dxa" w:w="1598"/>
          </w:tcPr>
          <w:p>
            <w:pPr>
              <w:spacing w:before="0" w:after="0" w:line="252" w:lineRule="auto"/>
            </w:pPr>
            <w:r>
              <w:rPr>
                <w:sz w:val="18"/>
              </w:rPr>
              <w:t>2027–2028 (base 1 Jan 2028)</w:t>
            </w:r>
          </w:p>
        </w:tc>
        <w:tc>
          <w:tcPr>
            <w:tcW w:type="dxa" w:w="4545"/>
          </w:tcPr>
          <w:p>
            <w:pPr>
              <w:spacing w:before="0" w:after="0" w:line="252" w:lineRule="auto"/>
            </w:pPr>
            <w:r>
              <w:rPr>
                <w:b/>
                <w:sz w:val="18"/>
              </w:rPr>
              <w:t>GWW decree: maximum MKI for concrete in all public GWW tenders</w:t>
            </w:r>
          </w:p>
        </w:tc>
        <w:tc>
          <w:tcPr>
            <w:tcW w:type="dxa" w:w="1719"/>
          </w:tcPr>
          <w:p>
            <w:pPr>
              <w:spacing w:before="0" w:after="0" w:line="252" w:lineRule="auto"/>
            </w:pPr>
            <w:r>
              <w:rPr>
                <w:b/>
                <w:sz w:val="18"/>
              </w:rPr>
              <w:t>++</w:t>
            </w:r>
            <w:r>
              <w:rPr>
                <w:sz w:val="18"/>
              </w:rPr>
              <w:t xml:space="preserve"> (main demand driver)</w:t>
            </w:r>
          </w:p>
        </w:tc>
        <w:tc>
          <w:tcPr>
            <w:tcW w:type="dxa" w:w="1776"/>
          </w:tcPr>
          <w:p>
            <w:pPr>
              <w:spacing w:before="0" w:after="0" w:line="252" w:lineRule="auto"/>
            </w:pPr>
            <w:r>
              <w:rPr>
                <w:sz w:val="18"/>
              </w:rPr>
              <w:t>Medium–High</w:t>
            </w:r>
          </w:p>
        </w:tc>
      </w:tr>
      <w:tr>
        <w:trPr>
          <w:cantSplit w:val="true"/>
        </w:trPr>
        <w:tc>
          <w:tcPr>
            <w:tcW w:type="dxa" w:w="1598"/>
            <w:shd w:val="clear" w:color="auto" w:fill="F2F5F9"/>
          </w:tcPr>
          <w:p>
            <w:pPr>
              <w:spacing w:before="0" w:after="0" w:line="252" w:lineRule="auto"/>
            </w:pPr>
            <w:r>
              <w:rPr>
                <w:sz w:val="18"/>
              </w:rPr>
              <w:t>2028</w:t>
            </w:r>
          </w:p>
        </w:tc>
        <w:tc>
          <w:tcPr>
            <w:tcW w:type="dxa" w:w="4545"/>
            <w:shd w:val="clear" w:color="auto" w:fill="F2F5F9"/>
          </w:tcPr>
          <w:p>
            <w:pPr>
              <w:spacing w:before="0" w:after="0" w:line="252" w:lineRule="auto"/>
            </w:pPr>
            <w:r>
              <w:rPr>
                <w:sz w:val="18"/>
              </w:rPr>
              <w:t>Landfill tax €64/t (proposal); CBAM factor 90%</w:t>
            </w:r>
          </w:p>
        </w:tc>
        <w:tc>
          <w:tcPr>
            <w:tcW w:type="dxa" w:w="1719"/>
            <w:shd w:val="clear" w:color="auto" w:fill="F2F5F9"/>
          </w:tcPr>
          <w:p>
            <w:pPr>
              <w:spacing w:before="0" w:after="0" w:line="252" w:lineRule="auto"/>
              <w:jc w:val="center"/>
            </w:pPr>
            <w:r>
              <w:rPr>
                <w:sz w:val="18"/>
              </w:rPr>
              <w:t>0 / +</w:t>
            </w:r>
          </w:p>
        </w:tc>
        <w:tc>
          <w:tcPr>
            <w:tcW w:type="dxa" w:w="1776"/>
            <w:shd w:val="clear" w:color="auto" w:fill="F2F5F9"/>
          </w:tcPr>
          <w:p>
            <w:pPr>
              <w:spacing w:before="0" w:after="0" w:line="252" w:lineRule="auto"/>
            </w:pPr>
            <w:r>
              <w:rPr>
                <w:sz w:val="18"/>
              </w:rPr>
              <w:t>Medium / High</w:t>
            </w:r>
          </w:p>
        </w:tc>
      </w:tr>
      <w:tr>
        <w:trPr>
          <w:cantSplit w:val="true"/>
        </w:trPr>
        <w:tc>
          <w:tcPr>
            <w:tcW w:type="dxa" w:w="1598"/>
          </w:tcPr>
          <w:p>
            <w:pPr>
              <w:spacing w:before="0" w:after="0" w:line="252" w:lineRule="auto"/>
            </w:pPr>
            <w:r>
              <w:rPr>
                <w:sz w:val="18"/>
              </w:rPr>
              <w:t>1 Jan 2028</w:t>
            </w:r>
          </w:p>
        </w:tc>
        <w:tc>
          <w:tcPr>
            <w:tcW w:type="dxa" w:w="4545"/>
          </w:tcPr>
          <w:p>
            <w:pPr>
              <w:spacing w:before="0" w:after="0" w:line="252" w:lineRule="auto"/>
            </w:pPr>
            <w:r>
              <w:rPr>
                <w:sz w:val="18"/>
              </w:rPr>
              <w:t>EPBD: life-cycle CO₂ on the energy label for new buildings &gt;1,000 m²</w:t>
            </w:r>
          </w:p>
        </w:tc>
        <w:tc>
          <w:tcPr>
            <w:tcW w:type="dxa" w:w="1719"/>
          </w:tcPr>
          <w:p>
            <w:pPr>
              <w:spacing w:before="0" w:after="0" w:line="252" w:lineRule="auto"/>
            </w:pPr>
            <w:r>
              <w:rPr>
                <w:sz w:val="18"/>
              </w:rPr>
              <w:t>+ (visibility)</w:t>
            </w:r>
          </w:p>
        </w:tc>
        <w:tc>
          <w:tcPr>
            <w:tcW w:type="dxa" w:w="1776"/>
          </w:tcPr>
          <w:p>
            <w:pPr>
              <w:spacing w:before="0" w:after="0" w:line="252" w:lineRule="auto"/>
            </w:pPr>
            <w:r>
              <w:rPr>
                <w:sz w:val="18"/>
              </w:rPr>
              <w:t>High (EU) / Medium (NL)</w:t>
            </w:r>
          </w:p>
        </w:tc>
      </w:tr>
      <w:tr>
        <w:trPr>
          <w:cantSplit w:val="true"/>
        </w:trPr>
        <w:tc>
          <w:tcPr>
            <w:tcW w:type="dxa" w:w="1598"/>
            <w:shd w:val="clear" w:color="auto" w:fill="F2F5F9"/>
          </w:tcPr>
          <w:p>
            <w:pPr>
              <w:spacing w:before="0" w:after="0" w:line="252" w:lineRule="auto"/>
            </w:pPr>
            <w:r>
              <w:rPr>
                <w:sz w:val="18"/>
              </w:rPr>
              <w:t>2028–2030</w:t>
            </w:r>
          </w:p>
        </w:tc>
        <w:tc>
          <w:tcPr>
            <w:tcW w:type="dxa" w:w="4545"/>
            <w:shd w:val="clear" w:color="auto" w:fill="F2F5F9"/>
          </w:tcPr>
          <w:p>
            <w:pPr>
              <w:spacing w:before="0" w:after="0" w:line="252" w:lineRule="auto"/>
            </w:pPr>
            <w:r>
              <w:rPr>
                <w:sz w:val="18"/>
              </w:rPr>
              <w:t>Betonakkoord path: 40% → 50% → &gt;60% of rubble back into concrete</w:t>
            </w:r>
          </w:p>
        </w:tc>
        <w:tc>
          <w:tcPr>
            <w:tcW w:type="dxa" w:w="1719"/>
            <w:shd w:val="clear" w:color="auto" w:fill="F2F5F9"/>
          </w:tcPr>
          <w:p>
            <w:pPr>
              <w:spacing w:before="0" w:after="0" w:line="252" w:lineRule="auto"/>
            </w:pPr>
            <w:r>
              <w:rPr>
                <w:sz w:val="18"/>
              </w:rPr>
              <w:t>+ if enforced</w:t>
            </w:r>
          </w:p>
        </w:tc>
        <w:tc>
          <w:tcPr>
            <w:tcW w:type="dxa" w:w="1776"/>
            <w:shd w:val="clear" w:color="auto" w:fill="F2F5F9"/>
          </w:tcPr>
          <w:p>
            <w:pPr>
              <w:spacing w:before="0" w:after="0" w:line="252" w:lineRule="auto"/>
            </w:pPr>
            <w:r>
              <w:rPr>
                <w:sz w:val="18"/>
              </w:rPr>
              <w:t>Low</w:t>
            </w:r>
          </w:p>
        </w:tc>
      </w:tr>
      <w:tr>
        <w:trPr>
          <w:cantSplit w:val="true"/>
        </w:trPr>
        <w:tc>
          <w:tcPr>
            <w:tcW w:type="dxa" w:w="1598"/>
          </w:tcPr>
          <w:p>
            <w:pPr>
              <w:spacing w:before="0" w:after="0" w:line="252" w:lineRule="auto"/>
            </w:pPr>
            <w:r>
              <w:rPr>
                <w:sz w:val="18"/>
              </w:rPr>
              <w:t>~2029–2031</w:t>
            </w:r>
          </w:p>
        </w:tc>
        <w:tc>
          <w:tcPr>
            <w:tcW w:type="dxa" w:w="4545"/>
          </w:tcPr>
          <w:p>
            <w:pPr>
              <w:spacing w:before="0" w:after="0" w:line="252" w:lineRule="auto"/>
            </w:pPr>
            <w:r>
              <w:rPr>
                <w:sz w:val="18"/>
              </w:rPr>
              <w:t>Compulsory CO₂ declarations for precast concrete and aggregates (EU CPR)</w:t>
            </w:r>
          </w:p>
        </w:tc>
        <w:tc>
          <w:tcPr>
            <w:tcW w:type="dxa" w:w="1719"/>
          </w:tcPr>
          <w:p>
            <w:pPr>
              <w:spacing w:before="0" w:after="0" w:line="252" w:lineRule="auto"/>
            </w:pPr>
            <w:r>
              <w:rPr>
                <w:sz w:val="18"/>
              </w:rPr>
              <w:t>+</w:t>
            </w:r>
          </w:p>
        </w:tc>
        <w:tc>
          <w:tcPr>
            <w:tcW w:type="dxa" w:w="1776"/>
          </w:tcPr>
          <w:p>
            <w:pPr>
              <w:spacing w:before="0" w:after="0" w:line="252" w:lineRule="auto"/>
            </w:pPr>
            <w:r>
              <w:rPr>
                <w:sz w:val="18"/>
              </w:rPr>
              <w:t>Low–Medium</w:t>
            </w:r>
          </w:p>
        </w:tc>
      </w:tr>
      <w:tr>
        <w:trPr>
          <w:cantSplit w:val="true"/>
        </w:trPr>
        <w:tc>
          <w:tcPr>
            <w:tcW w:type="dxa" w:w="1598"/>
            <w:shd w:val="clear" w:color="auto" w:fill="F2F5F9"/>
          </w:tcPr>
          <w:p>
            <w:pPr>
              <w:spacing w:before="0" w:after="0" w:line="252" w:lineRule="auto"/>
            </w:pPr>
            <w:r>
              <w:rPr>
                <w:sz w:val="18"/>
              </w:rPr>
              <w:t>2030</w:t>
            </w:r>
          </w:p>
        </w:tc>
        <w:tc>
          <w:tcPr>
            <w:tcW w:type="dxa" w:w="4545"/>
            <w:shd w:val="clear" w:color="auto" w:fill="F2F5F9"/>
          </w:tcPr>
          <w:p>
            <w:pPr>
              <w:spacing w:before="0" w:after="0" w:line="252" w:lineRule="auto"/>
            </w:pPr>
            <w:r>
              <w:rPr>
                <w:sz w:val="18"/>
              </w:rPr>
              <w:t>CBAM factor 51.5%; CEM I carbon cost ~€45/t; landfill tax €81/t (proposal)</w:t>
            </w:r>
          </w:p>
        </w:tc>
        <w:tc>
          <w:tcPr>
            <w:tcW w:type="dxa" w:w="1719"/>
            <w:shd w:val="clear" w:color="auto" w:fill="F2F5F9"/>
          </w:tcPr>
          <w:p>
            <w:pPr>
              <w:spacing w:before="0" w:after="0" w:line="252" w:lineRule="auto"/>
            </w:pPr>
            <w:r>
              <w:rPr>
                <w:sz w:val="18"/>
              </w:rPr>
              <w:t>+</w:t>
            </w:r>
          </w:p>
        </w:tc>
        <w:tc>
          <w:tcPr>
            <w:tcW w:type="dxa" w:w="1776"/>
            <w:shd w:val="clear" w:color="auto" w:fill="F2F5F9"/>
          </w:tcPr>
          <w:p>
            <w:pPr>
              <w:spacing w:before="0" w:after="0" w:line="252" w:lineRule="auto"/>
            </w:pPr>
            <w:r>
              <w:rPr>
                <w:sz w:val="18"/>
              </w:rPr>
              <w:t>High (law) / Medium (price)</w:t>
            </w:r>
          </w:p>
        </w:tc>
      </w:tr>
      <w:tr>
        <w:trPr>
          <w:cantSplit w:val="true"/>
        </w:trPr>
        <w:tc>
          <w:tcPr>
            <w:tcW w:type="dxa" w:w="1598"/>
          </w:tcPr>
          <w:p>
            <w:pPr>
              <w:spacing w:before="0" w:after="0" w:line="252" w:lineRule="auto"/>
            </w:pPr>
            <w:r>
              <w:rPr>
                <w:sz w:val="18"/>
              </w:rPr>
              <w:t>2030</w:t>
            </w:r>
          </w:p>
        </w:tc>
        <w:tc>
          <w:tcPr>
            <w:tcW w:type="dxa" w:w="4545"/>
          </w:tcPr>
          <w:p>
            <w:pPr>
              <w:spacing w:before="0" w:after="0" w:line="252" w:lineRule="auto"/>
            </w:pPr>
            <w:r>
              <w:rPr>
                <w:sz w:val="18"/>
              </w:rPr>
              <w:t>Possible Dutch CO₂ limits for buildings; MPG evaluation</w:t>
            </w:r>
          </w:p>
        </w:tc>
        <w:tc>
          <w:tcPr>
            <w:tcW w:type="dxa" w:w="1719"/>
          </w:tcPr>
          <w:p>
            <w:pPr>
              <w:spacing w:before="0" w:after="0" w:line="252" w:lineRule="auto"/>
            </w:pPr>
            <w:r>
              <w:rPr>
                <w:sz w:val="18"/>
              </w:rPr>
              <w:t>+ (possible)</w:t>
            </w:r>
          </w:p>
        </w:tc>
        <w:tc>
          <w:tcPr>
            <w:tcW w:type="dxa" w:w="1776"/>
          </w:tcPr>
          <w:p>
            <w:pPr>
              <w:spacing w:before="0" w:after="0" w:line="252" w:lineRule="auto"/>
            </w:pPr>
            <w:r>
              <w:rPr>
                <w:sz w:val="18"/>
              </w:rPr>
              <w:t>Low</w:t>
            </w:r>
          </w:p>
        </w:tc>
      </w:tr>
      <w:tr>
        <w:trPr>
          <w:cantSplit w:val="true"/>
        </w:trPr>
        <w:tc>
          <w:tcPr>
            <w:tcW w:type="dxa" w:w="1598"/>
            <w:shd w:val="clear" w:color="auto" w:fill="F2F5F9"/>
          </w:tcPr>
          <w:p>
            <w:pPr>
              <w:spacing w:before="0" w:after="0" w:line="252" w:lineRule="auto"/>
            </w:pPr>
            <w:r>
              <w:rPr>
                <w:sz w:val="18"/>
              </w:rPr>
              <w:t>~2030</w:t>
            </w:r>
          </w:p>
        </w:tc>
        <w:tc>
          <w:tcPr>
            <w:tcW w:type="dxa" w:w="4545"/>
            <w:shd w:val="clear" w:color="auto" w:fill="F2F5F9"/>
          </w:tcPr>
          <w:p>
            <w:pPr>
              <w:spacing w:before="0" w:after="0" w:line="252" w:lineRule="auto"/>
            </w:pPr>
            <w:r>
              <w:rPr>
                <w:sz w:val="18"/>
              </w:rPr>
              <w:t>Tata Steel blast furnace replaced → less slag for CEM III cement</w:t>
            </w:r>
          </w:p>
        </w:tc>
        <w:tc>
          <w:tcPr>
            <w:tcW w:type="dxa" w:w="1719"/>
            <w:shd w:val="clear" w:color="auto" w:fill="F2F5F9"/>
          </w:tcPr>
          <w:p>
            <w:pPr>
              <w:spacing w:before="0" w:after="0" w:line="252" w:lineRule="auto"/>
            </w:pPr>
            <w:r>
              <w:rPr>
                <w:sz w:val="18"/>
              </w:rPr>
              <w:t>− (cement cost)</w:t>
            </w:r>
          </w:p>
        </w:tc>
        <w:tc>
          <w:tcPr>
            <w:tcW w:type="dxa" w:w="1776"/>
            <w:shd w:val="clear" w:color="auto" w:fill="F2F5F9"/>
          </w:tcPr>
          <w:p>
            <w:pPr>
              <w:spacing w:before="0" w:after="0" w:line="252" w:lineRule="auto"/>
            </w:pPr>
            <w:r>
              <w:rPr>
                <w:sz w:val="18"/>
              </w:rPr>
              <w:t>Low</w:t>
            </w:r>
          </w:p>
        </w:tc>
      </w:tr>
      <w:tr>
        <w:trPr>
          <w:cantSplit w:val="true"/>
        </w:trPr>
        <w:tc>
          <w:tcPr>
            <w:tcW w:type="dxa" w:w="1598"/>
          </w:tcPr>
          <w:p>
            <w:pPr>
              <w:spacing w:before="0" w:after="0" w:line="252" w:lineRule="auto"/>
            </w:pPr>
            <w:r>
              <w:rPr>
                <w:sz w:val="18"/>
              </w:rPr>
              <w:t>2031–2033</w:t>
            </w:r>
          </w:p>
        </w:tc>
        <w:tc>
          <w:tcPr>
            <w:tcW w:type="dxa" w:w="4545"/>
          </w:tcPr>
          <w:p>
            <w:pPr>
              <w:spacing w:before="0" w:after="0" w:line="252" w:lineRule="auto"/>
            </w:pPr>
            <w:r>
              <w:rPr>
                <w:sz w:val="18"/>
              </w:rPr>
              <w:t>CBAM factor 39% → 26.5% → 14%</w:t>
            </w:r>
          </w:p>
        </w:tc>
        <w:tc>
          <w:tcPr>
            <w:tcW w:type="dxa" w:w="1719"/>
          </w:tcPr>
          <w:p>
            <w:pPr>
              <w:spacing w:before="0" w:after="0" w:line="252" w:lineRule="auto"/>
            </w:pPr>
            <w:r>
              <w:rPr>
                <w:sz w:val="18"/>
              </w:rPr>
              <w:t>+</w:t>
            </w:r>
          </w:p>
        </w:tc>
        <w:tc>
          <w:tcPr>
            <w:tcW w:type="dxa" w:w="1776"/>
          </w:tcPr>
          <w:p>
            <w:pPr>
              <w:spacing w:before="0" w:after="0" w:line="252" w:lineRule="auto"/>
            </w:pPr>
            <w:r>
              <w:rPr>
                <w:sz w:val="18"/>
              </w:rPr>
              <w:t>High (law) / Medium</w:t>
            </w:r>
          </w:p>
        </w:tc>
      </w:tr>
      <w:tr>
        <w:trPr>
          <w:cantSplit w:val="true"/>
        </w:trPr>
        <w:tc>
          <w:tcPr>
            <w:tcW w:type="dxa" w:w="1598"/>
            <w:shd w:val="clear" w:color="auto" w:fill="F2F5F9"/>
          </w:tcPr>
          <w:p>
            <w:pPr>
              <w:spacing w:before="0" w:after="0" w:line="252" w:lineRule="auto"/>
            </w:pPr>
            <w:r>
              <w:rPr>
                <w:sz w:val="18"/>
              </w:rPr>
              <w:t>2034</w:t>
            </w:r>
          </w:p>
        </w:tc>
        <w:tc>
          <w:tcPr>
            <w:tcW w:type="dxa" w:w="4545"/>
            <w:shd w:val="clear" w:color="auto" w:fill="F2F5F9"/>
          </w:tcPr>
          <w:p>
            <w:pPr>
              <w:spacing w:before="0" w:after="0" w:line="252" w:lineRule="auto"/>
            </w:pPr>
            <w:r>
              <w:rPr>
                <w:sz w:val="18"/>
              </w:rPr>
              <w:t>Free allocation for cement ends (current law); CEM I carbon cost ~€95/t</w:t>
            </w:r>
          </w:p>
        </w:tc>
        <w:tc>
          <w:tcPr>
            <w:tcW w:type="dxa" w:w="1719"/>
            <w:shd w:val="clear" w:color="auto" w:fill="F2F5F9"/>
          </w:tcPr>
          <w:p>
            <w:pPr>
              <w:spacing w:before="0" w:after="0" w:line="252" w:lineRule="auto"/>
            </w:pPr>
            <w:r>
              <w:rPr>
                <w:sz w:val="18"/>
              </w:rPr>
              <w:t>++ for low-clinker vs CEM I</w:t>
            </w:r>
          </w:p>
        </w:tc>
        <w:tc>
          <w:tcPr>
            <w:tcW w:type="dxa" w:w="1776"/>
            <w:shd w:val="clear" w:color="auto" w:fill="F2F5F9"/>
          </w:tcPr>
          <w:p>
            <w:pPr>
              <w:spacing w:before="0" w:after="0" w:line="252" w:lineRule="auto"/>
            </w:pPr>
            <w:r>
              <w:rPr>
                <w:sz w:val="18"/>
              </w:rPr>
              <w:t>Medium (may move to 2038)</w:t>
            </w:r>
          </w:p>
        </w:tc>
      </w:tr>
      <w:tr>
        <w:trPr>
          <w:cantSplit w:val="true"/>
        </w:trPr>
        <w:tc>
          <w:tcPr>
            <w:tcW w:type="dxa" w:w="1598"/>
          </w:tcPr>
          <w:p>
            <w:pPr>
              <w:spacing w:before="0" w:after="0" w:line="252" w:lineRule="auto"/>
            </w:pPr>
            <w:r>
              <w:rPr>
                <w:sz w:val="18"/>
              </w:rPr>
              <w:t>2035</w:t>
            </w:r>
          </w:p>
        </w:tc>
        <w:tc>
          <w:tcPr>
            <w:tcW w:type="dxa" w:w="4545"/>
          </w:tcPr>
          <w:p>
            <w:pPr>
              <w:spacing w:before="0" w:after="0" w:line="252" w:lineRule="auto"/>
            </w:pPr>
            <w:r>
              <w:rPr>
                <w:sz w:val="18"/>
              </w:rPr>
              <w:t>EUA carbon price ~€125–140/t (forecasts)</w:t>
            </w:r>
          </w:p>
        </w:tc>
        <w:tc>
          <w:tcPr>
            <w:tcW w:type="dxa" w:w="1719"/>
          </w:tcPr>
          <w:p>
            <w:pPr>
              <w:spacing w:before="0" w:after="0" w:line="252" w:lineRule="auto"/>
            </w:pPr>
            <w:r>
              <w:rPr>
                <w:sz w:val="18"/>
              </w:rPr>
              <w:t>+</w:t>
            </w:r>
          </w:p>
        </w:tc>
        <w:tc>
          <w:tcPr>
            <w:tcW w:type="dxa" w:w="1776"/>
          </w:tcPr>
          <w:p>
            <w:pPr>
              <w:spacing w:before="0" w:after="0" w:line="252" w:lineRule="auto"/>
            </w:pPr>
            <w:r>
              <w:rPr>
                <w:sz w:val="18"/>
              </w:rPr>
              <w:t>Low</w:t>
            </w:r>
          </w:p>
        </w:tc>
      </w:tr>
    </w:tbl>
    <w:p>
      <w:pPr>
        <w:spacing w:before="0" w:after="40" w:line="240" w:lineRule="auto"/>
      </w:pPr>
    </w:p>
    <w:p>
      <w:r>
        <w:t>Sources: policy.md §10 (POL-01, POL-14, POL-17, POL-39, POL-42, POL-51, POL-55, POL-82, POL-93).</w:t>
      </w:r>
    </w:p>
    <w:p>
      <w:r>
        <w:rPr>
          <w:b/>
        </w:rPr>
        <w:t>What this means.</w:t>
      </w:r>
      <w:r>
        <w:t xml:space="preserve"> Policy creates a real public-works market for low-MKI concrete from about 2028. But the CO₂ part of MKI is decided by the cement, not by recycled aggregate. Incumbents that already use CEM III/B meet the same ceilings. The policy push does not give a newcomer a price advantage by itself.</w:t>
      </w:r>
    </w:p>
    <w:p>
      <w:pPr>
        <w:pStyle w:val="Heading2"/>
      </w:pPr>
      <w:r>
        <w:t>3.3 Market size and trends</w:t>
      </w:r>
    </w:p>
    <w:p>
      <w:pPr>
        <w:pStyle w:val="ListBullet"/>
      </w:pPr>
      <w:r>
        <w:rPr>
          <w:b/>
        </w:rPr>
        <w:t>Ready-mix:</w:t>
      </w:r>
      <w:r>
        <w:t xml:space="preserve"> 7.5 Mm³ (2022) → </w:t>
      </w:r>
      <w:r>
        <w:rPr>
          <w:b/>
        </w:rPr>
        <w:t>6.0 Mm³ (2023)</w:t>
      </w:r>
      <w:r>
        <w:t xml:space="preserve">, at </w:t>
      </w:r>
      <w:r>
        <w:rPr>
          <w:b/>
        </w:rPr>
        <w:t>178 plants</w:t>
      </w:r>
      <w:r>
        <w:t xml:space="preserve">, average </w:t>
      </w:r>
      <w:r>
        <w:rPr>
          <w:b/>
        </w:rPr>
        <w:t>33,700 m³ per plant</w:t>
      </w:r>
      <w:r>
        <w:t xml:space="preserve"> </w:t>
      </w:r>
      <w:r>
        <w:rPr>
          <w:color w:val="6B6B6B"/>
          <w:sz w:val="17"/>
        </w:rPr>
        <w:t>[VERIFIED, CMP-43]</w:t>
      </w:r>
      <w:r>
        <w:t xml:space="preserve">. Prefab and concrete products ~5.3 Mm³ </w:t>
      </w:r>
      <w:r>
        <w:rPr>
          <w:color w:val="6B6B6B"/>
          <w:sz w:val="17"/>
        </w:rPr>
        <w:t>[VERIFIED, MKT-01]</w:t>
      </w:r>
      <w:r>
        <w:t>.</w:t>
      </w:r>
    </w:p>
    <w:p>
      <w:pPr>
        <w:pStyle w:val="ListBullet"/>
      </w:pPr>
      <w:r>
        <w:rPr>
          <w:b/>
        </w:rPr>
        <w:t>Construction output</w:t>
      </w:r>
      <w:r>
        <w:t xml:space="preserve"> grows ~2.5–4.5%/yr in 2026–2027, then ~3%/yr </w:t>
      </w:r>
      <w:r>
        <w:rPr>
          <w:color w:val="6B6B6B"/>
          <w:sz w:val="17"/>
        </w:rPr>
        <w:t>[VERIFIED, MKT-32]</w:t>
      </w:r>
      <w:r>
        <w:t xml:space="preserve">. Demand for gravel is expected to fall after 2030 </w:t>
      </w:r>
      <w:r>
        <w:rPr>
          <w:color w:val="6B6B6B"/>
          <w:sz w:val="17"/>
        </w:rPr>
        <w:t>[VERIFIED, MKT-15]</w:t>
      </w:r>
      <w:r>
        <w:t xml:space="preserve">. We assume concrete volume is flat to −0.5%/yr after 2030 </w:t>
      </w:r>
      <w:r>
        <w:rPr>
          <w:color w:val="6B6B6B"/>
          <w:sz w:val="17"/>
        </w:rPr>
        <w:t>[ASSUMPTION, A-MKT-34]</w:t>
      </w:r>
      <w:r>
        <w:t>.</w:t>
      </w:r>
    </w:p>
    <w:p>
      <w:pPr>
        <w:pStyle w:val="ListBullet"/>
      </w:pPr>
      <w:r>
        <w:rPr>
          <w:b/>
        </w:rPr>
        <w:t>Public renewal of bridges and locks</w:t>
      </w:r>
      <w:r>
        <w:t xml:space="preserve"> rises from €2.4bn/yr (2021–30) to €2.9bn/yr (2031–40) </w:t>
      </w:r>
      <w:r>
        <w:rPr>
          <w:color w:val="6B6B6B"/>
          <w:sz w:val="17"/>
        </w:rPr>
        <w:t>[VERIFIED, MKT-40]</w:t>
      </w:r>
      <w:r>
        <w:t>.</w:t>
      </w:r>
    </w:p>
    <w:p>
      <w:pPr>
        <w:pStyle w:val="ListBullet"/>
      </w:pPr>
      <w:r>
        <w:rPr>
          <w:b/>
        </w:rPr>
        <w:t>Public and semi-public buyers</w:t>
      </w:r>
      <w:r>
        <w:t xml:space="preserve"> take about </w:t>
      </w:r>
      <w:r>
        <w:rPr>
          <w:b/>
        </w:rPr>
        <w:t>40%</w:t>
      </w:r>
      <w:r>
        <w:t xml:space="preserve"> of concrete (range 30–50%) </w:t>
      </w:r>
      <w:r>
        <w:rPr>
          <w:color w:val="6B6B6B"/>
          <w:sz w:val="17"/>
        </w:rPr>
        <w:t>[ESTIMATE, A-MKT-24]</w:t>
      </w:r>
      <w:r>
        <w:t>.</w:t>
      </w:r>
    </w:p>
    <w:p>
      <w:pPr>
        <w:pStyle w:val="ListBullet"/>
      </w:pPr>
      <w:r>
        <w:rPr>
          <w:b/>
        </w:rPr>
        <w:t>Prices.</w:t>
      </w:r>
      <w:r>
        <w:t xml:space="preserve"> Project prices for ready-mix are about </w:t>
      </w:r>
      <w:r>
        <w:rPr>
          <w:b/>
        </w:rPr>
        <w:t>€110–165/m³</w:t>
      </w:r>
      <w:r>
        <w:t xml:space="preserve"> delivered (C20/25 to C30/37) </w:t>
      </w:r>
      <w:r>
        <w:rPr>
          <w:color w:val="6B6B6B"/>
          <w:sz w:val="17"/>
        </w:rPr>
        <w:t>[VERIFIED as published indication, MKT-27, secondary]</w:t>
      </w:r>
      <w:r>
        <w:t xml:space="preserve">. A primary Belgian retail list gives C20/25 €130 and C30/37 €139.5–144.5 delivered ≤20 km </w:t>
      </w:r>
      <w:r>
        <w:rPr>
          <w:color w:val="6B6B6B"/>
          <w:sz w:val="17"/>
        </w:rPr>
        <w:t>[VERIFIED, MKT-20]</w:t>
      </w:r>
      <w:r>
        <w:t xml:space="preserve">. Our base plant average is </w:t>
      </w:r>
      <w:r>
        <w:rPr>
          <w:b/>
        </w:rPr>
        <w:t>€135/m³</w:t>
      </w:r>
      <w:r>
        <w:t xml:space="preserve"> </w:t>
      </w:r>
      <w:r>
        <w:rPr>
          <w:color w:val="6B6B6B"/>
          <w:sz w:val="17"/>
        </w:rPr>
        <w:t>[ASSUMPTION, A-MKT-16, confidence low]</w:t>
      </w:r>
      <w:r>
        <w:t>.</w:t>
      </w:r>
    </w:p>
    <w:p>
      <w:pPr>
        <w:pStyle w:val="ListBullet"/>
      </w:pPr>
      <w:r>
        <w:rPr>
          <w:b/>
        </w:rPr>
        <w:t>Willingness to pay.</w:t>
      </w:r>
      <w:r>
        <w:t xml:space="preserve"> Incumbents *ask* +€3.30 to +€11/m³ for recycled content </w:t>
      </w:r>
      <w:r>
        <w:rPr>
          <w:color w:val="6B6B6B"/>
          <w:sz w:val="17"/>
        </w:rPr>
        <w:t>[VERIFIED, MKT-25]</w:t>
      </w:r>
      <w:r>
        <w:t xml:space="preserve">. But one primary price list sells recycled-aggregate concrete about </w:t>
      </w:r>
      <w:r>
        <w:rPr>
          <w:b/>
        </w:rPr>
        <w:t>€20/m³ cheaper</w:t>
      </w:r>
      <w:r>
        <w:t xml:space="preserve"> than virgin concrete </w:t>
      </w:r>
      <w:r>
        <w:rPr>
          <w:color w:val="6B6B6B"/>
          <w:sz w:val="17"/>
        </w:rPr>
        <w:t>[VERIFIED, MKT-20]</w:t>
      </w:r>
      <w:r>
        <w:t xml:space="preserve">. PBL reports that much of the sector "still buys on lowest price" </w:t>
      </w:r>
      <w:r>
        <w:rPr>
          <w:color w:val="6B6B6B"/>
          <w:sz w:val="17"/>
        </w:rPr>
        <w:t>[VERIFIED, MKT-47]</w:t>
      </w:r>
      <w:r>
        <w:t xml:space="preserve">. Base: </w:t>
      </w:r>
      <w:r>
        <w:rPr>
          <w:b/>
        </w:rPr>
        <w:t>1.5% cash premium on public circular volume, 0% private</w:t>
      </w:r>
      <w:r>
        <w:t xml:space="preserve"> </w:t>
      </w:r>
      <w:r>
        <w:rPr>
          <w:color w:val="6B6B6B"/>
          <w:sz w:val="17"/>
        </w:rPr>
        <w:t>[ASSUMPTION, A-FIX-03]</w:t>
      </w:r>
      <w:r>
        <w:t>.</w:t>
      </w:r>
    </w:p>
    <w:p>
      <w:pPr>
        <w:pStyle w:val="Heading2"/>
      </w:pPr>
      <w:r>
        <w:t>3.4 TAM, SAM and SOM</w:t>
      </w:r>
    </w:p>
    <w:p>
      <w:r>
        <w:t>TAM = total market; SAM = the part that is open to a circular product; SOM = what one plant can realistically win.</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319"/>
        <w:gridCol w:w="5406"/>
        <w:gridCol w:w="893"/>
        <w:gridCol w:w="2017"/>
      </w:tblGrid>
      <w:tr>
        <w:trPr>
          <w:cantSplit w:val="true"/>
          <w:tblHeader w:val="true"/>
        </w:trPr>
        <w:tc>
          <w:tcPr>
            <w:tcW w:type="dxa" w:w="1319"/>
            <w:shd w:val="clear" w:color="auto" w:fill="1F3A5F"/>
          </w:tcPr>
          <w:p>
            <w:pPr>
              <w:spacing w:before="0" w:after="0" w:line="252" w:lineRule="auto"/>
            </w:pPr>
            <w:r>
              <w:rPr>
                <w:b/>
                <w:color w:val="FFFFFF"/>
                <w:sz w:val="18"/>
              </w:rPr>
              <w:t>Level</w:t>
            </w:r>
          </w:p>
        </w:tc>
        <w:tc>
          <w:tcPr>
            <w:tcW w:type="dxa" w:w="5406"/>
            <w:shd w:val="clear" w:color="auto" w:fill="1F3A5F"/>
          </w:tcPr>
          <w:p>
            <w:pPr>
              <w:spacing w:before="0" w:after="0" w:line="252" w:lineRule="auto"/>
            </w:pPr>
            <w:r>
              <w:rPr>
                <w:b/>
                <w:color w:val="FFFFFF"/>
                <w:sz w:val="18"/>
              </w:rPr>
              <w:t>Definition</w:t>
            </w:r>
          </w:p>
        </w:tc>
        <w:tc>
          <w:tcPr>
            <w:tcW w:type="dxa" w:w="894"/>
            <w:shd w:val="clear" w:color="auto" w:fill="1F3A5F"/>
          </w:tcPr>
          <w:p>
            <w:pPr>
              <w:spacing w:before="0" w:after="0" w:line="252" w:lineRule="auto"/>
            </w:pPr>
            <w:r>
              <w:rPr>
                <w:b/>
                <w:color w:val="FFFFFF"/>
                <w:sz w:val="18"/>
              </w:rPr>
              <w:t>Volume</w:t>
            </w:r>
          </w:p>
        </w:tc>
        <w:tc>
          <w:tcPr>
            <w:tcW w:type="dxa" w:w="2018"/>
            <w:shd w:val="clear" w:color="auto" w:fill="1F3A5F"/>
          </w:tcPr>
          <w:p>
            <w:pPr>
              <w:spacing w:before="0" w:after="0" w:line="252" w:lineRule="auto"/>
            </w:pPr>
            <w:r>
              <w:rPr>
                <w:b/>
                <w:color w:val="FFFFFF"/>
                <w:sz w:val="18"/>
              </w:rPr>
              <w:t>Value per year</w:t>
            </w:r>
          </w:p>
        </w:tc>
      </w:tr>
      <w:tr>
        <w:trPr>
          <w:cantSplit w:val="true"/>
        </w:trPr>
        <w:tc>
          <w:tcPr>
            <w:tcW w:type="dxa" w:w="1319"/>
          </w:tcPr>
          <w:p>
            <w:pPr>
              <w:spacing w:before="0" w:after="0" w:line="252" w:lineRule="auto"/>
            </w:pPr>
            <w:r>
              <w:rPr>
                <w:b/>
                <w:sz w:val="18"/>
              </w:rPr>
              <w:t>TAM</w:t>
            </w:r>
          </w:p>
        </w:tc>
        <w:tc>
          <w:tcPr>
            <w:tcW w:type="dxa" w:w="5406"/>
          </w:tcPr>
          <w:p>
            <w:pPr>
              <w:spacing w:before="0" w:after="0" w:line="252" w:lineRule="auto"/>
            </w:pPr>
            <w:r>
              <w:rPr>
                <w:sz w:val="18"/>
              </w:rPr>
              <w:t>All Dutch ready-mix + prefab concrete</w:t>
            </w:r>
          </w:p>
        </w:tc>
        <w:tc>
          <w:tcPr>
            <w:tcW w:type="dxa" w:w="894"/>
          </w:tcPr>
          <w:p>
            <w:pPr>
              <w:spacing w:before="0" w:after="0" w:line="252" w:lineRule="auto"/>
              <w:jc w:val="center"/>
            </w:pPr>
            <w:r>
              <w:rPr>
                <w:sz w:val="18"/>
              </w:rPr>
              <w:t>~11.3 Mm³</w:t>
            </w:r>
          </w:p>
        </w:tc>
        <w:tc>
          <w:tcPr>
            <w:tcW w:type="dxa" w:w="2018"/>
          </w:tcPr>
          <w:p>
            <w:pPr>
              <w:spacing w:before="0" w:after="0" w:line="252" w:lineRule="auto"/>
            </w:pPr>
            <w:r>
              <w:rPr>
                <w:b/>
                <w:sz w:val="18"/>
              </w:rPr>
              <w:t>≈ €2.5bn</w:t>
            </w:r>
            <w:r>
              <w:rPr>
                <w:sz w:val="18"/>
              </w:rPr>
              <w:t xml:space="preserve"> (range €1.9–3.5bn)</w:t>
            </w:r>
          </w:p>
        </w:tc>
      </w:tr>
      <w:tr>
        <w:trPr>
          <w:cantSplit w:val="true"/>
        </w:trPr>
        <w:tc>
          <w:tcPr>
            <w:tcW w:type="dxa" w:w="1319"/>
            <w:shd w:val="clear" w:color="auto" w:fill="F2F5F9"/>
          </w:tcPr>
          <w:p>
            <w:pPr>
              <w:spacing w:before="0" w:after="0" w:line="252" w:lineRule="auto"/>
            </w:pPr>
            <w:r>
              <w:rPr>
                <w:b/>
                <w:sz w:val="18"/>
              </w:rPr>
              <w:t>SAM, ready-mix</w:t>
            </w:r>
          </w:p>
        </w:tc>
        <w:tc>
          <w:tcPr>
            <w:tcW w:type="dxa" w:w="5406"/>
            <w:shd w:val="clear" w:color="auto" w:fill="F2F5F9"/>
          </w:tcPr>
          <w:p>
            <w:pPr>
              <w:spacing w:before="0" w:after="0" w:line="252" w:lineRule="auto"/>
            </w:pPr>
            <w:r>
              <w:rPr>
                <w:sz w:val="18"/>
              </w:rPr>
              <w:t>Public/semi-public + sustainability-driven private buyers, technically suitable (85%)</w:t>
            </w:r>
          </w:p>
        </w:tc>
        <w:tc>
          <w:tcPr>
            <w:tcW w:type="dxa" w:w="894"/>
            <w:shd w:val="clear" w:color="auto" w:fill="F2F5F9"/>
          </w:tcPr>
          <w:p>
            <w:pPr>
              <w:spacing w:before="0" w:after="0" w:line="252" w:lineRule="auto"/>
              <w:jc w:val="center"/>
            </w:pPr>
            <w:r>
              <w:rPr>
                <w:sz w:val="18"/>
              </w:rPr>
              <w:t>~2.6 Mm³</w:t>
            </w:r>
          </w:p>
        </w:tc>
        <w:tc>
          <w:tcPr>
            <w:tcW w:type="dxa" w:w="2018"/>
            <w:shd w:val="clear" w:color="auto" w:fill="F2F5F9"/>
          </w:tcPr>
          <w:p>
            <w:pPr>
              <w:spacing w:before="0" w:after="0" w:line="252" w:lineRule="auto"/>
              <w:jc w:val="center"/>
            </w:pPr>
            <w:r>
              <w:rPr>
                <w:b/>
                <w:sz w:val="18"/>
              </w:rPr>
              <w:t>≈ €0.35bn</w:t>
            </w:r>
          </w:p>
        </w:tc>
      </w:tr>
      <w:tr>
        <w:trPr>
          <w:cantSplit w:val="true"/>
        </w:trPr>
        <w:tc>
          <w:tcPr>
            <w:tcW w:type="dxa" w:w="1319"/>
          </w:tcPr>
          <w:p>
            <w:pPr>
              <w:spacing w:before="0" w:after="0" w:line="252" w:lineRule="auto"/>
            </w:pPr>
            <w:r>
              <w:rPr>
                <w:b/>
                <w:sz w:val="18"/>
              </w:rPr>
              <w:t>SAM, prefab</w:t>
            </w:r>
          </w:p>
        </w:tc>
        <w:tc>
          <w:tcPr>
            <w:tcW w:type="dxa" w:w="5406"/>
          </w:tcPr>
          <w:p>
            <w:pPr>
              <w:spacing w:before="0" w:after="0" w:line="252" w:lineRule="auto"/>
            </w:pPr>
            <w:r>
              <w:rPr>
                <w:sz w:val="18"/>
              </w:rPr>
              <w:t>Structural elements, public paving, sewer</w:t>
            </w:r>
          </w:p>
        </w:tc>
        <w:tc>
          <w:tcPr>
            <w:tcW w:type="dxa" w:w="894"/>
          </w:tcPr>
          <w:p>
            <w:pPr>
              <w:spacing w:before="0" w:after="0" w:line="252" w:lineRule="auto"/>
            </w:pPr>
            <w:r>
              <w:rPr>
                <w:sz w:val="18"/>
              </w:rPr>
              <w:t>–</w:t>
            </w:r>
          </w:p>
        </w:tc>
        <w:tc>
          <w:tcPr>
            <w:tcW w:type="dxa" w:w="2018"/>
          </w:tcPr>
          <w:p>
            <w:pPr>
              <w:spacing w:before="0" w:after="0" w:line="252" w:lineRule="auto"/>
              <w:jc w:val="center"/>
            </w:pPr>
            <w:r>
              <w:rPr>
                <w:sz w:val="18"/>
              </w:rPr>
              <w:t>≈ €0.8bn</w:t>
            </w:r>
          </w:p>
        </w:tc>
      </w:tr>
      <w:tr>
        <w:trPr>
          <w:cantSplit w:val="true"/>
        </w:trPr>
        <w:tc>
          <w:tcPr>
            <w:tcW w:type="dxa" w:w="1319"/>
            <w:shd w:val="clear" w:color="auto" w:fill="F2F5F9"/>
          </w:tcPr>
          <w:p>
            <w:pPr>
              <w:spacing w:before="0" w:after="0" w:line="252" w:lineRule="auto"/>
            </w:pPr>
            <w:r>
              <w:rPr>
                <w:b/>
                <w:sz w:val="18"/>
              </w:rPr>
              <w:t>Regional SAM</w:t>
            </w:r>
          </w:p>
        </w:tc>
        <w:tc>
          <w:tcPr>
            <w:tcW w:type="dxa" w:w="5406"/>
            <w:shd w:val="clear" w:color="auto" w:fill="F2F5F9"/>
          </w:tcPr>
          <w:p>
            <w:pPr>
              <w:spacing w:before="0" w:after="0" w:line="252" w:lineRule="auto"/>
            </w:pPr>
            <w:r>
              <w:rPr>
                <w:sz w:val="18"/>
              </w:rPr>
              <w:t>Zuid-Holland ready-mix SAM inside one plant's delivery radius</w:t>
            </w:r>
          </w:p>
        </w:tc>
        <w:tc>
          <w:tcPr>
            <w:tcW w:type="dxa" w:w="894"/>
            <w:shd w:val="clear" w:color="auto" w:fill="F2F5F9"/>
          </w:tcPr>
          <w:p>
            <w:pPr>
              <w:spacing w:before="0" w:after="0" w:line="252" w:lineRule="auto"/>
              <w:jc w:val="center"/>
            </w:pPr>
            <w:r>
              <w:rPr>
                <w:sz w:val="18"/>
              </w:rPr>
              <w:t>~0.36 Mm³</w:t>
            </w:r>
          </w:p>
        </w:tc>
        <w:tc>
          <w:tcPr>
            <w:tcW w:type="dxa" w:w="2018"/>
            <w:shd w:val="clear" w:color="auto" w:fill="F2F5F9"/>
          </w:tcPr>
          <w:p>
            <w:pPr>
              <w:spacing w:before="0" w:after="0" w:line="252" w:lineRule="auto"/>
              <w:jc w:val="center"/>
            </w:pPr>
            <w:r>
              <w:rPr>
                <w:sz w:val="18"/>
              </w:rPr>
              <w:t>≈ €49M</w:t>
            </w:r>
          </w:p>
        </w:tc>
      </w:tr>
      <w:tr>
        <w:trPr>
          <w:cantSplit w:val="true"/>
        </w:trPr>
        <w:tc>
          <w:tcPr>
            <w:tcW w:type="dxa" w:w="1319"/>
          </w:tcPr>
          <w:p>
            <w:pPr>
              <w:spacing w:before="0" w:after="0" w:line="252" w:lineRule="auto"/>
            </w:pPr>
            <w:r>
              <w:rPr>
                <w:b/>
                <w:sz w:val="18"/>
              </w:rPr>
              <w:t>SOM (one plant)</w:t>
            </w:r>
          </w:p>
        </w:tc>
        <w:tc>
          <w:tcPr>
            <w:tcW w:type="dxa" w:w="5406"/>
          </w:tcPr>
          <w:p>
            <w:pPr>
              <w:spacing w:before="0" w:after="0" w:line="252" w:lineRule="auto"/>
            </w:pPr>
            <w:r>
              <w:rPr>
                <w:sz w:val="18"/>
              </w:rPr>
              <w:t>Mature output, base (low / high: 30k / 100k m³)</w:t>
            </w:r>
          </w:p>
        </w:tc>
        <w:tc>
          <w:tcPr>
            <w:tcW w:type="dxa" w:w="894"/>
          </w:tcPr>
          <w:p>
            <w:pPr>
              <w:spacing w:before="0" w:after="0" w:line="252" w:lineRule="auto"/>
              <w:jc w:val="center"/>
            </w:pPr>
            <w:r>
              <w:rPr>
                <w:b/>
                <w:sz w:val="18"/>
              </w:rPr>
              <w:t>60k m³/yr</w:t>
            </w:r>
          </w:p>
        </w:tc>
        <w:tc>
          <w:tcPr>
            <w:tcW w:type="dxa" w:w="2018"/>
          </w:tcPr>
          <w:p>
            <w:pPr>
              <w:spacing w:before="0" w:after="0" w:line="252" w:lineRule="auto"/>
              <w:jc w:val="center"/>
            </w:pPr>
            <w:r>
              <w:rPr>
                <w:b/>
                <w:sz w:val="18"/>
              </w:rPr>
              <w:t>≈ €8.2M</w:t>
            </w:r>
          </w:p>
        </w:tc>
      </w:tr>
    </w:tbl>
    <w:p>
      <w:pPr>
        <w:spacing w:before="0" w:after="40" w:line="240" w:lineRule="auto"/>
      </w:pPr>
    </w:p>
    <w:p>
      <w:r>
        <w:rPr>
          <w:color w:val="6B6B6B"/>
          <w:sz w:val="17"/>
        </w:rPr>
        <w:t>[ESTIMATE, market.md §8; A-MKT-30–32]</w:t>
      </w:r>
      <w:r>
        <w:t xml:space="preserve">. The financial model uses </w:t>
      </w:r>
      <w:r>
        <w:rPr>
          <w:b/>
        </w:rPr>
        <w:t>70k m³/yr</w:t>
      </w:r>
      <w:r>
        <w:t xml:space="preserve">, slightly above the SOM base. 70k is about </w:t>
      </w:r>
      <w:r>
        <w:rPr>
          <w:b/>
        </w:rPr>
        <w:t>2× an average Dutch plant</w:t>
      </w:r>
      <w:r>
        <w:t xml:space="preserve">. At 60k m³/yr the base NPV would be −€6.4M </w:t>
      </w:r>
      <w:r>
        <w:rPr>
          <w:color w:val="6B6B6B"/>
          <w:sz w:val="17"/>
        </w:rPr>
        <w:t>[ESTIMATE]</w:t>
      </w:r>
      <w:r>
        <w:t>.</w:t>
      </w:r>
    </w:p>
    <w:p>
      <w:pPr>
        <w:pStyle w:val="Heading2"/>
      </w:pPr>
      <w:r>
        <w:t>3.5 Region for the first plant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4733"/>
        <w:gridCol w:w="1715"/>
        <w:gridCol w:w="1352"/>
        <w:gridCol w:w="1835"/>
      </w:tblGrid>
      <w:tr>
        <w:trPr>
          <w:cantSplit w:val="true"/>
          <w:tblHeader w:val="true"/>
        </w:trPr>
        <w:tc>
          <w:tcPr>
            <w:tcW w:type="dxa" w:w="4734"/>
            <w:shd w:val="clear" w:color="auto" w:fill="1F3A5F"/>
          </w:tcPr>
          <w:p>
            <w:pPr>
              <w:spacing w:before="0" w:after="0" w:line="252" w:lineRule="auto"/>
            </w:pPr>
            <w:r>
              <w:rPr>
                <w:b/>
                <w:color w:val="FFFFFF"/>
                <w:sz w:val="18"/>
              </w:rPr>
              <w:t>Criterion (weight)</w:t>
            </w:r>
          </w:p>
        </w:tc>
        <w:tc>
          <w:tcPr>
            <w:tcW w:type="dxa" w:w="1715"/>
            <w:shd w:val="clear" w:color="auto" w:fill="1F3A5F"/>
          </w:tcPr>
          <w:p>
            <w:pPr>
              <w:spacing w:before="0" w:after="0" w:line="252" w:lineRule="auto"/>
            </w:pPr>
            <w:r>
              <w:rPr>
                <w:b/>
                <w:color w:val="FFFFFF"/>
                <w:sz w:val="18"/>
              </w:rPr>
              <w:t>Zuid-Holland</w:t>
            </w:r>
          </w:p>
        </w:tc>
        <w:tc>
          <w:tcPr>
            <w:tcW w:type="dxa" w:w="1353"/>
            <w:shd w:val="clear" w:color="auto" w:fill="1F3A5F"/>
          </w:tcPr>
          <w:p>
            <w:pPr>
              <w:spacing w:before="0" w:after="0" w:line="252" w:lineRule="auto"/>
            </w:pPr>
            <w:r>
              <w:rPr>
                <w:b/>
                <w:color w:val="FFFFFF"/>
                <w:sz w:val="18"/>
              </w:rPr>
              <w:t>Amsterdam region (MRA)</w:t>
            </w:r>
          </w:p>
        </w:tc>
        <w:tc>
          <w:tcPr>
            <w:tcW w:type="dxa" w:w="1836"/>
            <w:shd w:val="clear" w:color="auto" w:fill="1F3A5F"/>
          </w:tcPr>
          <w:p>
            <w:pPr>
              <w:spacing w:before="0" w:after="0" w:line="252" w:lineRule="auto"/>
            </w:pPr>
            <w:r>
              <w:rPr>
                <w:b/>
                <w:color w:val="FFFFFF"/>
                <w:sz w:val="18"/>
              </w:rPr>
              <w:t>Noord-Brabant</w:t>
            </w:r>
          </w:p>
        </w:tc>
      </w:tr>
      <w:tr>
        <w:trPr>
          <w:cantSplit w:val="true"/>
        </w:trPr>
        <w:tc>
          <w:tcPr>
            <w:tcW w:type="dxa" w:w="4734"/>
          </w:tcPr>
          <w:p>
            <w:pPr>
              <w:spacing w:before="0" w:after="0" w:line="252" w:lineRule="auto"/>
            </w:pPr>
            <w:r>
              <w:rPr>
                <w:sz w:val="18"/>
              </w:rPr>
              <w:t>Demand density (30%)</w:t>
            </w:r>
          </w:p>
        </w:tc>
        <w:tc>
          <w:tcPr>
            <w:tcW w:type="dxa" w:w="1715"/>
          </w:tcPr>
          <w:p>
            <w:pPr>
              <w:spacing w:before="0" w:after="0" w:line="252" w:lineRule="auto"/>
              <w:jc w:val="center"/>
            </w:pPr>
            <w:r>
              <w:rPr>
                <w:sz w:val="18"/>
              </w:rPr>
              <w:t>5</w:t>
            </w:r>
          </w:p>
        </w:tc>
        <w:tc>
          <w:tcPr>
            <w:tcW w:type="dxa" w:w="1353"/>
          </w:tcPr>
          <w:p>
            <w:pPr>
              <w:spacing w:before="0" w:after="0" w:line="252" w:lineRule="auto"/>
              <w:jc w:val="center"/>
            </w:pPr>
            <w:r>
              <w:rPr>
                <w:sz w:val="18"/>
              </w:rPr>
              <w:t>5</w:t>
            </w:r>
          </w:p>
        </w:tc>
        <w:tc>
          <w:tcPr>
            <w:tcW w:type="dxa" w:w="1836"/>
          </w:tcPr>
          <w:p>
            <w:pPr>
              <w:spacing w:before="0" w:after="0" w:line="252" w:lineRule="auto"/>
              <w:jc w:val="center"/>
            </w:pPr>
            <w:r>
              <w:rPr>
                <w:sz w:val="18"/>
              </w:rPr>
              <w:t>4</w:t>
            </w:r>
          </w:p>
        </w:tc>
      </w:tr>
      <w:tr>
        <w:trPr>
          <w:cantSplit w:val="true"/>
        </w:trPr>
        <w:tc>
          <w:tcPr>
            <w:tcW w:type="dxa" w:w="4734"/>
            <w:shd w:val="clear" w:color="auto" w:fill="F2F5F9"/>
          </w:tcPr>
          <w:p>
            <w:pPr>
              <w:spacing w:before="0" w:after="0" w:line="252" w:lineRule="auto"/>
            </w:pPr>
            <w:r>
              <w:rPr>
                <w:sz w:val="18"/>
              </w:rPr>
              <w:t>Rubble access (20%)</w:t>
            </w:r>
          </w:p>
        </w:tc>
        <w:tc>
          <w:tcPr>
            <w:tcW w:type="dxa" w:w="1715"/>
            <w:shd w:val="clear" w:color="auto" w:fill="F2F5F9"/>
          </w:tcPr>
          <w:p>
            <w:pPr>
              <w:spacing w:before="0" w:after="0" w:line="252" w:lineRule="auto"/>
              <w:jc w:val="center"/>
            </w:pPr>
            <w:r>
              <w:rPr>
                <w:sz w:val="18"/>
              </w:rPr>
              <w:t>5</w:t>
            </w:r>
          </w:p>
        </w:tc>
        <w:tc>
          <w:tcPr>
            <w:tcW w:type="dxa" w:w="1353"/>
            <w:shd w:val="clear" w:color="auto" w:fill="F2F5F9"/>
          </w:tcPr>
          <w:p>
            <w:pPr>
              <w:spacing w:before="0" w:after="0" w:line="252" w:lineRule="auto"/>
              <w:jc w:val="center"/>
            </w:pPr>
            <w:r>
              <w:rPr>
                <w:sz w:val="18"/>
              </w:rPr>
              <w:t>4</w:t>
            </w:r>
          </w:p>
        </w:tc>
        <w:tc>
          <w:tcPr>
            <w:tcW w:type="dxa" w:w="1836"/>
            <w:shd w:val="clear" w:color="auto" w:fill="F2F5F9"/>
          </w:tcPr>
          <w:p>
            <w:pPr>
              <w:spacing w:before="0" w:after="0" w:line="252" w:lineRule="auto"/>
              <w:jc w:val="center"/>
            </w:pPr>
            <w:r>
              <w:rPr>
                <w:sz w:val="18"/>
              </w:rPr>
              <w:t>3</w:t>
            </w:r>
          </w:p>
        </w:tc>
      </w:tr>
      <w:tr>
        <w:trPr>
          <w:cantSplit w:val="true"/>
        </w:trPr>
        <w:tc>
          <w:tcPr>
            <w:tcW w:type="dxa" w:w="4734"/>
          </w:tcPr>
          <w:p>
            <w:pPr>
              <w:spacing w:before="0" w:after="0" w:line="252" w:lineRule="auto"/>
            </w:pPr>
            <w:r>
              <w:rPr>
                <w:sz w:val="18"/>
              </w:rPr>
              <w:t>Circular pull / public MKI work (20%)</w:t>
            </w:r>
          </w:p>
        </w:tc>
        <w:tc>
          <w:tcPr>
            <w:tcW w:type="dxa" w:w="1715"/>
          </w:tcPr>
          <w:p>
            <w:pPr>
              <w:spacing w:before="0" w:after="0" w:line="252" w:lineRule="auto"/>
              <w:jc w:val="center"/>
            </w:pPr>
            <w:r>
              <w:rPr>
                <w:sz w:val="18"/>
              </w:rPr>
              <w:t>4</w:t>
            </w:r>
          </w:p>
        </w:tc>
        <w:tc>
          <w:tcPr>
            <w:tcW w:type="dxa" w:w="1353"/>
          </w:tcPr>
          <w:p>
            <w:pPr>
              <w:spacing w:before="0" w:after="0" w:line="252" w:lineRule="auto"/>
              <w:jc w:val="center"/>
            </w:pPr>
            <w:r>
              <w:rPr>
                <w:sz w:val="18"/>
              </w:rPr>
              <w:t>5</w:t>
            </w:r>
          </w:p>
        </w:tc>
        <w:tc>
          <w:tcPr>
            <w:tcW w:type="dxa" w:w="1836"/>
          </w:tcPr>
          <w:p>
            <w:pPr>
              <w:spacing w:before="0" w:after="0" w:line="252" w:lineRule="auto"/>
              <w:jc w:val="center"/>
            </w:pPr>
            <w:r>
              <w:rPr>
                <w:sz w:val="18"/>
              </w:rPr>
              <w:t>3</w:t>
            </w:r>
          </w:p>
        </w:tc>
      </w:tr>
      <w:tr>
        <w:trPr>
          <w:cantSplit w:val="true"/>
        </w:trPr>
        <w:tc>
          <w:tcPr>
            <w:tcW w:type="dxa" w:w="4734"/>
            <w:shd w:val="clear" w:color="auto" w:fill="F2F5F9"/>
          </w:tcPr>
          <w:p>
            <w:pPr>
              <w:spacing w:before="0" w:after="0" w:line="252" w:lineRule="auto"/>
            </w:pPr>
            <w:r>
              <w:rPr>
                <w:sz w:val="18"/>
              </w:rPr>
              <w:t>Water transport (15%)</w:t>
            </w:r>
          </w:p>
        </w:tc>
        <w:tc>
          <w:tcPr>
            <w:tcW w:type="dxa" w:w="1715"/>
            <w:shd w:val="clear" w:color="auto" w:fill="F2F5F9"/>
          </w:tcPr>
          <w:p>
            <w:pPr>
              <w:spacing w:before="0" w:after="0" w:line="252" w:lineRule="auto"/>
              <w:jc w:val="center"/>
            </w:pPr>
            <w:r>
              <w:rPr>
                <w:sz w:val="18"/>
              </w:rPr>
              <w:t>5</w:t>
            </w:r>
          </w:p>
        </w:tc>
        <w:tc>
          <w:tcPr>
            <w:tcW w:type="dxa" w:w="1353"/>
            <w:shd w:val="clear" w:color="auto" w:fill="F2F5F9"/>
          </w:tcPr>
          <w:p>
            <w:pPr>
              <w:spacing w:before="0" w:after="0" w:line="252" w:lineRule="auto"/>
              <w:jc w:val="center"/>
            </w:pPr>
            <w:r>
              <w:rPr>
                <w:sz w:val="18"/>
              </w:rPr>
              <w:t>4</w:t>
            </w:r>
          </w:p>
        </w:tc>
        <w:tc>
          <w:tcPr>
            <w:tcW w:type="dxa" w:w="1836"/>
            <w:shd w:val="clear" w:color="auto" w:fill="F2F5F9"/>
          </w:tcPr>
          <w:p>
            <w:pPr>
              <w:spacing w:before="0" w:after="0" w:line="252" w:lineRule="auto"/>
              <w:jc w:val="center"/>
            </w:pPr>
            <w:r>
              <w:rPr>
                <w:sz w:val="18"/>
              </w:rPr>
              <w:t>4</w:t>
            </w:r>
          </w:p>
        </w:tc>
      </w:tr>
      <w:tr>
        <w:trPr>
          <w:cantSplit w:val="true"/>
        </w:trPr>
        <w:tc>
          <w:tcPr>
            <w:tcW w:type="dxa" w:w="4734"/>
          </w:tcPr>
          <w:p>
            <w:pPr>
              <w:spacing w:before="0" w:after="0" w:line="252" w:lineRule="auto"/>
            </w:pPr>
            <w:r>
              <w:rPr>
                <w:sz w:val="18"/>
              </w:rPr>
              <w:t>Competition (15%; 5 = little)</w:t>
            </w:r>
          </w:p>
        </w:tc>
        <w:tc>
          <w:tcPr>
            <w:tcW w:type="dxa" w:w="1715"/>
          </w:tcPr>
          <w:p>
            <w:pPr>
              <w:spacing w:before="0" w:after="0" w:line="252" w:lineRule="auto"/>
              <w:jc w:val="center"/>
            </w:pPr>
            <w:r>
              <w:rPr>
                <w:sz w:val="18"/>
              </w:rPr>
              <w:t>2</w:t>
            </w:r>
          </w:p>
        </w:tc>
        <w:tc>
          <w:tcPr>
            <w:tcW w:type="dxa" w:w="1353"/>
          </w:tcPr>
          <w:p>
            <w:pPr>
              <w:spacing w:before="0" w:after="0" w:line="252" w:lineRule="auto"/>
              <w:jc w:val="center"/>
            </w:pPr>
            <w:r>
              <w:rPr>
                <w:sz w:val="18"/>
              </w:rPr>
              <w:t>2</w:t>
            </w:r>
          </w:p>
        </w:tc>
        <w:tc>
          <w:tcPr>
            <w:tcW w:type="dxa" w:w="1836"/>
          </w:tcPr>
          <w:p>
            <w:pPr>
              <w:spacing w:before="0" w:after="0" w:line="252" w:lineRule="auto"/>
              <w:jc w:val="center"/>
            </w:pPr>
            <w:r>
              <w:rPr>
                <w:sz w:val="18"/>
              </w:rPr>
              <w:t>3</w:t>
            </w:r>
          </w:p>
        </w:tc>
      </w:tr>
      <w:tr>
        <w:trPr>
          <w:cantSplit w:val="true"/>
        </w:trPr>
        <w:tc>
          <w:tcPr>
            <w:tcW w:type="dxa" w:w="4734"/>
            <w:shd w:val="clear" w:color="auto" w:fill="F2F5F9"/>
          </w:tcPr>
          <w:p>
            <w:pPr>
              <w:spacing w:before="0" w:after="0" w:line="252" w:lineRule="auto"/>
            </w:pPr>
            <w:r>
              <w:rPr>
                <w:b/>
                <w:sz w:val="18"/>
              </w:rPr>
              <w:t>Weighted score</w:t>
            </w:r>
          </w:p>
        </w:tc>
        <w:tc>
          <w:tcPr>
            <w:tcW w:type="dxa" w:w="1715"/>
            <w:shd w:val="clear" w:color="auto" w:fill="F2F5F9"/>
          </w:tcPr>
          <w:p>
            <w:pPr>
              <w:spacing w:before="0" w:after="0" w:line="252" w:lineRule="auto"/>
              <w:jc w:val="center"/>
            </w:pPr>
            <w:r>
              <w:rPr>
                <w:b/>
                <w:sz w:val="18"/>
              </w:rPr>
              <w:t>4.35</w:t>
            </w:r>
          </w:p>
        </w:tc>
        <w:tc>
          <w:tcPr>
            <w:tcW w:type="dxa" w:w="1353"/>
            <w:shd w:val="clear" w:color="auto" w:fill="F2F5F9"/>
          </w:tcPr>
          <w:p>
            <w:pPr>
              <w:spacing w:before="0" w:after="0" w:line="252" w:lineRule="auto"/>
              <w:jc w:val="center"/>
            </w:pPr>
            <w:r>
              <w:rPr>
                <w:b/>
                <w:sz w:val="18"/>
              </w:rPr>
              <w:t>4.20</w:t>
            </w:r>
          </w:p>
        </w:tc>
        <w:tc>
          <w:tcPr>
            <w:tcW w:type="dxa" w:w="1836"/>
            <w:shd w:val="clear" w:color="auto" w:fill="F2F5F9"/>
          </w:tcPr>
          <w:p>
            <w:pPr>
              <w:spacing w:before="0" w:after="0" w:line="252" w:lineRule="auto"/>
              <w:jc w:val="center"/>
            </w:pPr>
            <w:r>
              <w:rPr>
                <w:b/>
                <w:sz w:val="18"/>
              </w:rPr>
              <w:t>3.45</w:t>
            </w:r>
          </w:p>
        </w:tc>
      </w:tr>
    </w:tbl>
    <w:p>
      <w:pPr>
        <w:spacing w:before="0" w:after="40" w:line="240" w:lineRule="auto"/>
      </w:pPr>
    </w:p>
    <w:p>
      <w:r>
        <w:rPr>
          <w:color w:val="6B6B6B"/>
          <w:sz w:val="17"/>
        </w:rPr>
        <w:t>[ESTIMATE; weights are an ASSUMPTION; market.md §9]</w:t>
      </w:r>
      <w:r>
        <w:t xml:space="preserve">. </w:t>
      </w:r>
      <w:r>
        <w:rPr>
          <w:b/>
        </w:rPr>
        <w:t>Zuid-Holland (Rotterdam–Drechtsteden)</w:t>
      </w:r>
      <w:r>
        <w:t xml:space="preserve"> ranks first: the largest housing pipeline (25% of all planned "woondeal" homes, 84% apartments), the biggest cluster of bridge renewals, ~2.7 Mt/yr of rubble and the best waterways for imported gravel </w:t>
      </w:r>
      <w:r>
        <w:rPr>
          <w:color w:val="6B6B6B"/>
          <w:sz w:val="17"/>
        </w:rPr>
        <w:t>[VERIFIED, MKT-39; ESTIMATE rubble]</w:t>
      </w:r>
      <w:r>
        <w:t xml:space="preserve">. Utrecht and Gelderland were excluded because of severe grid congestion </w:t>
      </w:r>
      <w:r>
        <w:rPr>
          <w:color w:val="6B6B6B"/>
          <w:sz w:val="17"/>
        </w:rPr>
        <w:t>[VERIFIED, MKT-38]</w:t>
      </w:r>
      <w:r>
        <w:t>.</w:t>
      </w:r>
    </w:p>
    <w:p>
      <w:r>
        <w:br w:type="page"/>
      </w:r>
    </w:p>
    <w:p>
      <w:pPr>
        <w:pStyle w:val="Heading1"/>
      </w:pPr>
      <w:r>
        <w:t>4. Product, technology and operations</w:t>
      </w:r>
    </w:p>
    <w:p>
      <w:pPr>
        <w:pStyle w:val="Heading2"/>
      </w:pPr>
      <w:r>
        <w:t>4.1 Process flow (B1 ready-mix plant, RCA bought)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654"/>
        <w:gridCol w:w="4247"/>
        <w:gridCol w:w="3735"/>
      </w:tblGrid>
      <w:tr>
        <w:trPr>
          <w:cantSplit w:val="true"/>
          <w:tblHeader w:val="true"/>
        </w:trPr>
        <w:tc>
          <w:tcPr>
            <w:tcW w:type="dxa" w:w="1655"/>
            <w:shd w:val="clear" w:color="auto" w:fill="1F3A5F"/>
          </w:tcPr>
          <w:p>
            <w:pPr>
              <w:spacing w:before="0" w:after="0" w:line="252" w:lineRule="auto"/>
            </w:pPr>
            <w:r>
              <w:rPr>
                <w:b/>
                <w:color w:val="FFFFFF"/>
                <w:sz w:val="18"/>
              </w:rPr>
              <w:t>Step</w:t>
            </w:r>
          </w:p>
        </w:tc>
        <w:tc>
          <w:tcPr>
            <w:tcW w:type="dxa" w:w="4248"/>
            <w:shd w:val="clear" w:color="auto" w:fill="1F3A5F"/>
          </w:tcPr>
          <w:p>
            <w:pPr>
              <w:spacing w:before="0" w:after="0" w:line="252" w:lineRule="auto"/>
            </w:pPr>
            <w:r>
              <w:rPr>
                <w:b/>
                <w:color w:val="FFFFFF"/>
                <w:sz w:val="18"/>
              </w:rPr>
              <w:t>What happens</w:t>
            </w:r>
          </w:p>
        </w:tc>
        <w:tc>
          <w:tcPr>
            <w:tcW w:type="dxa" w:w="3735"/>
            <w:shd w:val="clear" w:color="auto" w:fill="1F3A5F"/>
          </w:tcPr>
          <w:p>
            <w:pPr>
              <w:spacing w:before="0" w:after="0" w:line="252" w:lineRule="auto"/>
            </w:pPr>
            <w:r>
              <w:rPr>
                <w:b/>
                <w:color w:val="FFFFFF"/>
                <w:sz w:val="18"/>
              </w:rPr>
              <w:t>Key control</w:t>
            </w:r>
          </w:p>
        </w:tc>
      </w:tr>
      <w:tr>
        <w:trPr>
          <w:cantSplit w:val="true"/>
        </w:trPr>
        <w:tc>
          <w:tcPr>
            <w:tcW w:type="dxa" w:w="1655"/>
          </w:tcPr>
          <w:p>
            <w:pPr>
              <w:spacing w:before="0" w:after="0" w:line="252" w:lineRule="auto"/>
            </w:pPr>
            <w:r>
              <w:rPr>
                <w:sz w:val="18"/>
              </w:rPr>
              <w:t>1. Sourcing</w:t>
            </w:r>
          </w:p>
        </w:tc>
        <w:tc>
          <w:tcPr>
            <w:tcW w:type="dxa" w:w="4248"/>
          </w:tcPr>
          <w:p>
            <w:pPr>
              <w:spacing w:before="0" w:after="0" w:line="252" w:lineRule="auto"/>
            </w:pPr>
            <w:r>
              <w:rPr>
                <w:sz w:val="18"/>
              </w:rPr>
              <w:t>Framework contracts with 2–4 certified crushers within 30–50 km (truck or barge)</w:t>
            </w:r>
          </w:p>
        </w:tc>
        <w:tc>
          <w:tcPr>
            <w:tcW w:type="dxa" w:w="3735"/>
          </w:tcPr>
          <w:p>
            <w:pPr>
              <w:spacing w:before="0" w:after="0" w:line="252" w:lineRule="auto"/>
            </w:pPr>
            <w:r>
              <w:rPr>
                <w:sz w:val="18"/>
              </w:rPr>
              <w:t>Supplier must hold BRL 2506-1 (KOMO) for RCA</w:t>
            </w:r>
          </w:p>
        </w:tc>
      </w:tr>
      <w:tr>
        <w:trPr>
          <w:cantSplit w:val="true"/>
        </w:trPr>
        <w:tc>
          <w:tcPr>
            <w:tcW w:type="dxa" w:w="1655"/>
            <w:shd w:val="clear" w:color="auto" w:fill="F2F5F9"/>
          </w:tcPr>
          <w:p>
            <w:pPr>
              <w:spacing w:before="0" w:after="0" w:line="252" w:lineRule="auto"/>
            </w:pPr>
            <w:r>
              <w:rPr>
                <w:sz w:val="18"/>
              </w:rPr>
              <w:t>2. Intake</w:t>
            </w:r>
          </w:p>
        </w:tc>
        <w:tc>
          <w:tcPr>
            <w:tcW w:type="dxa" w:w="4248"/>
            <w:shd w:val="clear" w:color="auto" w:fill="F2F5F9"/>
          </w:tcPr>
          <w:p>
            <w:pPr>
              <w:spacing w:before="0" w:after="0" w:line="252" w:lineRule="auto"/>
            </w:pPr>
            <w:r>
              <w:rPr>
                <w:sz w:val="18"/>
              </w:rPr>
              <w:t>Weigh, inspect, lot certificate; own samples per lot</w:t>
            </w:r>
          </w:p>
        </w:tc>
        <w:tc>
          <w:tcPr>
            <w:tcW w:type="dxa" w:w="3735"/>
            <w:shd w:val="clear" w:color="auto" w:fill="F2F5F9"/>
          </w:tcPr>
          <w:p>
            <w:pPr>
              <w:spacing w:before="0" w:after="0" w:line="252" w:lineRule="auto"/>
            </w:pPr>
            <w:r>
              <w:rPr>
                <w:sz w:val="18"/>
              </w:rPr>
              <w:t>Density and water absorption (EN 1097-6), constituents (EN 933-11), sulphate/chloride (EN 1744-1)</w:t>
            </w:r>
          </w:p>
        </w:tc>
      </w:tr>
      <w:tr>
        <w:trPr>
          <w:cantSplit w:val="true"/>
        </w:trPr>
        <w:tc>
          <w:tcPr>
            <w:tcW w:type="dxa" w:w="1655"/>
          </w:tcPr>
          <w:p>
            <w:pPr>
              <w:spacing w:before="0" w:after="0" w:line="252" w:lineRule="auto"/>
            </w:pPr>
            <w:r>
              <w:rPr>
                <w:sz w:val="18"/>
              </w:rPr>
              <w:t>3. Storage</w:t>
            </w:r>
          </w:p>
        </w:tc>
        <w:tc>
          <w:tcPr>
            <w:tcW w:type="dxa" w:w="4248"/>
          </w:tcPr>
          <w:p>
            <w:pPr>
              <w:spacing w:before="0" w:after="0" w:line="252" w:lineRule="auto"/>
            </w:pPr>
            <w:r>
              <w:rPr>
                <w:sz w:val="18"/>
              </w:rPr>
              <w:t>Separate covered bins per fraction and source; sprinklers keep RCA wet</w:t>
            </w:r>
          </w:p>
        </w:tc>
        <w:tc>
          <w:tcPr>
            <w:tcW w:type="dxa" w:w="3735"/>
          </w:tcPr>
          <w:p>
            <w:pPr>
              <w:spacing w:before="0" w:after="0" w:line="252" w:lineRule="auto"/>
            </w:pPr>
            <w:r>
              <w:rPr>
                <w:sz w:val="18"/>
              </w:rPr>
              <w:t>Stable water demand</w:t>
            </w:r>
          </w:p>
        </w:tc>
      </w:tr>
      <w:tr>
        <w:trPr>
          <w:cantSplit w:val="true"/>
        </w:trPr>
        <w:tc>
          <w:tcPr>
            <w:tcW w:type="dxa" w:w="1655"/>
            <w:shd w:val="clear" w:color="auto" w:fill="F2F5F9"/>
          </w:tcPr>
          <w:p>
            <w:pPr>
              <w:spacing w:before="0" w:after="0" w:line="252" w:lineRule="auto"/>
            </w:pPr>
            <w:r>
              <w:rPr>
                <w:sz w:val="18"/>
              </w:rPr>
              <w:t>4. Batching</w:t>
            </w:r>
          </w:p>
        </w:tc>
        <w:tc>
          <w:tcPr>
            <w:tcW w:type="dxa" w:w="4248"/>
            <w:shd w:val="clear" w:color="auto" w:fill="F2F5F9"/>
          </w:tcPr>
          <w:p>
            <w:pPr>
              <w:spacing w:before="0" w:after="0" w:line="252" w:lineRule="auto"/>
            </w:pPr>
            <w:r>
              <w:rPr>
                <w:sz w:val="18"/>
              </w:rPr>
              <w:t>Moisture probes correct water automatically; weigh RCA, gravel, sand, cement, water, admixtures</w:t>
            </w:r>
          </w:p>
        </w:tc>
        <w:tc>
          <w:tcPr>
            <w:tcW w:type="dxa" w:w="3735"/>
            <w:shd w:val="clear" w:color="auto" w:fill="F2F5F9"/>
          </w:tcPr>
          <w:p>
            <w:pPr>
              <w:spacing w:before="0" w:after="0" w:line="252" w:lineRule="auto"/>
            </w:pPr>
            <w:r>
              <w:rPr>
                <w:sz w:val="18"/>
              </w:rPr>
              <w:t>Recipe per strength and exposure class</w:t>
            </w:r>
          </w:p>
        </w:tc>
      </w:tr>
      <w:tr>
        <w:trPr>
          <w:cantSplit w:val="true"/>
        </w:trPr>
        <w:tc>
          <w:tcPr>
            <w:tcW w:type="dxa" w:w="1655"/>
          </w:tcPr>
          <w:p>
            <w:pPr>
              <w:spacing w:before="0" w:after="0" w:line="252" w:lineRule="auto"/>
            </w:pPr>
            <w:r>
              <w:rPr>
                <w:sz w:val="18"/>
              </w:rPr>
              <w:t>5. Mixing</w:t>
            </w:r>
          </w:p>
        </w:tc>
        <w:tc>
          <w:tcPr>
            <w:tcW w:type="dxa" w:w="4248"/>
          </w:tcPr>
          <w:p>
            <w:pPr>
              <w:spacing w:before="0" w:after="0" w:line="252" w:lineRule="auto"/>
            </w:pPr>
            <w:r>
              <w:rPr>
                <w:sz w:val="18"/>
              </w:rPr>
              <w:t>Twin-shaft mixer, 2–3 m³ per batch (~120 m³/h)</w:t>
            </w:r>
          </w:p>
        </w:tc>
        <w:tc>
          <w:tcPr>
            <w:tcW w:type="dxa" w:w="3735"/>
          </w:tcPr>
          <w:p>
            <w:pPr>
              <w:spacing w:before="0" w:after="0" w:line="252" w:lineRule="auto"/>
            </w:pPr>
            <w:r>
              <w:rPr>
                <w:sz w:val="18"/>
              </w:rPr>
              <w:t>Consistency check</w:t>
            </w:r>
          </w:p>
        </w:tc>
      </w:tr>
      <w:tr>
        <w:trPr>
          <w:cantSplit w:val="true"/>
        </w:trPr>
        <w:tc>
          <w:tcPr>
            <w:tcW w:type="dxa" w:w="1655"/>
            <w:shd w:val="clear" w:color="auto" w:fill="F2F5F9"/>
          </w:tcPr>
          <w:p>
            <w:pPr>
              <w:spacing w:before="0" w:after="0" w:line="252" w:lineRule="auto"/>
            </w:pPr>
            <w:r>
              <w:rPr>
                <w:sz w:val="18"/>
              </w:rPr>
              <w:t>6. Loading and delivery</w:t>
            </w:r>
          </w:p>
        </w:tc>
        <w:tc>
          <w:tcPr>
            <w:tcW w:type="dxa" w:w="4248"/>
            <w:shd w:val="clear" w:color="auto" w:fill="F2F5F9"/>
          </w:tcPr>
          <w:p>
            <w:pPr>
              <w:spacing w:before="0" w:after="0" w:line="252" w:lineRule="auto"/>
            </w:pPr>
            <w:r>
              <w:rPr>
                <w:sz w:val="18"/>
              </w:rPr>
              <w:t>Truck mixer, 8–10 m³ per load; placed within 1.5–2 hours</w:t>
            </w:r>
          </w:p>
        </w:tc>
        <w:tc>
          <w:tcPr>
            <w:tcW w:type="dxa" w:w="3735"/>
            <w:shd w:val="clear" w:color="auto" w:fill="F2F5F9"/>
          </w:tcPr>
          <w:p>
            <w:pPr>
              <w:spacing w:before="0" w:after="0" w:line="252" w:lineRule="auto"/>
            </w:pPr>
            <w:r>
              <w:rPr>
                <w:sz w:val="18"/>
              </w:rPr>
              <w:t>Delivery radius ~25–50 km</w:t>
            </w:r>
          </w:p>
        </w:tc>
      </w:tr>
      <w:tr>
        <w:trPr>
          <w:cantSplit w:val="true"/>
        </w:trPr>
        <w:tc>
          <w:tcPr>
            <w:tcW w:type="dxa" w:w="1655"/>
          </w:tcPr>
          <w:p>
            <w:pPr>
              <w:spacing w:before="0" w:after="0" w:line="252" w:lineRule="auto"/>
            </w:pPr>
            <w:r>
              <w:rPr>
                <w:sz w:val="18"/>
              </w:rPr>
              <w:t>7. Quality and certificates</w:t>
            </w:r>
          </w:p>
        </w:tc>
        <w:tc>
          <w:tcPr>
            <w:tcW w:type="dxa" w:w="4248"/>
          </w:tcPr>
          <w:p>
            <w:pPr>
              <w:spacing w:before="0" w:after="0" w:line="252" w:lineRule="auto"/>
            </w:pPr>
            <w:r>
              <w:rPr>
                <w:sz w:val="18"/>
              </w:rPr>
              <w:t>Factory control to NEN-EN 206 + NEN 8005; KOMO certificate BRL 1801; product-specific LCA in the national database (NMD)</w:t>
            </w:r>
          </w:p>
        </w:tc>
        <w:tc>
          <w:tcPr>
            <w:tcW w:type="dxa" w:w="3735"/>
          </w:tcPr>
          <w:p>
            <w:pPr>
              <w:spacing w:before="0" w:after="0" w:line="252" w:lineRule="auto"/>
            </w:pPr>
            <w:r>
              <w:rPr>
                <w:sz w:val="18"/>
              </w:rPr>
              <w:t>Needed to compete in MKI tenders</w:t>
            </w:r>
          </w:p>
        </w:tc>
      </w:tr>
    </w:tbl>
    <w:p>
      <w:pPr>
        <w:spacing w:before="0" w:after="40" w:line="240" w:lineRule="auto"/>
      </w:pPr>
    </w:p>
    <w:p>
      <w:r>
        <w:rPr>
          <w:color w:val="6B6B6B"/>
          <w:sz w:val="17"/>
        </w:rPr>
        <w:t>[VERIFIED, TEC-01, TEC-45, TEC-58; technology.md §1]</w:t>
      </w:r>
      <w:r>
        <w:t xml:space="preserve">. The main technical risk is </w:t>
      </w:r>
      <w:r>
        <w:rPr>
          <w:b/>
        </w:rPr>
        <w:t>slump loss</w:t>
      </w:r>
      <w:r>
        <w:t xml:space="preserve"> (the concrete stiffens) in the truck, because RCA absorbs more water than gravel. Covered bins, moisture probes and per-lot tests manage this.</w:t>
      </w:r>
    </w:p>
    <w:p>
      <w:pPr>
        <w:pStyle w:val="Heading2"/>
      </w:pPr>
      <w:r>
        <w:t>4.2 Mix design (C30/37, per m³)</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4064"/>
        <w:gridCol w:w="2961"/>
        <w:gridCol w:w="1398"/>
        <w:gridCol w:w="1214"/>
      </w:tblGrid>
      <w:tr>
        <w:trPr>
          <w:cantSplit w:val="true"/>
          <w:tblHeader w:val="true"/>
        </w:trPr>
        <w:tc>
          <w:tcPr>
            <w:tcW w:type="dxa" w:w="4064"/>
            <w:shd w:val="clear" w:color="auto" w:fill="1F3A5F"/>
          </w:tcPr>
          <w:p>
            <w:pPr>
              <w:spacing w:before="0" w:after="0" w:line="252" w:lineRule="auto"/>
            </w:pPr>
            <w:r>
              <w:rPr>
                <w:b/>
                <w:color w:val="FFFFFF"/>
                <w:sz w:val="18"/>
              </w:rPr>
              <w:t>kg/m³</w:t>
            </w:r>
          </w:p>
        </w:tc>
        <w:tc>
          <w:tcPr>
            <w:tcW w:type="dxa" w:w="2961"/>
            <w:shd w:val="clear" w:color="auto" w:fill="1F3A5F"/>
          </w:tcPr>
          <w:p>
            <w:pPr>
              <w:spacing w:before="0" w:after="0" w:line="252" w:lineRule="auto"/>
            </w:pPr>
            <w:r>
              <w:rPr>
                <w:b/>
                <w:color w:val="FFFFFF"/>
                <w:sz w:val="18"/>
              </w:rPr>
              <w:t>Circular mix (base)</w:t>
            </w:r>
          </w:p>
        </w:tc>
        <w:tc>
          <w:tcPr>
            <w:tcW w:type="dxa" w:w="1398"/>
            <w:shd w:val="clear" w:color="auto" w:fill="1F3A5F"/>
          </w:tcPr>
          <w:p>
            <w:pPr>
              <w:spacing w:before="0" w:after="0" w:line="252" w:lineRule="auto"/>
            </w:pPr>
            <w:r>
              <w:rPr>
                <w:b/>
                <w:color w:val="FFFFFF"/>
                <w:sz w:val="18"/>
              </w:rPr>
              <w:t>Standard mix (CEM III/B)</w:t>
            </w:r>
          </w:p>
        </w:tc>
        <w:tc>
          <w:tcPr>
            <w:tcW w:type="dxa" w:w="1214"/>
            <w:shd w:val="clear" w:color="auto" w:fill="1F3A5F"/>
          </w:tcPr>
          <w:p>
            <w:pPr>
              <w:spacing w:before="0" w:after="0" w:line="252" w:lineRule="auto"/>
            </w:pPr>
            <w:r>
              <w:rPr>
                <w:b/>
                <w:color w:val="FFFFFF"/>
                <w:sz w:val="18"/>
              </w:rPr>
              <w:t>CEM I mix (reference)</w:t>
            </w:r>
          </w:p>
        </w:tc>
      </w:tr>
      <w:tr>
        <w:trPr>
          <w:cantSplit w:val="true"/>
        </w:trPr>
        <w:tc>
          <w:tcPr>
            <w:tcW w:type="dxa" w:w="4064"/>
          </w:tcPr>
          <w:p>
            <w:pPr>
              <w:spacing w:before="0" w:after="0" w:line="252" w:lineRule="auto"/>
            </w:pPr>
            <w:r>
              <w:rPr>
                <w:sz w:val="18"/>
              </w:rPr>
              <w:t>Cement</w:t>
            </w:r>
          </w:p>
        </w:tc>
        <w:tc>
          <w:tcPr>
            <w:tcW w:type="dxa" w:w="2961"/>
          </w:tcPr>
          <w:p>
            <w:pPr>
              <w:spacing w:before="0" w:after="0" w:line="252" w:lineRule="auto"/>
            </w:pPr>
            <w:r>
              <w:rPr>
                <w:sz w:val="18"/>
              </w:rPr>
              <w:t>345 CEM III/B</w:t>
            </w:r>
          </w:p>
        </w:tc>
        <w:tc>
          <w:tcPr>
            <w:tcW w:type="dxa" w:w="1398"/>
          </w:tcPr>
          <w:p>
            <w:pPr>
              <w:spacing w:before="0" w:after="0" w:line="252" w:lineRule="auto"/>
            </w:pPr>
            <w:r>
              <w:rPr>
                <w:sz w:val="18"/>
              </w:rPr>
              <w:t>330 CEM III/B</w:t>
            </w:r>
          </w:p>
        </w:tc>
        <w:tc>
          <w:tcPr>
            <w:tcW w:type="dxa" w:w="1214"/>
          </w:tcPr>
          <w:p>
            <w:pPr>
              <w:spacing w:before="0" w:after="0" w:line="252" w:lineRule="auto"/>
            </w:pPr>
            <w:r>
              <w:rPr>
                <w:sz w:val="18"/>
              </w:rPr>
              <w:t>320 CEM I</w:t>
            </w:r>
          </w:p>
        </w:tc>
      </w:tr>
      <w:tr>
        <w:trPr>
          <w:cantSplit w:val="true"/>
        </w:trPr>
        <w:tc>
          <w:tcPr>
            <w:tcW w:type="dxa" w:w="4064"/>
            <w:shd w:val="clear" w:color="auto" w:fill="F2F5F9"/>
          </w:tcPr>
          <w:p>
            <w:pPr>
              <w:spacing w:before="0" w:after="0" w:line="252" w:lineRule="auto"/>
            </w:pPr>
            <w:r>
              <w:rPr>
                <w:sz w:val="18"/>
              </w:rPr>
              <w:t>Gravel</w:t>
            </w:r>
          </w:p>
        </w:tc>
        <w:tc>
          <w:tcPr>
            <w:tcW w:type="dxa" w:w="2961"/>
            <w:shd w:val="clear" w:color="auto" w:fill="F2F5F9"/>
          </w:tcPr>
          <w:p>
            <w:pPr>
              <w:spacing w:before="0" w:after="0" w:line="252" w:lineRule="auto"/>
              <w:jc w:val="center"/>
            </w:pPr>
            <w:r>
              <w:rPr>
                <w:sz w:val="18"/>
              </w:rPr>
              <w:t>620</w:t>
            </w:r>
          </w:p>
        </w:tc>
        <w:tc>
          <w:tcPr>
            <w:tcW w:type="dxa" w:w="1398"/>
            <w:shd w:val="clear" w:color="auto" w:fill="F2F5F9"/>
          </w:tcPr>
          <w:p>
            <w:pPr>
              <w:spacing w:before="0" w:after="0" w:line="252" w:lineRule="auto"/>
              <w:jc w:val="center"/>
            </w:pPr>
            <w:r>
              <w:rPr>
                <w:sz w:val="18"/>
              </w:rPr>
              <w:t>1,241</w:t>
            </w:r>
          </w:p>
        </w:tc>
        <w:tc>
          <w:tcPr>
            <w:tcW w:type="dxa" w:w="1214"/>
            <w:shd w:val="clear" w:color="auto" w:fill="F2F5F9"/>
          </w:tcPr>
          <w:p>
            <w:pPr>
              <w:spacing w:before="0" w:after="0" w:line="252" w:lineRule="auto"/>
              <w:jc w:val="center"/>
            </w:pPr>
            <w:r>
              <w:rPr>
                <w:sz w:val="18"/>
              </w:rPr>
              <w:t>1,241</w:t>
            </w:r>
          </w:p>
        </w:tc>
      </w:tr>
      <w:tr>
        <w:trPr>
          <w:cantSplit w:val="true"/>
        </w:trPr>
        <w:tc>
          <w:tcPr>
            <w:tcW w:type="dxa" w:w="4064"/>
          </w:tcPr>
          <w:p>
            <w:pPr>
              <w:spacing w:before="0" w:after="0" w:line="252" w:lineRule="auto"/>
            </w:pPr>
            <w:r>
              <w:rPr>
                <w:sz w:val="18"/>
              </w:rPr>
              <w:t>Recycled coarse aggregate (RCA)</w:t>
            </w:r>
          </w:p>
        </w:tc>
        <w:tc>
          <w:tcPr>
            <w:tcW w:type="dxa" w:w="2961"/>
          </w:tcPr>
          <w:p>
            <w:pPr>
              <w:spacing w:before="0" w:after="0" w:line="252" w:lineRule="auto"/>
            </w:pPr>
            <w:r>
              <w:rPr>
                <w:sz w:val="18"/>
              </w:rPr>
              <w:t>560 (50% of coarse, by volume)</w:t>
            </w:r>
          </w:p>
        </w:tc>
        <w:tc>
          <w:tcPr>
            <w:tcW w:type="dxa" w:w="1398"/>
          </w:tcPr>
          <w:p>
            <w:pPr>
              <w:spacing w:before="0" w:after="0" w:line="252" w:lineRule="auto"/>
              <w:jc w:val="center"/>
            </w:pPr>
            <w:r>
              <w:rPr>
                <w:sz w:val="18"/>
              </w:rPr>
              <w:t>0</w:t>
            </w:r>
          </w:p>
        </w:tc>
        <w:tc>
          <w:tcPr>
            <w:tcW w:type="dxa" w:w="1214"/>
          </w:tcPr>
          <w:p>
            <w:pPr>
              <w:spacing w:before="0" w:after="0" w:line="252" w:lineRule="auto"/>
              <w:jc w:val="center"/>
            </w:pPr>
            <w:r>
              <w:rPr>
                <w:sz w:val="18"/>
              </w:rPr>
              <w:t>0</w:t>
            </w:r>
          </w:p>
        </w:tc>
      </w:tr>
      <w:tr>
        <w:trPr>
          <w:cantSplit w:val="true"/>
        </w:trPr>
        <w:tc>
          <w:tcPr>
            <w:tcW w:type="dxa" w:w="4064"/>
            <w:shd w:val="clear" w:color="auto" w:fill="F2F5F9"/>
          </w:tcPr>
          <w:p>
            <w:pPr>
              <w:spacing w:before="0" w:after="0" w:line="252" w:lineRule="auto"/>
            </w:pPr>
            <w:r>
              <w:rPr>
                <w:sz w:val="18"/>
              </w:rPr>
              <w:t>Sand</w:t>
            </w:r>
          </w:p>
        </w:tc>
        <w:tc>
          <w:tcPr>
            <w:tcW w:type="dxa" w:w="2961"/>
            <w:shd w:val="clear" w:color="auto" w:fill="F2F5F9"/>
          </w:tcPr>
          <w:p>
            <w:pPr>
              <w:spacing w:before="0" w:after="0" w:line="252" w:lineRule="auto"/>
              <w:jc w:val="center"/>
            </w:pPr>
            <w:r>
              <w:rPr>
                <w:sz w:val="18"/>
              </w:rPr>
              <w:t>630</w:t>
            </w:r>
          </w:p>
        </w:tc>
        <w:tc>
          <w:tcPr>
            <w:tcW w:type="dxa" w:w="1398"/>
            <w:shd w:val="clear" w:color="auto" w:fill="F2F5F9"/>
          </w:tcPr>
          <w:p>
            <w:pPr>
              <w:spacing w:before="0" w:after="0" w:line="252" w:lineRule="auto"/>
              <w:jc w:val="center"/>
            </w:pPr>
            <w:r>
              <w:rPr>
                <w:sz w:val="18"/>
              </w:rPr>
              <w:t>639</w:t>
            </w:r>
          </w:p>
        </w:tc>
        <w:tc>
          <w:tcPr>
            <w:tcW w:type="dxa" w:w="1214"/>
            <w:shd w:val="clear" w:color="auto" w:fill="F2F5F9"/>
          </w:tcPr>
          <w:p>
            <w:pPr>
              <w:spacing w:before="0" w:after="0" w:line="252" w:lineRule="auto"/>
              <w:jc w:val="center"/>
            </w:pPr>
            <w:r>
              <w:rPr>
                <w:sz w:val="18"/>
              </w:rPr>
              <w:t>639</w:t>
            </w:r>
          </w:p>
        </w:tc>
      </w:tr>
      <w:tr>
        <w:trPr>
          <w:cantSplit w:val="true"/>
        </w:trPr>
        <w:tc>
          <w:tcPr>
            <w:tcW w:type="dxa" w:w="4064"/>
          </w:tcPr>
          <w:p>
            <w:pPr>
              <w:spacing w:before="0" w:after="0" w:line="252" w:lineRule="auto"/>
            </w:pPr>
            <w:r>
              <w:rPr>
                <w:sz w:val="18"/>
              </w:rPr>
              <w:t>Water (effective + extra absorption water)</w:t>
            </w:r>
          </w:p>
        </w:tc>
        <w:tc>
          <w:tcPr>
            <w:tcW w:type="dxa" w:w="2961"/>
          </w:tcPr>
          <w:p>
            <w:pPr>
              <w:spacing w:before="0" w:after="0" w:line="252" w:lineRule="auto"/>
              <w:jc w:val="center"/>
            </w:pPr>
            <w:r>
              <w:rPr>
                <w:sz w:val="18"/>
              </w:rPr>
              <w:t>165 + 28</w:t>
            </w:r>
          </w:p>
        </w:tc>
        <w:tc>
          <w:tcPr>
            <w:tcW w:type="dxa" w:w="1398"/>
          </w:tcPr>
          <w:p>
            <w:pPr>
              <w:spacing w:before="0" w:after="0" w:line="252" w:lineRule="auto"/>
              <w:jc w:val="center"/>
            </w:pPr>
            <w:r>
              <w:rPr>
                <w:sz w:val="18"/>
              </w:rPr>
              <w:t>165</w:t>
            </w:r>
          </w:p>
        </w:tc>
        <w:tc>
          <w:tcPr>
            <w:tcW w:type="dxa" w:w="1214"/>
          </w:tcPr>
          <w:p>
            <w:pPr>
              <w:spacing w:before="0" w:after="0" w:line="252" w:lineRule="auto"/>
              <w:jc w:val="center"/>
            </w:pPr>
            <w:r>
              <w:rPr>
                <w:sz w:val="18"/>
              </w:rPr>
              <w:t>165</w:t>
            </w:r>
          </w:p>
        </w:tc>
      </w:tr>
      <w:tr>
        <w:trPr>
          <w:cantSplit w:val="true"/>
        </w:trPr>
        <w:tc>
          <w:tcPr>
            <w:tcW w:type="dxa" w:w="4064"/>
            <w:shd w:val="clear" w:color="auto" w:fill="F2F5F9"/>
          </w:tcPr>
          <w:p>
            <w:pPr>
              <w:spacing w:before="0" w:after="0" w:line="252" w:lineRule="auto"/>
            </w:pPr>
            <w:r>
              <w:rPr>
                <w:sz w:val="18"/>
              </w:rPr>
              <w:t>Superplasticiser</w:t>
            </w:r>
          </w:p>
        </w:tc>
        <w:tc>
          <w:tcPr>
            <w:tcW w:type="dxa" w:w="2961"/>
            <w:shd w:val="clear" w:color="auto" w:fill="F2F5F9"/>
          </w:tcPr>
          <w:p>
            <w:pPr>
              <w:spacing w:before="0" w:after="0" w:line="252" w:lineRule="auto"/>
              <w:jc w:val="center"/>
            </w:pPr>
            <w:r>
              <w:rPr>
                <w:sz w:val="18"/>
              </w:rPr>
              <w:t>3.1 kg</w:t>
            </w:r>
          </w:p>
        </w:tc>
        <w:tc>
          <w:tcPr>
            <w:tcW w:type="dxa" w:w="1398"/>
            <w:shd w:val="clear" w:color="auto" w:fill="F2F5F9"/>
          </w:tcPr>
          <w:p>
            <w:pPr>
              <w:spacing w:before="0" w:after="0" w:line="252" w:lineRule="auto"/>
              <w:jc w:val="center"/>
            </w:pPr>
            <w:r>
              <w:rPr>
                <w:sz w:val="18"/>
              </w:rPr>
              <w:t>2.3 kg</w:t>
            </w:r>
          </w:p>
        </w:tc>
        <w:tc>
          <w:tcPr>
            <w:tcW w:type="dxa" w:w="1214"/>
            <w:shd w:val="clear" w:color="auto" w:fill="F2F5F9"/>
          </w:tcPr>
          <w:p>
            <w:pPr>
              <w:spacing w:before="0" w:after="0" w:line="252" w:lineRule="auto"/>
              <w:jc w:val="center"/>
            </w:pPr>
            <w:r>
              <w:rPr>
                <w:sz w:val="18"/>
              </w:rPr>
              <w:t>2.2 kg</w:t>
            </w:r>
          </w:p>
        </w:tc>
      </w:tr>
      <w:tr>
        <w:trPr>
          <w:cantSplit w:val="true"/>
        </w:trPr>
        <w:tc>
          <w:tcPr>
            <w:tcW w:type="dxa" w:w="4064"/>
          </w:tcPr>
          <w:p>
            <w:pPr>
              <w:spacing w:before="0" w:after="0" w:line="252" w:lineRule="auto"/>
            </w:pPr>
            <w:r>
              <w:rPr>
                <w:sz w:val="18"/>
              </w:rPr>
              <w:t>Recycled content in total aggregate</w:t>
            </w:r>
          </w:p>
        </w:tc>
        <w:tc>
          <w:tcPr>
            <w:tcW w:type="dxa" w:w="2961"/>
          </w:tcPr>
          <w:p>
            <w:pPr>
              <w:spacing w:before="0" w:after="0" w:line="252" w:lineRule="auto"/>
              <w:jc w:val="center"/>
            </w:pPr>
            <w:r>
              <w:rPr>
                <w:b/>
                <w:sz w:val="18"/>
              </w:rPr>
              <w:t>31%</w:t>
            </w:r>
          </w:p>
        </w:tc>
        <w:tc>
          <w:tcPr>
            <w:tcW w:type="dxa" w:w="1398"/>
          </w:tcPr>
          <w:p>
            <w:pPr>
              <w:spacing w:before="0" w:after="0" w:line="252" w:lineRule="auto"/>
              <w:jc w:val="center"/>
            </w:pPr>
            <w:r>
              <w:rPr>
                <w:sz w:val="18"/>
              </w:rPr>
              <w:t>0%</w:t>
            </w:r>
          </w:p>
        </w:tc>
        <w:tc>
          <w:tcPr>
            <w:tcW w:type="dxa" w:w="1214"/>
          </w:tcPr>
          <w:p>
            <w:pPr>
              <w:spacing w:before="0" w:after="0" w:line="252" w:lineRule="auto"/>
              <w:jc w:val="center"/>
            </w:pPr>
            <w:r>
              <w:rPr>
                <w:sz w:val="18"/>
              </w:rPr>
              <w:t>0%</w:t>
            </w:r>
          </w:p>
        </w:tc>
      </w:tr>
    </w:tbl>
    <w:p>
      <w:pPr>
        <w:spacing w:before="0" w:after="40" w:line="240" w:lineRule="auto"/>
      </w:pPr>
    </w:p>
    <w:p>
      <w:r>
        <w:rPr>
          <w:color w:val="6B6B6B"/>
          <w:sz w:val="17"/>
        </w:rPr>
        <w:t>[ESTIMATE, A-CST-09; standard and CEM I mixes VERIFIED, NMD, TEC-04]</w:t>
      </w:r>
      <w:r>
        <w:t xml:space="preserve">. The circular mix needs </w:t>
      </w:r>
      <w:r>
        <w:rPr>
          <w:b/>
        </w:rPr>
        <w:t>+15 kg cement</w:t>
      </w:r>
      <w:r>
        <w:t xml:space="preserve"> to make up for a ~9.5% strength loss at 50% RCA </w:t>
      </w:r>
      <w:r>
        <w:rPr>
          <w:color w:val="6B6B6B"/>
          <w:sz w:val="17"/>
        </w:rPr>
        <w:t>[ESTIMATE, A-TEC-11]</w:t>
      </w:r>
      <w:r>
        <w:t xml:space="preserve">. 50% RCA is allowed in X0 and, with CUR 112 acceptance, in other classes. For reinforced outdoor work without that acceptance, the fallback is 30% </w:t>
      </w:r>
      <w:r>
        <w:rPr>
          <w:color w:val="6B6B6B"/>
          <w:sz w:val="17"/>
        </w:rPr>
        <w:t>[VERIFIED, POL-30]</w:t>
      </w:r>
      <w:r>
        <w:t xml:space="preserve">. The financial model uses plant averages over all strength classes: 325 kg cement (circular) and 310 kg (standard) </w:t>
      </w:r>
      <w:r>
        <w:rPr>
          <w:color w:val="6B6B6B"/>
          <w:sz w:val="17"/>
        </w:rPr>
        <w:t>[ASSUMPTION, A-CST-11]</w:t>
      </w:r>
      <w:r>
        <w:t>.</w:t>
      </w:r>
    </w:p>
    <w:p>
      <w:pPr>
        <w:pStyle w:val="Heading2"/>
      </w:pPr>
      <w:r>
        <w:t>4.3 CO₂ and MKI per m³</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4296"/>
        <w:gridCol w:w="1335"/>
        <w:gridCol w:w="1335"/>
        <w:gridCol w:w="1422"/>
        <w:gridCol w:w="1248"/>
      </w:tblGrid>
      <w:tr>
        <w:trPr>
          <w:cantSplit w:val="true"/>
          <w:tblHeader w:val="true"/>
        </w:trPr>
        <w:tc>
          <w:tcPr>
            <w:tcW w:type="dxa" w:w="4296"/>
            <w:shd w:val="clear" w:color="auto" w:fill="1F3A5F"/>
          </w:tcPr>
          <w:p>
            <w:pPr>
              <w:spacing w:before="0" w:after="0" w:line="252" w:lineRule="auto"/>
            </w:pPr>
            <w:r>
              <w:rPr>
                <w:b/>
                <w:color w:val="FFFFFF"/>
                <w:sz w:val="17"/>
              </w:rPr>
              <w:t>Product (C30/37)</w:t>
            </w:r>
          </w:p>
        </w:tc>
        <w:tc>
          <w:tcPr>
            <w:tcW w:type="dxa" w:w="1335"/>
            <w:shd w:val="clear" w:color="auto" w:fill="1F3A5F"/>
          </w:tcPr>
          <w:p>
            <w:pPr>
              <w:spacing w:before="0" w:after="0" w:line="252" w:lineRule="auto"/>
            </w:pPr>
            <w:r>
              <w:rPr>
                <w:b/>
                <w:color w:val="FFFFFF"/>
                <w:sz w:val="17"/>
              </w:rPr>
              <w:t>CO₂, kg/m³ (modules A1–A3)</w:t>
            </w:r>
          </w:p>
        </w:tc>
        <w:tc>
          <w:tcPr>
            <w:tcW w:type="dxa" w:w="1335"/>
            <w:shd w:val="clear" w:color="auto" w:fill="1F3A5F"/>
          </w:tcPr>
          <w:p>
            <w:pPr>
              <w:spacing w:before="0" w:after="0" w:line="252" w:lineRule="auto"/>
            </w:pPr>
            <w:r>
              <w:rPr>
                <w:b/>
                <w:color w:val="FFFFFF"/>
                <w:sz w:val="17"/>
              </w:rPr>
              <w:t>MKI, €/m³ (Betonakkoord basis)</w:t>
            </w:r>
          </w:p>
        </w:tc>
        <w:tc>
          <w:tcPr>
            <w:tcW w:type="dxa" w:w="1422"/>
            <w:shd w:val="clear" w:color="auto" w:fill="1F3A5F"/>
          </w:tcPr>
          <w:p>
            <w:pPr>
              <w:spacing w:before="0" w:after="0" w:line="252" w:lineRule="auto"/>
            </w:pPr>
            <w:r>
              <w:rPr>
                <w:b/>
                <w:color w:val="FFFFFF"/>
                <w:sz w:val="17"/>
              </w:rPr>
              <w:t>Meets 2026 "outside" ceiling (169 kg / €10.9)?</w:t>
            </w:r>
          </w:p>
        </w:tc>
        <w:tc>
          <w:tcPr>
            <w:tcW w:type="dxa" w:w="1248"/>
            <w:shd w:val="clear" w:color="auto" w:fill="1F3A5F"/>
          </w:tcPr>
          <w:p>
            <w:pPr>
              <w:spacing w:before="0" w:after="0" w:line="252" w:lineRule="auto"/>
            </w:pPr>
            <w:r>
              <w:rPr>
                <w:b/>
                <w:color w:val="FFFFFF"/>
                <w:sz w:val="17"/>
              </w:rPr>
              <w:t>Meets front-runner value (119 kg / €8.0)?</w:t>
            </w:r>
          </w:p>
        </w:tc>
      </w:tr>
      <w:tr>
        <w:trPr>
          <w:cantSplit w:val="true"/>
        </w:trPr>
        <w:tc>
          <w:tcPr>
            <w:tcW w:type="dxa" w:w="4296"/>
          </w:tcPr>
          <w:p>
            <w:pPr>
              <w:spacing w:before="0" w:after="0" w:line="252" w:lineRule="auto"/>
            </w:pPr>
            <w:r>
              <w:rPr>
                <w:b/>
                <w:sz w:val="17"/>
              </w:rPr>
              <w:t>Circular mix</w:t>
            </w:r>
          </w:p>
        </w:tc>
        <w:tc>
          <w:tcPr>
            <w:tcW w:type="dxa" w:w="1335"/>
          </w:tcPr>
          <w:p>
            <w:pPr>
              <w:spacing w:before="0" w:after="0" w:line="252" w:lineRule="auto"/>
              <w:jc w:val="center"/>
            </w:pPr>
            <w:r>
              <w:rPr>
                <w:b/>
                <w:sz w:val="17"/>
              </w:rPr>
              <w:t>132</w:t>
            </w:r>
            <w:r>
              <w:rPr>
                <w:sz w:val="17"/>
              </w:rPr>
              <w:t xml:space="preserve"> (111–157)</w:t>
            </w:r>
          </w:p>
        </w:tc>
        <w:tc>
          <w:tcPr>
            <w:tcW w:type="dxa" w:w="1335"/>
          </w:tcPr>
          <w:p>
            <w:pPr>
              <w:spacing w:before="0" w:after="0" w:line="252" w:lineRule="auto"/>
              <w:jc w:val="center"/>
            </w:pPr>
            <w:r>
              <w:rPr>
                <w:b/>
                <w:sz w:val="17"/>
              </w:rPr>
              <w:t>8.5</w:t>
            </w:r>
          </w:p>
        </w:tc>
        <w:tc>
          <w:tcPr>
            <w:tcW w:type="dxa" w:w="1422"/>
          </w:tcPr>
          <w:p>
            <w:pPr>
              <w:spacing w:before="0" w:after="0" w:line="252" w:lineRule="auto"/>
            </w:pPr>
            <w:r>
              <w:rPr>
                <w:sz w:val="17"/>
              </w:rPr>
              <w:t>yes</w:t>
            </w:r>
          </w:p>
        </w:tc>
        <w:tc>
          <w:tcPr>
            <w:tcW w:type="dxa" w:w="1248"/>
          </w:tcPr>
          <w:p>
            <w:pPr>
              <w:spacing w:before="0" w:after="0" w:line="252" w:lineRule="auto"/>
            </w:pPr>
            <w:r>
              <w:rPr>
                <w:sz w:val="17"/>
              </w:rPr>
              <w:t>no</w:t>
            </w:r>
          </w:p>
        </w:tc>
      </w:tr>
      <w:tr>
        <w:trPr>
          <w:cantSplit w:val="true"/>
        </w:trPr>
        <w:tc>
          <w:tcPr>
            <w:tcW w:type="dxa" w:w="4296"/>
            <w:shd w:val="clear" w:color="auto" w:fill="F2F5F9"/>
          </w:tcPr>
          <w:p>
            <w:pPr>
              <w:spacing w:before="0" w:after="0" w:line="252" w:lineRule="auto"/>
            </w:pPr>
            <w:r>
              <w:rPr>
                <w:sz w:val="17"/>
              </w:rPr>
              <w:t>Standard CEM III/B</w:t>
            </w:r>
          </w:p>
        </w:tc>
        <w:tc>
          <w:tcPr>
            <w:tcW w:type="dxa" w:w="1335"/>
            <w:shd w:val="clear" w:color="auto" w:fill="F2F5F9"/>
          </w:tcPr>
          <w:p>
            <w:pPr>
              <w:spacing w:before="0" w:after="0" w:line="252" w:lineRule="auto"/>
              <w:jc w:val="center"/>
            </w:pPr>
            <w:r>
              <w:rPr>
                <w:sz w:val="17"/>
              </w:rPr>
              <w:t>129 (109–154)</w:t>
            </w:r>
          </w:p>
        </w:tc>
        <w:tc>
          <w:tcPr>
            <w:tcW w:type="dxa" w:w="1335"/>
            <w:shd w:val="clear" w:color="auto" w:fill="F2F5F9"/>
          </w:tcPr>
          <w:p>
            <w:pPr>
              <w:spacing w:before="0" w:after="0" w:line="252" w:lineRule="auto"/>
              <w:jc w:val="center"/>
            </w:pPr>
            <w:r>
              <w:rPr>
                <w:sz w:val="17"/>
              </w:rPr>
              <w:t>8.6</w:t>
            </w:r>
          </w:p>
        </w:tc>
        <w:tc>
          <w:tcPr>
            <w:tcW w:type="dxa" w:w="1422"/>
            <w:shd w:val="clear" w:color="auto" w:fill="F2F5F9"/>
          </w:tcPr>
          <w:p>
            <w:pPr>
              <w:spacing w:before="0" w:after="0" w:line="252" w:lineRule="auto"/>
            </w:pPr>
            <w:r>
              <w:rPr>
                <w:sz w:val="17"/>
              </w:rPr>
              <w:t>yes</w:t>
            </w:r>
          </w:p>
        </w:tc>
        <w:tc>
          <w:tcPr>
            <w:tcW w:type="dxa" w:w="1248"/>
            <w:shd w:val="clear" w:color="auto" w:fill="F2F5F9"/>
          </w:tcPr>
          <w:p>
            <w:pPr>
              <w:spacing w:before="0" w:after="0" w:line="252" w:lineRule="auto"/>
            </w:pPr>
            <w:r>
              <w:rPr>
                <w:sz w:val="17"/>
              </w:rPr>
              <w:t>no</w:t>
            </w:r>
          </w:p>
        </w:tc>
      </w:tr>
      <w:tr>
        <w:trPr>
          <w:cantSplit w:val="true"/>
        </w:trPr>
        <w:tc>
          <w:tcPr>
            <w:tcW w:type="dxa" w:w="4296"/>
          </w:tcPr>
          <w:p>
            <w:pPr>
              <w:spacing w:before="0" w:after="0" w:line="252" w:lineRule="auto"/>
            </w:pPr>
            <w:r>
              <w:rPr>
                <w:sz w:val="17"/>
              </w:rPr>
              <w:t>CEM I mix</w:t>
            </w:r>
          </w:p>
        </w:tc>
        <w:tc>
          <w:tcPr>
            <w:tcW w:type="dxa" w:w="1335"/>
          </w:tcPr>
          <w:p>
            <w:pPr>
              <w:spacing w:before="0" w:after="0" w:line="252" w:lineRule="auto"/>
              <w:jc w:val="center"/>
            </w:pPr>
            <w:r>
              <w:rPr>
                <w:sz w:val="17"/>
              </w:rPr>
              <w:t>286 (244–323)</w:t>
            </w:r>
          </w:p>
        </w:tc>
        <w:tc>
          <w:tcPr>
            <w:tcW w:type="dxa" w:w="1335"/>
          </w:tcPr>
          <w:p>
            <w:pPr>
              <w:spacing w:before="0" w:after="0" w:line="252" w:lineRule="auto"/>
              <w:jc w:val="center"/>
            </w:pPr>
            <w:r>
              <w:rPr>
                <w:sz w:val="17"/>
              </w:rPr>
              <w:t>17.7</w:t>
            </w:r>
          </w:p>
        </w:tc>
        <w:tc>
          <w:tcPr>
            <w:tcW w:type="dxa" w:w="1422"/>
          </w:tcPr>
          <w:p>
            <w:pPr>
              <w:spacing w:before="0" w:after="0" w:line="252" w:lineRule="auto"/>
            </w:pPr>
            <w:r>
              <w:rPr>
                <w:sz w:val="17"/>
              </w:rPr>
              <w:t>no (far above)</w:t>
            </w:r>
          </w:p>
        </w:tc>
        <w:tc>
          <w:tcPr>
            <w:tcW w:type="dxa" w:w="1248"/>
          </w:tcPr>
          <w:p>
            <w:pPr>
              <w:spacing w:before="0" w:after="0" w:line="252" w:lineRule="auto"/>
            </w:pPr>
            <w:r>
              <w:rPr>
                <w:sz w:val="17"/>
              </w:rPr>
              <w:t>no</w:t>
            </w:r>
          </w:p>
        </w:tc>
      </w:tr>
      <w:tr>
        <w:trPr>
          <w:cantSplit w:val="true"/>
        </w:trPr>
        <w:tc>
          <w:tcPr>
            <w:tcW w:type="dxa" w:w="4296"/>
            <w:shd w:val="clear" w:color="auto" w:fill="F2F5F9"/>
          </w:tcPr>
          <w:p>
            <w:pPr>
              <w:spacing w:before="0" w:after="0" w:line="252" w:lineRule="auto"/>
            </w:pPr>
            <w:r>
              <w:rPr>
                <w:sz w:val="17"/>
              </w:rPr>
              <w:t>Option: circular + 55 kg activated cement paste</w:t>
            </w:r>
          </w:p>
        </w:tc>
        <w:tc>
          <w:tcPr>
            <w:tcW w:type="dxa" w:w="1335"/>
            <w:shd w:val="clear" w:color="auto" w:fill="F2F5F9"/>
          </w:tcPr>
          <w:p>
            <w:pPr>
              <w:spacing w:before="0" w:after="0" w:line="252" w:lineRule="auto"/>
              <w:jc w:val="center"/>
            </w:pPr>
            <w:r>
              <w:rPr>
                <w:sz w:val="17"/>
              </w:rPr>
              <w:t>~116</w:t>
            </w:r>
          </w:p>
        </w:tc>
        <w:tc>
          <w:tcPr>
            <w:tcW w:type="dxa" w:w="1335"/>
            <w:shd w:val="clear" w:color="auto" w:fill="F2F5F9"/>
          </w:tcPr>
          <w:p>
            <w:pPr>
              <w:spacing w:before="0" w:after="0" w:line="252" w:lineRule="auto"/>
              <w:jc w:val="center"/>
            </w:pPr>
            <w:r>
              <w:rPr>
                <w:sz w:val="17"/>
              </w:rPr>
              <w:t>~7.6</w:t>
            </w:r>
          </w:p>
        </w:tc>
        <w:tc>
          <w:tcPr>
            <w:tcW w:type="dxa" w:w="1422"/>
            <w:shd w:val="clear" w:color="auto" w:fill="F2F5F9"/>
          </w:tcPr>
          <w:p>
            <w:pPr>
              <w:spacing w:before="0" w:after="0" w:line="252" w:lineRule="auto"/>
            </w:pPr>
            <w:r>
              <w:rPr>
                <w:sz w:val="17"/>
              </w:rPr>
              <w:t>yes</w:t>
            </w:r>
          </w:p>
        </w:tc>
        <w:tc>
          <w:tcPr>
            <w:tcW w:type="dxa" w:w="1248"/>
            <w:shd w:val="clear" w:color="auto" w:fill="F2F5F9"/>
          </w:tcPr>
          <w:p>
            <w:pPr>
              <w:spacing w:before="0" w:after="0" w:line="252" w:lineRule="auto"/>
            </w:pPr>
            <w:r>
              <w:rPr>
                <w:sz w:val="17"/>
              </w:rPr>
              <w:t>yes</w:t>
            </w:r>
          </w:p>
        </w:tc>
      </w:tr>
    </w:tbl>
    <w:p>
      <w:pPr>
        <w:spacing w:before="0" w:after="40" w:line="240" w:lineRule="auto"/>
      </w:pPr>
    </w:p>
    <w:p>
      <w:r>
        <w:rPr>
          <w:color w:val="6B6B6B"/>
          <w:sz w:val="17"/>
        </w:rPr>
        <w:t>[ESTIMATE, price_breakdown.md §12; ceilings VERIFIED, POL-01]</w:t>
      </w:r>
      <w:r>
        <w:t xml:space="preserve">. </w:t>
      </w:r>
      <w:r>
        <w:rPr>
          <w:b/>
        </w:rPr>
        <w:t>Key point:</w:t>
      </w:r>
      <w:r>
        <w:t xml:space="preserve"> recycled aggregate gives circularity, not CO₂. In national database (NMD) data, 30% RCA lowers MKI by only </w:t>
      </w:r>
      <w:r>
        <w:rPr>
          <w:b/>
        </w:rPr>
        <w:t>€0.49/m³ (−2%)</w:t>
      </w:r>
      <w:r>
        <w:t xml:space="preserve">. Switching from CEM I to CEM III/B lowers it by </w:t>
      </w:r>
      <w:r>
        <w:rPr>
          <w:b/>
        </w:rPr>
        <w:t>25%</w:t>
      </w:r>
      <w:r>
        <w:t xml:space="preserve"> </w:t>
      </w:r>
      <w:r>
        <w:rPr>
          <w:color w:val="6B6B6B"/>
          <w:sz w:val="17"/>
        </w:rPr>
        <w:t>[VERIFIED, TEC-04]</w:t>
      </w:r>
      <w:r>
        <w:t xml:space="preserve">. Because Dutch ready-mix already uses CEM III/B (~85% of products at the market leader), our circular mix is </w:t>
      </w:r>
      <w:r>
        <w:rPr>
          <w:b/>
        </w:rPr>
        <w:t>not</w:t>
      </w:r>
      <w:r>
        <w:t xml:space="preserve"> lower-CO₂ than the Dutch standard </w:t>
      </w:r>
      <w:r>
        <w:rPr>
          <w:color w:val="6B6B6B"/>
          <w:sz w:val="17"/>
        </w:rPr>
        <w:t>[VERIFIED, CMP-27]</w:t>
      </w:r>
      <w:r>
        <w:t>.</w:t>
      </w:r>
    </w:p>
    <w:p>
      <w:pPr>
        <w:pStyle w:val="Heading2"/>
      </w:pPr>
      <w:r>
        <w:t>4.4 The plant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3014"/>
        <w:gridCol w:w="3619"/>
        <w:gridCol w:w="1008"/>
        <w:gridCol w:w="1995"/>
      </w:tblGrid>
      <w:tr>
        <w:trPr>
          <w:cantSplit w:val="true"/>
          <w:tblHeader w:val="true"/>
        </w:trPr>
        <w:tc>
          <w:tcPr>
            <w:tcW w:type="dxa" w:w="3015"/>
            <w:shd w:val="clear" w:color="auto" w:fill="1F3A5F"/>
          </w:tcPr>
          <w:p>
            <w:pPr>
              <w:spacing w:before="0" w:after="0" w:line="252" w:lineRule="auto"/>
            </w:pPr>
            <w:r>
              <w:rPr>
                <w:b/>
                <w:color w:val="FFFFFF"/>
                <w:sz w:val="18"/>
              </w:rPr>
              <w:t>Item</w:t>
            </w:r>
          </w:p>
        </w:tc>
        <w:tc>
          <w:tcPr>
            <w:tcW w:type="dxa" w:w="3619"/>
            <w:shd w:val="clear" w:color="auto" w:fill="1F3A5F"/>
          </w:tcPr>
          <w:p>
            <w:pPr>
              <w:spacing w:before="0" w:after="0" w:line="252" w:lineRule="auto"/>
            </w:pPr>
            <w:r>
              <w:rPr>
                <w:b/>
                <w:color w:val="FFFFFF"/>
                <w:sz w:val="18"/>
              </w:rPr>
              <w:t>Base</w:t>
            </w:r>
          </w:p>
        </w:tc>
        <w:tc>
          <w:tcPr>
            <w:tcW w:type="dxa" w:w="1008"/>
            <w:shd w:val="clear" w:color="auto" w:fill="1F3A5F"/>
          </w:tcPr>
          <w:p>
            <w:pPr>
              <w:spacing w:before="0" w:after="0" w:line="252" w:lineRule="auto"/>
            </w:pPr>
            <w:r>
              <w:rPr>
                <w:b/>
                <w:color w:val="FFFFFF"/>
                <w:sz w:val="18"/>
              </w:rPr>
              <w:t>Range</w:t>
            </w:r>
          </w:p>
        </w:tc>
        <w:tc>
          <w:tcPr>
            <w:tcW w:type="dxa" w:w="1995"/>
            <w:shd w:val="clear" w:color="auto" w:fill="1F3A5F"/>
          </w:tcPr>
          <w:p>
            <w:pPr>
              <w:spacing w:before="0" w:after="0" w:line="252" w:lineRule="auto"/>
            </w:pPr>
            <w:r>
              <w:rPr>
                <w:b/>
                <w:color w:val="FFFFFF"/>
                <w:sz w:val="18"/>
              </w:rPr>
              <w:t>Label</w:t>
            </w:r>
          </w:p>
        </w:tc>
      </w:tr>
      <w:tr>
        <w:trPr>
          <w:cantSplit w:val="true"/>
        </w:trPr>
        <w:tc>
          <w:tcPr>
            <w:tcW w:type="dxa" w:w="3015"/>
          </w:tcPr>
          <w:p>
            <w:pPr>
              <w:spacing w:before="0" w:after="0" w:line="252" w:lineRule="auto"/>
            </w:pPr>
            <w:r>
              <w:rPr>
                <w:sz w:val="18"/>
              </w:rPr>
              <w:t>Capacity</w:t>
            </w:r>
          </w:p>
        </w:tc>
        <w:tc>
          <w:tcPr>
            <w:tcW w:type="dxa" w:w="3619"/>
          </w:tcPr>
          <w:p>
            <w:pPr>
              <w:spacing w:before="0" w:after="0" w:line="252" w:lineRule="auto"/>
            </w:pPr>
            <w:r>
              <w:rPr>
                <w:sz w:val="18"/>
              </w:rPr>
              <w:t>120 m³/h (one shift ≈ 240,000 m³/yr theoretical)</w:t>
            </w:r>
          </w:p>
        </w:tc>
        <w:tc>
          <w:tcPr>
            <w:tcW w:type="dxa" w:w="1008"/>
          </w:tcPr>
          <w:p>
            <w:pPr>
              <w:spacing w:before="0" w:after="0" w:line="252" w:lineRule="auto"/>
            </w:pPr>
            <w:r>
              <w:rPr>
                <w:sz w:val="18"/>
              </w:rPr>
              <w:t>–</w:t>
            </w:r>
          </w:p>
        </w:tc>
        <w:tc>
          <w:tcPr>
            <w:tcW w:type="dxa" w:w="1995"/>
          </w:tcPr>
          <w:p>
            <w:pPr>
              <w:spacing w:before="0" w:after="0" w:line="252" w:lineRule="auto"/>
            </w:pPr>
            <w:r>
              <w:rPr>
                <w:sz w:val="18"/>
              </w:rPr>
              <w:t>ESTIMATE, A-TEC-23</w:t>
            </w:r>
          </w:p>
        </w:tc>
      </w:tr>
      <w:tr>
        <w:trPr>
          <w:cantSplit w:val="true"/>
        </w:trPr>
        <w:tc>
          <w:tcPr>
            <w:tcW w:type="dxa" w:w="3015"/>
            <w:shd w:val="clear" w:color="auto" w:fill="F2F5F9"/>
          </w:tcPr>
          <w:p>
            <w:pPr>
              <w:spacing w:before="0" w:after="0" w:line="252" w:lineRule="auto"/>
            </w:pPr>
            <w:r>
              <w:rPr>
                <w:sz w:val="18"/>
              </w:rPr>
              <w:t>Output at steady state</w:t>
            </w:r>
          </w:p>
        </w:tc>
        <w:tc>
          <w:tcPr>
            <w:tcW w:type="dxa" w:w="3619"/>
            <w:shd w:val="clear" w:color="auto" w:fill="F2F5F9"/>
          </w:tcPr>
          <w:p>
            <w:pPr>
              <w:spacing w:before="0" w:after="0" w:line="252" w:lineRule="auto"/>
            </w:pPr>
            <w:r>
              <w:rPr>
                <w:sz w:val="18"/>
              </w:rPr>
              <w:t>70,000 m³/yr (2030+), ramp 35k / 55.3k in 2028 / 2029</w:t>
            </w:r>
          </w:p>
        </w:tc>
        <w:tc>
          <w:tcPr>
            <w:tcW w:type="dxa" w:w="1008"/>
            <w:shd w:val="clear" w:color="auto" w:fill="F2F5F9"/>
          </w:tcPr>
          <w:p>
            <w:pPr>
              <w:spacing w:before="0" w:after="0" w:line="252" w:lineRule="auto"/>
              <w:jc w:val="center"/>
            </w:pPr>
            <w:r>
              <w:rPr>
                <w:sz w:val="18"/>
              </w:rPr>
              <w:t>50–90k</w:t>
            </w:r>
          </w:p>
        </w:tc>
        <w:tc>
          <w:tcPr>
            <w:tcW w:type="dxa" w:w="1995"/>
            <w:shd w:val="clear" w:color="auto" w:fill="F2F5F9"/>
          </w:tcPr>
          <w:p>
            <w:pPr>
              <w:spacing w:before="0" w:after="0" w:line="252" w:lineRule="auto"/>
            </w:pPr>
            <w:r>
              <w:rPr>
                <w:sz w:val="18"/>
              </w:rPr>
              <w:t>ASSUMPTION, A-TEC-24</w:t>
            </w:r>
          </w:p>
        </w:tc>
      </w:tr>
      <w:tr>
        <w:trPr>
          <w:cantSplit w:val="true"/>
        </w:trPr>
        <w:tc>
          <w:tcPr>
            <w:tcW w:type="dxa" w:w="3015"/>
          </w:tcPr>
          <w:p>
            <w:pPr>
              <w:spacing w:before="0" w:after="0" w:line="252" w:lineRule="auto"/>
            </w:pPr>
            <w:r>
              <w:rPr>
                <w:sz w:val="18"/>
              </w:rPr>
              <w:t>Capex: plant equipment / civil / permits &amp; engineering</w:t>
            </w:r>
          </w:p>
        </w:tc>
        <w:tc>
          <w:tcPr>
            <w:tcW w:type="dxa" w:w="3619"/>
          </w:tcPr>
          <w:p>
            <w:pPr>
              <w:spacing w:before="0" w:after="0" w:line="252" w:lineRule="auto"/>
            </w:pPr>
            <w:r>
              <w:rPr>
                <w:sz w:val="18"/>
              </w:rPr>
              <w:t xml:space="preserve">€4.0M / €1.0M / €0.5M = </w:t>
            </w:r>
            <w:r>
              <w:rPr>
                <w:b/>
                <w:sz w:val="18"/>
              </w:rPr>
              <w:t>€5.5M</w:t>
            </w:r>
          </w:p>
        </w:tc>
        <w:tc>
          <w:tcPr>
            <w:tcW w:type="dxa" w:w="1008"/>
          </w:tcPr>
          <w:p>
            <w:pPr>
              <w:spacing w:before="0" w:after="0" w:line="252" w:lineRule="auto"/>
              <w:jc w:val="center"/>
            </w:pPr>
            <w:r>
              <w:rPr>
                <w:sz w:val="18"/>
              </w:rPr>
              <w:t>€4.0–8.0M</w:t>
            </w:r>
          </w:p>
        </w:tc>
        <w:tc>
          <w:tcPr>
            <w:tcW w:type="dxa" w:w="1995"/>
          </w:tcPr>
          <w:p>
            <w:pPr>
              <w:spacing w:before="0" w:after="0" w:line="252" w:lineRule="auto"/>
            </w:pPr>
            <w:r>
              <w:rPr>
                <w:sz w:val="18"/>
              </w:rPr>
              <w:t>ASSUMPTION, A-CST-02</w:t>
            </w:r>
          </w:p>
        </w:tc>
      </w:tr>
      <w:tr>
        <w:trPr>
          <w:cantSplit w:val="true"/>
        </w:trPr>
        <w:tc>
          <w:tcPr>
            <w:tcW w:type="dxa" w:w="3015"/>
            <w:shd w:val="clear" w:color="auto" w:fill="F2F5F9"/>
          </w:tcPr>
          <w:p>
            <w:pPr>
              <w:spacing w:before="0" w:after="0" w:line="252" w:lineRule="auto"/>
            </w:pPr>
            <w:r>
              <w:rPr>
                <w:sz w:val="18"/>
              </w:rPr>
              <w:t>One-off costs in build year</w:t>
            </w:r>
          </w:p>
        </w:tc>
        <w:tc>
          <w:tcPr>
            <w:tcW w:type="dxa" w:w="3619"/>
            <w:shd w:val="clear" w:color="auto" w:fill="F2F5F9"/>
          </w:tcPr>
          <w:p>
            <w:pPr>
              <w:spacing w:before="0" w:after="0" w:line="252" w:lineRule="auto"/>
            </w:pPr>
            <w:r>
              <w:rPr>
                <w:sz w:val="18"/>
              </w:rPr>
              <w:t>LCA/EPD €80k; pre-opening €300k</w:t>
            </w:r>
          </w:p>
        </w:tc>
        <w:tc>
          <w:tcPr>
            <w:tcW w:type="dxa" w:w="1008"/>
            <w:shd w:val="clear" w:color="auto" w:fill="F2F5F9"/>
          </w:tcPr>
          <w:p>
            <w:pPr>
              <w:spacing w:before="0" w:after="0" w:line="252" w:lineRule="auto"/>
            </w:pPr>
            <w:r>
              <w:rPr>
                <w:sz w:val="18"/>
              </w:rPr>
              <w:t>–</w:t>
            </w:r>
          </w:p>
        </w:tc>
        <w:tc>
          <w:tcPr>
            <w:tcW w:type="dxa" w:w="1995"/>
            <w:shd w:val="clear" w:color="auto" w:fill="F2F5F9"/>
          </w:tcPr>
          <w:p>
            <w:pPr>
              <w:spacing w:before="0" w:after="0" w:line="252" w:lineRule="auto"/>
            </w:pPr>
            <w:r>
              <w:rPr>
                <w:sz w:val="18"/>
              </w:rPr>
              <w:t>ASSUMPTION, A-CST-03/04</w:t>
            </w:r>
          </w:p>
        </w:tc>
      </w:tr>
      <w:tr>
        <w:trPr>
          <w:cantSplit w:val="true"/>
        </w:trPr>
        <w:tc>
          <w:tcPr>
            <w:tcW w:type="dxa" w:w="3015"/>
          </w:tcPr>
          <w:p>
            <w:pPr>
              <w:spacing w:before="0" w:after="0" w:line="252" w:lineRule="auto"/>
            </w:pPr>
            <w:r>
              <w:rPr>
                <w:sz w:val="18"/>
              </w:rPr>
              <w:t>Site</w:t>
            </w:r>
          </w:p>
        </w:tc>
        <w:tc>
          <w:tcPr>
            <w:tcW w:type="dxa" w:w="3619"/>
          </w:tcPr>
          <w:p>
            <w:pPr>
              <w:spacing w:before="0" w:after="0" w:line="252" w:lineRule="auto"/>
            </w:pPr>
            <w:r>
              <w:rPr>
                <w:sz w:val="18"/>
              </w:rPr>
              <w:t>1.5 ha, waterside, leased at €10/m²/yr</w:t>
            </w:r>
          </w:p>
        </w:tc>
        <w:tc>
          <w:tcPr>
            <w:tcW w:type="dxa" w:w="1008"/>
          </w:tcPr>
          <w:p>
            <w:pPr>
              <w:spacing w:before="0" w:after="0" w:line="252" w:lineRule="auto"/>
              <w:jc w:val="center"/>
            </w:pPr>
            <w:r>
              <w:rPr>
                <w:sz w:val="18"/>
              </w:rPr>
              <w:t>1–2.5 ha</w:t>
            </w:r>
          </w:p>
        </w:tc>
        <w:tc>
          <w:tcPr>
            <w:tcW w:type="dxa" w:w="1995"/>
          </w:tcPr>
          <w:p>
            <w:pPr>
              <w:spacing w:before="0" w:after="0" w:line="252" w:lineRule="auto"/>
            </w:pPr>
            <w:r>
              <w:rPr>
                <w:sz w:val="18"/>
              </w:rPr>
              <w:t>ESTIMATE, A-TEC-22, A-CST-24</w:t>
            </w:r>
          </w:p>
        </w:tc>
      </w:tr>
      <w:tr>
        <w:trPr>
          <w:cantSplit w:val="true"/>
        </w:trPr>
        <w:tc>
          <w:tcPr>
            <w:tcW w:type="dxa" w:w="3015"/>
            <w:shd w:val="clear" w:color="auto" w:fill="F2F5F9"/>
          </w:tcPr>
          <w:p>
            <w:pPr>
              <w:spacing w:before="0" w:after="0" w:line="252" w:lineRule="auto"/>
            </w:pPr>
            <w:r>
              <w:rPr>
                <w:sz w:val="18"/>
              </w:rPr>
              <w:t>Staff</w:t>
            </w:r>
          </w:p>
        </w:tc>
        <w:tc>
          <w:tcPr>
            <w:tcW w:type="dxa" w:w="3619"/>
            <w:shd w:val="clear" w:color="auto" w:fill="F2F5F9"/>
          </w:tcPr>
          <w:p>
            <w:pPr>
              <w:spacing w:before="0" w:after="0" w:line="252" w:lineRule="auto"/>
            </w:pPr>
            <w:r>
              <w:rPr>
                <w:sz w:val="18"/>
              </w:rPr>
              <w:t>7 production + 3 sales/admin FTE</w:t>
            </w:r>
          </w:p>
        </w:tc>
        <w:tc>
          <w:tcPr>
            <w:tcW w:type="dxa" w:w="1008"/>
            <w:shd w:val="clear" w:color="auto" w:fill="F2F5F9"/>
          </w:tcPr>
          <w:p>
            <w:pPr>
              <w:spacing w:before="0" w:after="0" w:line="252" w:lineRule="auto"/>
            </w:pPr>
            <w:r>
              <w:rPr>
                <w:sz w:val="18"/>
              </w:rPr>
              <w:t>–</w:t>
            </w:r>
          </w:p>
        </w:tc>
        <w:tc>
          <w:tcPr>
            <w:tcW w:type="dxa" w:w="1995"/>
            <w:shd w:val="clear" w:color="auto" w:fill="F2F5F9"/>
          </w:tcPr>
          <w:p>
            <w:pPr>
              <w:spacing w:before="0" w:after="0" w:line="252" w:lineRule="auto"/>
            </w:pPr>
            <w:r>
              <w:rPr>
                <w:sz w:val="18"/>
              </w:rPr>
              <w:t>ASSUMPTION, A-CST-20</w:t>
            </w:r>
          </w:p>
        </w:tc>
      </w:tr>
      <w:tr>
        <w:trPr>
          <w:cantSplit w:val="true"/>
        </w:trPr>
        <w:tc>
          <w:tcPr>
            <w:tcW w:type="dxa" w:w="3015"/>
          </w:tcPr>
          <w:p>
            <w:pPr>
              <w:spacing w:before="0" w:after="0" w:line="252" w:lineRule="auto"/>
            </w:pPr>
            <w:r>
              <w:rPr>
                <w:sz w:val="18"/>
              </w:rPr>
              <w:t>Delivery</w:t>
            </w:r>
          </w:p>
        </w:tc>
        <w:tc>
          <w:tcPr>
            <w:tcW w:type="dxa" w:w="3619"/>
          </w:tcPr>
          <w:p>
            <w:pPr>
              <w:spacing w:before="0" w:after="0" w:line="252" w:lineRule="auto"/>
            </w:pPr>
            <w:r>
              <w:rPr>
                <w:sz w:val="18"/>
              </w:rPr>
              <w:t>~8 truck mixers, subcontracted</w:t>
            </w:r>
          </w:p>
        </w:tc>
        <w:tc>
          <w:tcPr>
            <w:tcW w:type="dxa" w:w="1008"/>
          </w:tcPr>
          <w:p>
            <w:pPr>
              <w:spacing w:before="0" w:after="0" w:line="252" w:lineRule="auto"/>
            </w:pPr>
            <w:r>
              <w:rPr>
                <w:sz w:val="18"/>
              </w:rPr>
              <w:t>–</w:t>
            </w:r>
          </w:p>
        </w:tc>
        <w:tc>
          <w:tcPr>
            <w:tcW w:type="dxa" w:w="1995"/>
          </w:tcPr>
          <w:p>
            <w:pPr>
              <w:spacing w:before="0" w:after="0" w:line="252" w:lineRule="auto"/>
            </w:pPr>
            <w:r>
              <w:rPr>
                <w:sz w:val="18"/>
              </w:rPr>
              <w:t>ESTIMATE, A-TEC-30</w:t>
            </w:r>
          </w:p>
        </w:tc>
      </w:tr>
      <w:tr>
        <w:trPr>
          <w:cantSplit w:val="true"/>
        </w:trPr>
        <w:tc>
          <w:tcPr>
            <w:tcW w:type="dxa" w:w="3015"/>
            <w:shd w:val="clear" w:color="auto" w:fill="F2F5F9"/>
          </w:tcPr>
          <w:p>
            <w:pPr>
              <w:spacing w:before="0" w:after="0" w:line="252" w:lineRule="auto"/>
            </w:pPr>
            <w:r>
              <w:rPr>
                <w:sz w:val="18"/>
              </w:rPr>
              <w:t>Timing</w:t>
            </w:r>
          </w:p>
        </w:tc>
        <w:tc>
          <w:tcPr>
            <w:tcW w:type="dxa" w:w="3619"/>
            <w:shd w:val="clear" w:color="auto" w:fill="F2F5F9"/>
          </w:tcPr>
          <w:p>
            <w:pPr>
              <w:spacing w:before="0" w:after="0" w:line="252" w:lineRule="auto"/>
            </w:pPr>
            <w:r>
              <w:rPr>
                <w:sz w:val="18"/>
              </w:rPr>
              <w:t>Permits 2026 (12 months, range 6–24), build 2027, first sales 2028</w:t>
            </w:r>
          </w:p>
        </w:tc>
        <w:tc>
          <w:tcPr>
            <w:tcW w:type="dxa" w:w="1008"/>
            <w:shd w:val="clear" w:color="auto" w:fill="F2F5F9"/>
          </w:tcPr>
          <w:p>
            <w:pPr>
              <w:spacing w:before="0" w:after="0" w:line="252" w:lineRule="auto"/>
            </w:pPr>
            <w:r>
              <w:rPr>
                <w:sz w:val="18"/>
              </w:rPr>
              <w:t>–</w:t>
            </w:r>
          </w:p>
        </w:tc>
        <w:tc>
          <w:tcPr>
            <w:tcW w:type="dxa" w:w="1995"/>
            <w:shd w:val="clear" w:color="auto" w:fill="F2F5F9"/>
          </w:tcPr>
          <w:p>
            <w:pPr>
              <w:spacing w:before="0" w:after="0" w:line="252" w:lineRule="auto"/>
            </w:pPr>
            <w:r>
              <w:rPr>
                <w:sz w:val="18"/>
              </w:rPr>
              <w:t>ASSUMPTION, A-POL-19, A-FIX-01</w:t>
            </w:r>
          </w:p>
        </w:tc>
      </w:tr>
    </w:tbl>
    <w:p>
      <w:pPr>
        <w:spacing w:before="0" w:after="40" w:line="240" w:lineRule="auto"/>
      </w:pPr>
    </w:p>
    <w:p>
      <w:r>
        <w:t xml:space="preserve">No public capex for a Dutch ready-mix plant was found; capex is an estimate from foreign and vendor anchors </w:t>
      </w:r>
      <w:r>
        <w:rPr>
          <w:color w:val="6B6B6B"/>
          <w:sz w:val="17"/>
        </w:rPr>
        <w:t>[ASSUMPTION, A-TEC-21]</w:t>
      </w:r>
      <w:r>
        <w:t>. Proven technology (TRL 9) is used throughout. Advanced recycling (recycled sand and cement paste, e.g. Smart Liberator, everox) is TRL 6–8 and is not needed for the base case.</w:t>
      </w:r>
    </w:p>
    <w:p>
      <w:r>
        <w:br w:type="page"/>
      </w:r>
    </w:p>
    <w:p>
      <w:pPr>
        <w:pStyle w:val="Heading1"/>
      </w:pPr>
      <w:r>
        <w:t>5. Competition</w:t>
      </w:r>
    </w:p>
    <w:p>
      <w:pPr>
        <w:pStyle w:val="Heading2"/>
      </w:pPr>
      <w:r>
        <w:t>5.1 Who competes</w:t>
      </w:r>
    </w:p>
    <w:p>
      <w:pPr>
        <w:pStyle w:val="ListBullet"/>
      </w:pPr>
      <w:r>
        <w:rPr>
          <w:b/>
        </w:rPr>
        <w:t>Integrated groups.</w:t>
      </w:r>
      <w:r>
        <w:t xml:space="preserve"> </w:t>
      </w:r>
      <w:r>
        <w:rPr>
          <w:b/>
        </w:rPr>
        <w:t>Heidelberg Materials</w:t>
      </w:r>
      <w:r>
        <w:t xml:space="preserve"> (ex-Mebin, ~30 ready-mix plants, owns ENCI cement) sells EcoCrete/evoBuild with 30–100% RCA. </w:t>
      </w:r>
      <w:r>
        <w:rPr>
          <w:b/>
        </w:rPr>
        <w:t>Holcim</w:t>
      </w:r>
      <w:r>
        <w:t xml:space="preserve"> sells ECOPact at only </w:t>
      </w:r>
      <w:r>
        <w:rPr>
          <w:b/>
        </w:rPr>
        <w:t>+€5 to +€9/m³</w:t>
      </w:r>
      <w:r>
        <w:t xml:space="preserve"> over standard. </w:t>
      </w:r>
      <w:r>
        <w:rPr>
          <w:b/>
        </w:rPr>
        <w:t>Dyckerhoff Basal</w:t>
      </w:r>
      <w:r>
        <w:t xml:space="preserve"> (Buzzi) has a national network </w:t>
      </w:r>
      <w:r>
        <w:rPr>
          <w:color w:val="6B6B6B"/>
          <w:sz w:val="17"/>
        </w:rPr>
        <w:t>[VERIFIED, CMP-28, CMP-35, CMP-36]</w:t>
      </w:r>
      <w:r>
        <w:t>.</w:t>
      </w:r>
    </w:p>
    <w:p>
      <w:pPr>
        <w:pStyle w:val="ListBullet"/>
      </w:pPr>
      <w:r>
        <w:rPr>
          <w:b/>
        </w:rPr>
        <w:t>Family groups and recyclers.</w:t>
      </w:r>
      <w:r>
        <w:t xml:space="preserve"> De Hoop, Van Nieuwpoort, Rouwmaat (geopolymer), Theo Pouw (all concrete ≥30% RCA) </w:t>
      </w:r>
      <w:r>
        <w:rPr>
          <w:color w:val="6B6B6B"/>
          <w:sz w:val="17"/>
        </w:rPr>
        <w:t>[VERIFIED, CMP-39–CMP-42, CMP-69]</w:t>
      </w:r>
      <w:r>
        <w:t>.</w:t>
      </w:r>
    </w:p>
    <w:p>
      <w:pPr>
        <w:pStyle w:val="ListBullet"/>
      </w:pPr>
      <w:r>
        <w:rPr>
          <w:b/>
        </w:rPr>
        <w:t>Deep-tech circular specialists.</w:t>
      </w:r>
      <w:r>
        <w:t xml:space="preserve"> </w:t>
      </w:r>
      <w:r>
        <w:rPr>
          <w:b/>
        </w:rPr>
        <w:t>SL Materials</w:t>
      </w:r>
      <w:r>
        <w:t xml:space="preserve"> (ex-Urban Mine/Rutte, Zaandam) recovers sand, gravel and cement and got a </w:t>
      </w:r>
      <w:r>
        <w:rPr>
          <w:b/>
        </w:rPr>
        <w:t>€100M commitment</w:t>
      </w:r>
      <w:r>
        <w:t xml:space="preserve"> in October 2026 </w:t>
      </w:r>
      <w:r>
        <w:rPr>
          <w:color w:val="6B6B6B"/>
          <w:sz w:val="17"/>
        </w:rPr>
        <w:t>[VERIFIED, CMP-04, CMP-05]</w:t>
      </w:r>
      <w:r>
        <w:t xml:space="preserve">. </w:t>
      </w:r>
      <w:r>
        <w:rPr>
          <w:b/>
        </w:rPr>
        <w:t>everox</w:t>
      </w:r>
      <w:r>
        <w:t xml:space="preserve"> (ex-C2CA) is building a 100 kt/yr plant in 's-Gravendeel with Dura Vermeer — </w:t>
      </w:r>
      <w:r>
        <w:rPr>
          <w:b/>
        </w:rPr>
        <w:t>in our target region</w:t>
      </w:r>
      <w:r>
        <w:t xml:space="preserve"> </w:t>
      </w:r>
      <w:r>
        <w:rPr>
          <w:color w:val="6B6B6B"/>
          <w:sz w:val="17"/>
        </w:rPr>
        <w:t>[VERIFIED, CMP-16, CMP-17]</w:t>
      </w:r>
      <w:r>
        <w:t>.</w:t>
      </w:r>
    </w:p>
    <w:p>
      <w:pPr>
        <w:pStyle w:val="ListBullet"/>
      </w:pPr>
      <w:r>
        <w:rPr>
          <w:b/>
        </w:rPr>
        <w:t>Consolidation.</w:t>
      </w:r>
      <w:r>
        <w:t xml:space="preserve"> CRH/Cementbouw left ready-mix (2022–23); Heidelberg took over Kalle en Bakker's Maastricht customers (May 2026) </w:t>
      </w:r>
      <w:r>
        <w:rPr>
          <w:color w:val="6B6B6B"/>
          <w:sz w:val="17"/>
        </w:rPr>
        <w:t>[VERIFIED, CMP-33, CMP-38]</w:t>
      </w:r>
      <w:r>
        <w:t>.</w:t>
      </w:r>
    </w:p>
    <w:p>
      <w:pPr>
        <w:pStyle w:val="Heading2"/>
      </w:pPr>
      <w:r>
        <w:t>5.2 Positioning</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000"/>
        <w:gridCol w:w="2575"/>
        <w:gridCol w:w="2778"/>
        <w:gridCol w:w="2282"/>
      </w:tblGrid>
      <w:tr>
        <w:trPr>
          <w:cantSplit w:val="true"/>
          <w:tblHeader w:val="true"/>
        </w:trPr>
        <w:tc>
          <w:tcPr>
            <w:tcW w:type="dxa" w:w="2001"/>
            <w:shd w:val="clear" w:color="auto" w:fill="1F3A5F"/>
          </w:tcPr>
          <w:p>
            <w:pPr>
              <w:spacing w:before="0" w:after="0" w:line="252" w:lineRule="auto"/>
            </w:pPr>
            <w:r>
              <w:rPr>
                <w:b/>
                <w:color w:val="FFFFFF"/>
                <w:sz w:val="18"/>
              </w:rPr>
              <w:t>Scale / price ↓ — Circularity →</w:t>
            </w:r>
          </w:p>
        </w:tc>
        <w:tc>
          <w:tcPr>
            <w:tcW w:type="dxa" w:w="2576"/>
            <w:shd w:val="clear" w:color="auto" w:fill="1F3A5F"/>
          </w:tcPr>
          <w:p>
            <w:pPr>
              <w:spacing w:before="0" w:after="0" w:line="252" w:lineRule="auto"/>
            </w:pPr>
            <w:r>
              <w:rPr>
                <w:b/>
                <w:color w:val="FFFFFF"/>
                <w:sz w:val="18"/>
              </w:rPr>
              <w:t>Low</w:t>
            </w:r>
          </w:p>
        </w:tc>
        <w:tc>
          <w:tcPr>
            <w:tcW w:type="dxa" w:w="2779"/>
            <w:shd w:val="clear" w:color="auto" w:fill="1F3A5F"/>
          </w:tcPr>
          <w:p>
            <w:pPr>
              <w:spacing w:before="0" w:after="0" w:line="252" w:lineRule="auto"/>
            </w:pPr>
            <w:r>
              <w:rPr>
                <w:b/>
                <w:color w:val="FFFFFF"/>
                <w:sz w:val="18"/>
              </w:rPr>
              <w:t>Medium (30–100% coarse RCA and/or low-CO₂ binder)</w:t>
            </w:r>
          </w:p>
        </w:tc>
        <w:tc>
          <w:tcPr>
            <w:tcW w:type="dxa" w:w="2283"/>
            <w:shd w:val="clear" w:color="auto" w:fill="1F3A5F"/>
          </w:tcPr>
          <w:p>
            <w:pPr>
              <w:spacing w:before="0" w:after="0" w:line="252" w:lineRule="auto"/>
            </w:pPr>
            <w:r>
              <w:rPr>
                <w:b/>
                <w:color w:val="FFFFFF"/>
                <w:sz w:val="18"/>
              </w:rPr>
              <w:t>High (recycled sand + recovered cement)</w:t>
            </w:r>
          </w:p>
        </w:tc>
      </w:tr>
      <w:tr>
        <w:trPr>
          <w:cantSplit w:val="true"/>
        </w:trPr>
        <w:tc>
          <w:tcPr>
            <w:tcW w:type="dxa" w:w="2001"/>
          </w:tcPr>
          <w:p>
            <w:pPr>
              <w:spacing w:before="0" w:after="0" w:line="252" w:lineRule="auto"/>
            </w:pPr>
            <w:r>
              <w:rPr>
                <w:b/>
                <w:sz w:val="18"/>
              </w:rPr>
              <w:t>High</w:t>
            </w:r>
            <w:r>
              <w:rPr>
                <w:sz w:val="18"/>
              </w:rPr>
              <w:t xml:space="preserve"> (national network, own cement)</w:t>
            </w:r>
          </w:p>
        </w:tc>
        <w:tc>
          <w:tcPr>
            <w:tcW w:type="dxa" w:w="2576"/>
          </w:tcPr>
          <w:p>
            <w:pPr>
              <w:spacing w:before="0" w:after="0" w:line="252" w:lineRule="auto"/>
            </w:pPr>
            <w:r>
              <w:rPr>
                <w:sz w:val="18"/>
              </w:rPr>
              <w:t>Dyckerhoff Basal; De Hoop; Van Nieuwpoort (standard)</w:t>
            </w:r>
          </w:p>
        </w:tc>
        <w:tc>
          <w:tcPr>
            <w:tcW w:type="dxa" w:w="2779"/>
          </w:tcPr>
          <w:p>
            <w:pPr>
              <w:spacing w:before="0" w:after="0" w:line="252" w:lineRule="auto"/>
            </w:pPr>
            <w:r>
              <w:rPr>
                <w:sz w:val="18"/>
              </w:rPr>
              <w:t>Heidelberg (EcoCrete); VBI; Dycore</w:t>
            </w:r>
          </w:p>
        </w:tc>
        <w:tc>
          <w:tcPr>
            <w:tcW w:type="dxa" w:w="2283"/>
          </w:tcPr>
          <w:p>
            <w:pPr>
              <w:spacing w:before="0" w:after="0" w:line="252" w:lineRule="auto"/>
            </w:pPr>
            <w:r>
              <w:rPr>
                <w:sz w:val="18"/>
              </w:rPr>
              <w:t>(empty today — target of SL Materials)</w:t>
            </w:r>
          </w:p>
        </w:tc>
      </w:tr>
      <w:tr>
        <w:trPr>
          <w:cantSplit w:val="true"/>
        </w:trPr>
        <w:tc>
          <w:tcPr>
            <w:tcW w:type="dxa" w:w="2001"/>
            <w:shd w:val="clear" w:color="auto" w:fill="F2F5F9"/>
          </w:tcPr>
          <w:p>
            <w:pPr>
              <w:spacing w:before="0" w:after="0" w:line="252" w:lineRule="auto"/>
            </w:pPr>
            <w:r>
              <w:rPr>
                <w:b/>
                <w:sz w:val="18"/>
              </w:rPr>
              <w:t>Medium</w:t>
            </w:r>
            <w:r>
              <w:rPr>
                <w:sz w:val="18"/>
              </w:rPr>
              <w:t xml:space="preserve"> (1–5 plants)</w:t>
            </w:r>
          </w:p>
        </w:tc>
        <w:tc>
          <w:tcPr>
            <w:tcW w:type="dxa" w:w="2576"/>
            <w:shd w:val="clear" w:color="auto" w:fill="F2F5F9"/>
          </w:tcPr>
          <w:p>
            <w:pPr>
              <w:spacing w:before="0" w:after="0" w:line="252" w:lineRule="auto"/>
            </w:pPr>
            <w:r>
              <w:rPr>
                <w:sz w:val="18"/>
              </w:rPr>
              <w:t>Local independent plants</w:t>
            </w:r>
          </w:p>
        </w:tc>
        <w:tc>
          <w:tcPr>
            <w:tcW w:type="dxa" w:w="2779"/>
            <w:shd w:val="clear" w:color="auto" w:fill="F2F5F9"/>
          </w:tcPr>
          <w:p>
            <w:pPr>
              <w:spacing w:before="0" w:after="0" w:line="252" w:lineRule="auto"/>
            </w:pPr>
            <w:r>
              <w:rPr>
                <w:sz w:val="18"/>
              </w:rPr>
              <w:t xml:space="preserve">Theo Pouw; Holcim Landgraaf; </w:t>
            </w:r>
            <w:r>
              <w:rPr>
                <w:b/>
                <w:sz w:val="18"/>
              </w:rPr>
              <w:t>our base plant would sit here</w:t>
            </w:r>
          </w:p>
        </w:tc>
        <w:tc>
          <w:tcPr>
            <w:tcW w:type="dxa" w:w="2283"/>
            <w:shd w:val="clear" w:color="auto" w:fill="F2F5F9"/>
          </w:tcPr>
          <w:p>
            <w:pPr>
              <w:spacing w:before="0" w:after="0" w:line="252" w:lineRule="auto"/>
            </w:pPr>
            <w:r>
              <w:rPr>
                <w:sz w:val="18"/>
              </w:rPr>
              <w:t>SL Materials; Rouwmaat; Renewi (supplier)</w:t>
            </w:r>
          </w:p>
        </w:tc>
      </w:tr>
      <w:tr>
        <w:trPr>
          <w:cantSplit w:val="true"/>
        </w:trPr>
        <w:tc>
          <w:tcPr>
            <w:tcW w:type="dxa" w:w="2001"/>
          </w:tcPr>
          <w:p>
            <w:pPr>
              <w:spacing w:before="0" w:after="0" w:line="252" w:lineRule="auto"/>
            </w:pPr>
            <w:r>
              <w:rPr>
                <w:b/>
                <w:sz w:val="18"/>
              </w:rPr>
              <w:t>Low</w:t>
            </w:r>
            <w:r>
              <w:rPr>
                <w:sz w:val="18"/>
              </w:rPr>
              <w:t xml:space="preserve"> (pilot, licensor)</w:t>
            </w:r>
          </w:p>
        </w:tc>
        <w:tc>
          <w:tcPr>
            <w:tcW w:type="dxa" w:w="2576"/>
          </w:tcPr>
          <w:p>
            <w:pPr>
              <w:spacing w:before="0" w:after="0" w:line="252" w:lineRule="auto"/>
            </w:pPr>
            <w:r>
              <w:rPr>
                <w:sz w:val="18"/>
              </w:rPr>
              <w:t>–</w:t>
            </w:r>
          </w:p>
        </w:tc>
        <w:tc>
          <w:tcPr>
            <w:tcW w:type="dxa" w:w="2779"/>
          </w:tcPr>
          <w:p>
            <w:pPr>
              <w:spacing w:before="0" w:after="0" w:line="252" w:lineRule="auto"/>
            </w:pPr>
            <w:r>
              <w:rPr>
                <w:sz w:val="18"/>
              </w:rPr>
              <w:t>Twee "R"</w:t>
            </w:r>
          </w:p>
        </w:tc>
        <w:tc>
          <w:tcPr>
            <w:tcW w:type="dxa" w:w="2283"/>
          </w:tcPr>
          <w:p>
            <w:pPr>
              <w:spacing w:before="0" w:after="0" w:line="252" w:lineRule="auto"/>
            </w:pPr>
            <w:r>
              <w:rPr>
                <w:sz w:val="18"/>
              </w:rPr>
              <w:t>everox; Circulair Mineraal; SQAPE; Ecocem ACT</w:t>
            </w:r>
          </w:p>
        </w:tc>
      </w:tr>
    </w:tbl>
    <w:p>
      <w:pPr>
        <w:spacing w:before="0" w:after="40" w:line="240" w:lineRule="auto"/>
      </w:pPr>
    </w:p>
    <w:p>
      <w:r>
        <w:rPr>
          <w:color w:val="6B6B6B"/>
          <w:sz w:val="17"/>
        </w:rPr>
        <w:t>[ASSUMPTION on placement, A-CMP-13; facts VERIFIED, competitors.md §8]</w:t>
      </w:r>
      <w:r>
        <w:t xml:space="preserve">. Our base product (50% coarse RCA + CEM III/B) is </w:t>
      </w:r>
      <w:r>
        <w:rPr>
          <w:b/>
        </w:rPr>
        <w:t>"medium circularity at medium scale"</w:t>
      </w:r>
      <w:r>
        <w:t>: head-to-head with Heidelberg and Theo Pouw, at lower scale. That is a weak spot.</w:t>
      </w:r>
    </w:p>
    <w:p>
      <w:pPr>
        <w:pStyle w:val="Heading2"/>
      </w:pPr>
      <w:r>
        <w:t>5.3 Five Forces (1 = weak force, good for us; 5 = strong force, bad for us)</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645"/>
        <w:gridCol w:w="738"/>
        <w:gridCol w:w="7253"/>
      </w:tblGrid>
      <w:tr>
        <w:trPr>
          <w:cantSplit w:val="true"/>
          <w:tblHeader w:val="true"/>
        </w:trPr>
        <w:tc>
          <w:tcPr>
            <w:tcW w:type="dxa" w:w="1646"/>
            <w:shd w:val="clear" w:color="auto" w:fill="1F3A5F"/>
          </w:tcPr>
          <w:p>
            <w:pPr>
              <w:spacing w:before="0" w:after="0" w:line="252" w:lineRule="auto"/>
            </w:pPr>
            <w:r>
              <w:rPr>
                <w:b/>
                <w:color w:val="FFFFFF"/>
                <w:sz w:val="18"/>
              </w:rPr>
              <w:t>Force</w:t>
            </w:r>
          </w:p>
        </w:tc>
        <w:tc>
          <w:tcPr>
            <w:tcW w:type="dxa" w:w="738"/>
            <w:shd w:val="clear" w:color="auto" w:fill="1F3A5F"/>
          </w:tcPr>
          <w:p>
            <w:pPr>
              <w:spacing w:before="0" w:after="0" w:line="252" w:lineRule="auto"/>
            </w:pPr>
            <w:r>
              <w:rPr>
                <w:b/>
                <w:color w:val="FFFFFF"/>
                <w:sz w:val="18"/>
              </w:rPr>
              <w:t>Rating</w:t>
            </w:r>
          </w:p>
        </w:tc>
        <w:tc>
          <w:tcPr>
            <w:tcW w:type="dxa" w:w="7253"/>
            <w:shd w:val="clear" w:color="auto" w:fill="1F3A5F"/>
          </w:tcPr>
          <w:p>
            <w:pPr>
              <w:spacing w:before="0" w:after="0" w:line="252" w:lineRule="auto"/>
            </w:pPr>
            <w:r>
              <w:rPr>
                <w:b/>
                <w:color w:val="FFFFFF"/>
                <w:sz w:val="18"/>
              </w:rPr>
              <w:t>Why</w:t>
            </w:r>
          </w:p>
        </w:tc>
      </w:tr>
      <w:tr>
        <w:trPr>
          <w:cantSplit w:val="true"/>
        </w:trPr>
        <w:tc>
          <w:tcPr>
            <w:tcW w:type="dxa" w:w="1646"/>
          </w:tcPr>
          <w:p>
            <w:pPr>
              <w:spacing w:before="0" w:after="0" w:line="252" w:lineRule="auto"/>
            </w:pPr>
            <w:r>
              <w:rPr>
                <w:sz w:val="18"/>
              </w:rPr>
              <w:t>Rivalry</w:t>
            </w:r>
          </w:p>
        </w:tc>
        <w:tc>
          <w:tcPr>
            <w:tcW w:type="dxa" w:w="738"/>
          </w:tcPr>
          <w:p>
            <w:pPr>
              <w:spacing w:before="0" w:after="0" w:line="252" w:lineRule="auto"/>
              <w:jc w:val="center"/>
            </w:pPr>
            <w:r>
              <w:rPr>
                <w:b/>
                <w:sz w:val="18"/>
              </w:rPr>
              <w:t>4</w:t>
            </w:r>
          </w:p>
        </w:tc>
        <w:tc>
          <w:tcPr>
            <w:tcW w:type="dxa" w:w="7253"/>
          </w:tcPr>
          <w:p>
            <w:pPr>
              <w:spacing w:before="0" w:after="0" w:line="252" w:lineRule="auto"/>
            </w:pPr>
            <w:r>
              <w:rPr>
                <w:sz w:val="18"/>
              </w:rPr>
              <w:t>178 plants for 6.0 Mm³; volume −20% in 2023; incumbents already sell green lines at small surcharges; a €100M-funded specialist</w:t>
            </w:r>
          </w:p>
        </w:tc>
      </w:tr>
      <w:tr>
        <w:trPr>
          <w:cantSplit w:val="true"/>
        </w:trPr>
        <w:tc>
          <w:tcPr>
            <w:tcW w:type="dxa" w:w="1646"/>
            <w:shd w:val="clear" w:color="auto" w:fill="F2F5F9"/>
          </w:tcPr>
          <w:p>
            <w:pPr>
              <w:spacing w:before="0" w:after="0" w:line="252" w:lineRule="auto"/>
            </w:pPr>
            <w:r>
              <w:rPr>
                <w:sz w:val="18"/>
              </w:rPr>
              <w:t>Threat of new entrants</w:t>
            </w:r>
          </w:p>
        </w:tc>
        <w:tc>
          <w:tcPr>
            <w:tcW w:type="dxa" w:w="738"/>
            <w:shd w:val="clear" w:color="auto" w:fill="F2F5F9"/>
          </w:tcPr>
          <w:p>
            <w:pPr>
              <w:spacing w:before="0" w:after="0" w:line="252" w:lineRule="auto"/>
              <w:jc w:val="center"/>
            </w:pPr>
            <w:r>
              <w:rPr>
                <w:sz w:val="18"/>
              </w:rPr>
              <w:t>3</w:t>
            </w:r>
          </w:p>
        </w:tc>
        <w:tc>
          <w:tcPr>
            <w:tcW w:type="dxa" w:w="7253"/>
            <w:shd w:val="clear" w:color="auto" w:fill="F2F5F9"/>
          </w:tcPr>
          <w:p>
            <w:pPr>
              <w:spacing w:before="0" w:after="0" w:line="252" w:lineRule="auto"/>
            </w:pPr>
            <w:r>
              <w:rPr>
                <w:sz w:val="18"/>
              </w:rPr>
              <w:t>Entry is happening (SL Materials, everox, Circulair Mineraal); licensors lower the bar for everyone</w:t>
            </w:r>
          </w:p>
        </w:tc>
      </w:tr>
      <w:tr>
        <w:trPr>
          <w:cantSplit w:val="true"/>
        </w:trPr>
        <w:tc>
          <w:tcPr>
            <w:tcW w:type="dxa" w:w="1646"/>
          </w:tcPr>
          <w:p>
            <w:pPr>
              <w:spacing w:before="0" w:after="0" w:line="252" w:lineRule="auto"/>
            </w:pPr>
            <w:r>
              <w:rPr>
                <w:sz w:val="18"/>
              </w:rPr>
              <w:t>Supplier power</w:t>
            </w:r>
          </w:p>
        </w:tc>
        <w:tc>
          <w:tcPr>
            <w:tcW w:type="dxa" w:w="738"/>
          </w:tcPr>
          <w:p>
            <w:pPr>
              <w:spacing w:before="0" w:after="0" w:line="252" w:lineRule="auto"/>
              <w:jc w:val="center"/>
            </w:pPr>
            <w:r>
              <w:rPr>
                <w:b/>
                <w:sz w:val="18"/>
              </w:rPr>
              <w:t>4</w:t>
            </w:r>
          </w:p>
        </w:tc>
        <w:tc>
          <w:tcPr>
            <w:tcW w:type="dxa" w:w="7253"/>
          </w:tcPr>
          <w:p>
            <w:pPr>
              <w:spacing w:before="0" w:after="0" w:line="252" w:lineRule="auto"/>
            </w:pPr>
            <w:r>
              <w:rPr>
                <w:sz w:val="18"/>
              </w:rPr>
              <w:t>Cement is concentrated (ENCI/Heidelberg had 50–60% in the last public figure); some suppliers are also rivals; clean rubble is held by demolition firms</w:t>
            </w:r>
          </w:p>
        </w:tc>
      </w:tr>
      <w:tr>
        <w:trPr>
          <w:cantSplit w:val="true"/>
        </w:trPr>
        <w:tc>
          <w:tcPr>
            <w:tcW w:type="dxa" w:w="1646"/>
            <w:shd w:val="clear" w:color="auto" w:fill="F2F5F9"/>
          </w:tcPr>
          <w:p>
            <w:pPr>
              <w:spacing w:before="0" w:after="0" w:line="252" w:lineRule="auto"/>
            </w:pPr>
            <w:r>
              <w:rPr>
                <w:sz w:val="18"/>
              </w:rPr>
              <w:t>Buyer power</w:t>
            </w:r>
          </w:p>
        </w:tc>
        <w:tc>
          <w:tcPr>
            <w:tcW w:type="dxa" w:w="738"/>
            <w:shd w:val="clear" w:color="auto" w:fill="F2F5F9"/>
          </w:tcPr>
          <w:p>
            <w:pPr>
              <w:spacing w:before="0" w:after="0" w:line="252" w:lineRule="auto"/>
              <w:jc w:val="center"/>
            </w:pPr>
            <w:r>
              <w:rPr>
                <w:b/>
                <w:sz w:val="18"/>
              </w:rPr>
              <w:t>4</w:t>
            </w:r>
          </w:p>
        </w:tc>
        <w:tc>
          <w:tcPr>
            <w:tcW w:type="dxa" w:w="7253"/>
            <w:shd w:val="clear" w:color="auto" w:fill="F2F5F9"/>
          </w:tcPr>
          <w:p>
            <w:pPr>
              <w:spacing w:before="0" w:after="0" w:line="252" w:lineRule="auto"/>
            </w:pPr>
            <w:r>
              <w:rPr>
                <w:sz w:val="18"/>
              </w:rPr>
              <w:t>Large contractors buy in bulk; some own their supplier; switching cost is low</w:t>
            </w:r>
          </w:p>
        </w:tc>
      </w:tr>
      <w:tr>
        <w:trPr>
          <w:cantSplit w:val="true"/>
        </w:trPr>
        <w:tc>
          <w:tcPr>
            <w:tcW w:type="dxa" w:w="1646"/>
          </w:tcPr>
          <w:p>
            <w:pPr>
              <w:spacing w:before="0" w:after="0" w:line="252" w:lineRule="auto"/>
            </w:pPr>
            <w:r>
              <w:rPr>
                <w:sz w:val="18"/>
              </w:rPr>
              <w:t>Substitutes</w:t>
            </w:r>
          </w:p>
        </w:tc>
        <w:tc>
          <w:tcPr>
            <w:tcW w:type="dxa" w:w="738"/>
          </w:tcPr>
          <w:p>
            <w:pPr>
              <w:spacing w:before="0" w:after="0" w:line="252" w:lineRule="auto"/>
              <w:jc w:val="center"/>
            </w:pPr>
            <w:r>
              <w:rPr>
                <w:sz w:val="18"/>
              </w:rPr>
              <w:t>3</w:t>
            </w:r>
          </w:p>
        </w:tc>
        <w:tc>
          <w:tcPr>
            <w:tcW w:type="dxa" w:w="7253"/>
          </w:tcPr>
          <w:p>
            <w:pPr>
              <w:spacing w:before="0" w:after="0" w:line="252" w:lineRule="auto"/>
            </w:pPr>
            <w:r>
              <w:rPr>
                <w:sz w:val="18"/>
              </w:rPr>
              <w:t>Incumbents' low-CO₂ conventional concrete; timber/hybrid; element reuse</w:t>
            </w:r>
          </w:p>
        </w:tc>
      </w:tr>
    </w:tbl>
    <w:p>
      <w:pPr>
        <w:spacing w:before="0" w:after="40" w:line="240" w:lineRule="auto"/>
      </w:pPr>
    </w:p>
    <w:p>
      <w:r>
        <w:rPr>
          <w:color w:val="6B6B6B"/>
          <w:sz w:val="17"/>
        </w:rPr>
        <w:t>[VERIFIED facts, ESTIMATE ratings; competitors.md §9]</w:t>
      </w:r>
      <w:r>
        <w:t xml:space="preserve">. </w:t>
      </w:r>
      <w:r>
        <w:rPr>
          <w:b/>
        </w:rPr>
        <w:t>Attractiveness for a stand-alone new ready-mix entrant: low to medium.</w:t>
      </w:r>
    </w:p>
    <w:p>
      <w:r>
        <w:br w:type="page"/>
      </w:r>
    </w:p>
    <w:p>
      <w:pPr>
        <w:pStyle w:val="Heading1"/>
      </w:pPr>
      <w:r>
        <w:t>6. Price and cost breakdown</w:t>
      </w:r>
    </w:p>
    <w:p>
      <w:r>
        <w:t xml:space="preserve">Values per m³ delivered in </w:t>
      </w:r>
      <w:r>
        <w:rPr>
          <w:b/>
        </w:rPr>
        <w:t>2030</w:t>
      </w:r>
      <w:r>
        <w:t>, the first full-output year (70,000 m³), base case. "Plant average" = all strength classes, 60% circular and 40% standard volume.</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5460"/>
        <w:gridCol w:w="1019"/>
        <w:gridCol w:w="1019"/>
        <w:gridCol w:w="1217"/>
        <w:gridCol w:w="921"/>
      </w:tblGrid>
      <w:tr>
        <w:trPr>
          <w:cantSplit w:val="true"/>
          <w:tblHeader w:val="true"/>
        </w:trPr>
        <w:tc>
          <w:tcPr>
            <w:tcW w:type="dxa" w:w="5460"/>
            <w:shd w:val="clear" w:color="auto" w:fill="1F3A5F"/>
          </w:tcPr>
          <w:p>
            <w:pPr>
              <w:spacing w:before="0" w:after="0" w:line="252" w:lineRule="auto"/>
            </w:pPr>
            <w:r>
              <w:rPr>
                <w:b/>
                <w:color w:val="FFFFFF"/>
                <w:sz w:val="17"/>
              </w:rPr>
              <w:t>€ per m³ (2030)</w:t>
            </w:r>
          </w:p>
        </w:tc>
        <w:tc>
          <w:tcPr>
            <w:tcW w:type="dxa" w:w="1020"/>
            <w:shd w:val="clear" w:color="auto" w:fill="1F3A5F"/>
          </w:tcPr>
          <w:p>
            <w:pPr>
              <w:spacing w:before="0" w:after="0" w:line="252" w:lineRule="auto"/>
            </w:pPr>
            <w:r>
              <w:rPr>
                <w:b/>
                <w:color w:val="FFFFFF"/>
                <w:sz w:val="17"/>
              </w:rPr>
              <w:t>Circular mix</w:t>
            </w:r>
          </w:p>
        </w:tc>
        <w:tc>
          <w:tcPr>
            <w:tcW w:type="dxa" w:w="1020"/>
            <w:shd w:val="clear" w:color="auto" w:fill="1F3A5F"/>
          </w:tcPr>
          <w:p>
            <w:pPr>
              <w:spacing w:before="0" w:after="0" w:line="252" w:lineRule="auto"/>
            </w:pPr>
            <w:r>
              <w:rPr>
                <w:b/>
                <w:color w:val="FFFFFF"/>
                <w:sz w:val="17"/>
              </w:rPr>
              <w:t>Standard mix (CEM III/B)</w:t>
            </w:r>
          </w:p>
        </w:tc>
        <w:tc>
          <w:tcPr>
            <w:tcW w:type="dxa" w:w="1217"/>
            <w:shd w:val="clear" w:color="auto" w:fill="1F3A5F"/>
          </w:tcPr>
          <w:p>
            <w:pPr>
              <w:spacing w:before="0" w:after="0" w:line="252" w:lineRule="auto"/>
            </w:pPr>
            <w:r>
              <w:rPr>
                <w:b/>
                <w:color w:val="FFFFFF"/>
                <w:sz w:val="17"/>
              </w:rPr>
              <w:t>Difference</w:t>
            </w:r>
          </w:p>
        </w:tc>
        <w:tc>
          <w:tcPr>
            <w:tcW w:type="dxa" w:w="921"/>
            <w:shd w:val="clear" w:color="auto" w:fill="1F3A5F"/>
          </w:tcPr>
          <w:p>
            <w:pPr>
              <w:spacing w:before="0" w:after="0" w:line="252" w:lineRule="auto"/>
            </w:pPr>
            <w:r>
              <w:rPr>
                <w:b/>
                <w:color w:val="FFFFFF"/>
                <w:sz w:val="17"/>
              </w:rPr>
              <w:t>Plant average</w:t>
            </w:r>
          </w:p>
        </w:tc>
      </w:tr>
      <w:tr>
        <w:trPr>
          <w:cantSplit w:val="true"/>
        </w:trPr>
        <w:tc>
          <w:tcPr>
            <w:tcW w:type="dxa" w:w="5460"/>
          </w:tcPr>
          <w:p>
            <w:pPr>
              <w:spacing w:before="0" w:after="0" w:line="252" w:lineRule="auto"/>
            </w:pPr>
            <w:r>
              <w:rPr>
                <w:b/>
                <w:sz w:val="17"/>
              </w:rPr>
              <w:t>Selling price</w:t>
            </w:r>
            <w:r>
              <w:rPr>
                <w:sz w:val="17"/>
              </w:rPr>
              <w:t xml:space="preserve"> (incl. premium and carbon pass-through)</w:t>
            </w:r>
          </w:p>
        </w:tc>
        <w:tc>
          <w:tcPr>
            <w:tcW w:type="dxa" w:w="1020"/>
          </w:tcPr>
          <w:p>
            <w:pPr>
              <w:spacing w:before="0" w:after="0" w:line="252" w:lineRule="auto"/>
              <w:jc w:val="center"/>
            </w:pPr>
            <w:r>
              <w:rPr>
                <w:b/>
                <w:sz w:val="17"/>
              </w:rPr>
              <w:t>137.6</w:t>
            </w:r>
          </w:p>
        </w:tc>
        <w:tc>
          <w:tcPr>
            <w:tcW w:type="dxa" w:w="1020"/>
          </w:tcPr>
          <w:p>
            <w:pPr>
              <w:spacing w:before="0" w:after="0" w:line="252" w:lineRule="auto"/>
              <w:jc w:val="center"/>
            </w:pPr>
            <w:r>
              <w:rPr>
                <w:b/>
                <w:sz w:val="17"/>
              </w:rPr>
              <w:t>136.7</w:t>
            </w:r>
          </w:p>
        </w:tc>
        <w:tc>
          <w:tcPr>
            <w:tcW w:type="dxa" w:w="1217"/>
          </w:tcPr>
          <w:p>
            <w:pPr>
              <w:spacing w:before="0" w:after="0" w:line="252" w:lineRule="auto"/>
              <w:jc w:val="center"/>
            </w:pPr>
            <w:r>
              <w:rPr>
                <w:sz w:val="17"/>
              </w:rPr>
              <w:t>+0.8</w:t>
            </w:r>
          </w:p>
        </w:tc>
        <w:tc>
          <w:tcPr>
            <w:tcW w:type="dxa" w:w="921"/>
          </w:tcPr>
          <w:p>
            <w:pPr>
              <w:spacing w:before="0" w:after="0" w:line="252" w:lineRule="auto"/>
              <w:jc w:val="center"/>
            </w:pPr>
            <w:r>
              <w:rPr>
                <w:b/>
                <w:sz w:val="17"/>
              </w:rPr>
              <w:t>137.2</w:t>
            </w:r>
          </w:p>
        </w:tc>
      </w:tr>
      <w:tr>
        <w:trPr>
          <w:cantSplit w:val="true"/>
        </w:trPr>
        <w:tc>
          <w:tcPr>
            <w:tcW w:type="dxa" w:w="5460"/>
            <w:shd w:val="clear" w:color="auto" w:fill="F2F5F9"/>
          </w:tcPr>
          <w:p>
            <w:pPr>
              <w:spacing w:before="0" w:after="0" w:line="252" w:lineRule="auto"/>
            </w:pPr>
            <w:r>
              <w:rPr>
                <w:sz w:val="17"/>
              </w:rPr>
              <w:t>Cement (CEM III/B, incl. carbon cost)</w:t>
            </w:r>
          </w:p>
        </w:tc>
        <w:tc>
          <w:tcPr>
            <w:tcW w:type="dxa" w:w="1020"/>
            <w:shd w:val="clear" w:color="auto" w:fill="F2F5F9"/>
          </w:tcPr>
          <w:p>
            <w:pPr>
              <w:spacing w:before="0" w:after="0" w:line="252" w:lineRule="auto"/>
              <w:jc w:val="center"/>
            </w:pPr>
            <w:r>
              <w:rPr>
                <w:sz w:val="17"/>
              </w:rPr>
              <w:t>38.0</w:t>
            </w:r>
          </w:p>
        </w:tc>
        <w:tc>
          <w:tcPr>
            <w:tcW w:type="dxa" w:w="1020"/>
            <w:shd w:val="clear" w:color="auto" w:fill="F2F5F9"/>
          </w:tcPr>
          <w:p>
            <w:pPr>
              <w:spacing w:before="0" w:after="0" w:line="252" w:lineRule="auto"/>
              <w:jc w:val="center"/>
            </w:pPr>
            <w:r>
              <w:rPr>
                <w:sz w:val="17"/>
              </w:rPr>
              <w:t>36.3</w:t>
            </w:r>
          </w:p>
        </w:tc>
        <w:tc>
          <w:tcPr>
            <w:tcW w:type="dxa" w:w="1217"/>
            <w:shd w:val="clear" w:color="auto" w:fill="F2F5F9"/>
          </w:tcPr>
          <w:p>
            <w:pPr>
              <w:spacing w:before="0" w:after="0" w:line="252" w:lineRule="auto"/>
              <w:jc w:val="center"/>
            </w:pPr>
            <w:r>
              <w:rPr>
                <w:sz w:val="17"/>
              </w:rPr>
              <w:t>+1.8</w:t>
            </w:r>
          </w:p>
        </w:tc>
        <w:tc>
          <w:tcPr>
            <w:tcW w:type="dxa" w:w="921"/>
            <w:shd w:val="clear" w:color="auto" w:fill="F2F5F9"/>
          </w:tcPr>
          <w:p>
            <w:pPr>
              <w:spacing w:before="0" w:after="0" w:line="252" w:lineRule="auto"/>
              <w:jc w:val="center"/>
            </w:pPr>
            <w:r>
              <w:rPr>
                <w:sz w:val="17"/>
              </w:rPr>
              <w:t>37.3</w:t>
            </w:r>
          </w:p>
        </w:tc>
      </w:tr>
      <w:tr>
        <w:trPr>
          <w:cantSplit w:val="true"/>
        </w:trPr>
        <w:tc>
          <w:tcPr>
            <w:tcW w:type="dxa" w:w="5460"/>
          </w:tcPr>
          <w:p>
            <w:pPr>
              <w:spacing w:before="0" w:after="0" w:line="252" w:lineRule="auto"/>
            </w:pPr>
            <w:r>
              <w:rPr>
                <w:sz w:val="17"/>
              </w:rPr>
              <w:t>Gravel</w:t>
            </w:r>
          </w:p>
        </w:tc>
        <w:tc>
          <w:tcPr>
            <w:tcW w:type="dxa" w:w="1020"/>
          </w:tcPr>
          <w:p>
            <w:pPr>
              <w:spacing w:before="0" w:after="0" w:line="252" w:lineRule="auto"/>
              <w:jc w:val="center"/>
            </w:pPr>
            <w:r>
              <w:rPr>
                <w:sz w:val="17"/>
              </w:rPr>
              <w:t>19.8</w:t>
            </w:r>
          </w:p>
        </w:tc>
        <w:tc>
          <w:tcPr>
            <w:tcW w:type="dxa" w:w="1020"/>
          </w:tcPr>
          <w:p>
            <w:pPr>
              <w:spacing w:before="0" w:after="0" w:line="252" w:lineRule="auto"/>
              <w:jc w:val="center"/>
            </w:pPr>
            <w:r>
              <w:rPr>
                <w:sz w:val="17"/>
              </w:rPr>
              <w:t>39.7</w:t>
            </w:r>
          </w:p>
        </w:tc>
        <w:tc>
          <w:tcPr>
            <w:tcW w:type="dxa" w:w="1217"/>
          </w:tcPr>
          <w:p>
            <w:pPr>
              <w:spacing w:before="0" w:after="0" w:line="252" w:lineRule="auto"/>
              <w:jc w:val="center"/>
            </w:pPr>
            <w:r>
              <w:rPr>
                <w:sz w:val="17"/>
              </w:rPr>
              <w:t>−19.9</w:t>
            </w:r>
          </w:p>
        </w:tc>
        <w:tc>
          <w:tcPr>
            <w:tcW w:type="dxa" w:w="921"/>
          </w:tcPr>
          <w:p>
            <w:pPr>
              <w:spacing w:before="0" w:after="0" w:line="252" w:lineRule="auto"/>
              <w:jc w:val="center"/>
            </w:pPr>
            <w:r>
              <w:rPr>
                <w:sz w:val="17"/>
              </w:rPr>
              <w:t>27.8</w:t>
            </w:r>
          </w:p>
        </w:tc>
      </w:tr>
      <w:tr>
        <w:trPr>
          <w:cantSplit w:val="true"/>
        </w:trPr>
        <w:tc>
          <w:tcPr>
            <w:tcW w:type="dxa" w:w="5460"/>
            <w:shd w:val="clear" w:color="auto" w:fill="F2F5F9"/>
          </w:tcPr>
          <w:p>
            <w:pPr>
              <w:spacing w:before="0" w:after="0" w:line="252" w:lineRule="auto"/>
            </w:pPr>
            <w:r>
              <w:rPr>
                <w:sz w:val="17"/>
              </w:rPr>
              <w:t>Recycled coarse aggregate (RCA), delivered</w:t>
            </w:r>
          </w:p>
        </w:tc>
        <w:tc>
          <w:tcPr>
            <w:tcW w:type="dxa" w:w="1020"/>
            <w:shd w:val="clear" w:color="auto" w:fill="F2F5F9"/>
          </w:tcPr>
          <w:p>
            <w:pPr>
              <w:spacing w:before="0" w:after="0" w:line="252" w:lineRule="auto"/>
              <w:jc w:val="center"/>
            </w:pPr>
            <w:r>
              <w:rPr>
                <w:sz w:val="17"/>
              </w:rPr>
              <w:t>13.7</w:t>
            </w:r>
          </w:p>
        </w:tc>
        <w:tc>
          <w:tcPr>
            <w:tcW w:type="dxa" w:w="1020"/>
            <w:shd w:val="clear" w:color="auto" w:fill="F2F5F9"/>
          </w:tcPr>
          <w:p>
            <w:pPr>
              <w:spacing w:before="0" w:after="0" w:line="252" w:lineRule="auto"/>
              <w:jc w:val="center"/>
            </w:pPr>
            <w:r>
              <w:rPr>
                <w:sz w:val="17"/>
              </w:rPr>
              <w:t>0.0</w:t>
            </w:r>
          </w:p>
        </w:tc>
        <w:tc>
          <w:tcPr>
            <w:tcW w:type="dxa" w:w="1217"/>
            <w:shd w:val="clear" w:color="auto" w:fill="F2F5F9"/>
          </w:tcPr>
          <w:p>
            <w:pPr>
              <w:spacing w:before="0" w:after="0" w:line="252" w:lineRule="auto"/>
              <w:jc w:val="center"/>
            </w:pPr>
            <w:r>
              <w:rPr>
                <w:sz w:val="17"/>
              </w:rPr>
              <w:t>+13.7</w:t>
            </w:r>
          </w:p>
        </w:tc>
        <w:tc>
          <w:tcPr>
            <w:tcW w:type="dxa" w:w="921"/>
            <w:shd w:val="clear" w:color="auto" w:fill="F2F5F9"/>
          </w:tcPr>
          <w:p>
            <w:pPr>
              <w:spacing w:before="0" w:after="0" w:line="252" w:lineRule="auto"/>
              <w:jc w:val="center"/>
            </w:pPr>
            <w:r>
              <w:rPr>
                <w:sz w:val="17"/>
              </w:rPr>
              <w:t>8.2</w:t>
            </w:r>
          </w:p>
        </w:tc>
      </w:tr>
      <w:tr>
        <w:trPr>
          <w:cantSplit w:val="true"/>
        </w:trPr>
        <w:tc>
          <w:tcPr>
            <w:tcW w:type="dxa" w:w="5460"/>
          </w:tcPr>
          <w:p>
            <w:pPr>
              <w:spacing w:before="0" w:after="0" w:line="252" w:lineRule="auto"/>
            </w:pPr>
            <w:r>
              <w:rPr>
                <w:sz w:val="17"/>
              </w:rPr>
              <w:t>Sand</w:t>
            </w:r>
          </w:p>
        </w:tc>
        <w:tc>
          <w:tcPr>
            <w:tcW w:type="dxa" w:w="1020"/>
          </w:tcPr>
          <w:p>
            <w:pPr>
              <w:spacing w:before="0" w:after="0" w:line="252" w:lineRule="auto"/>
              <w:jc w:val="center"/>
            </w:pPr>
            <w:r>
              <w:rPr>
                <w:sz w:val="17"/>
              </w:rPr>
              <w:t>12.0</w:t>
            </w:r>
          </w:p>
        </w:tc>
        <w:tc>
          <w:tcPr>
            <w:tcW w:type="dxa" w:w="1020"/>
          </w:tcPr>
          <w:p>
            <w:pPr>
              <w:spacing w:before="0" w:after="0" w:line="252" w:lineRule="auto"/>
              <w:jc w:val="center"/>
            </w:pPr>
            <w:r>
              <w:rPr>
                <w:sz w:val="17"/>
              </w:rPr>
              <w:t>12.1</w:t>
            </w:r>
          </w:p>
        </w:tc>
        <w:tc>
          <w:tcPr>
            <w:tcW w:type="dxa" w:w="1217"/>
          </w:tcPr>
          <w:p>
            <w:pPr>
              <w:spacing w:before="0" w:after="0" w:line="252" w:lineRule="auto"/>
              <w:jc w:val="center"/>
            </w:pPr>
            <w:r>
              <w:rPr>
                <w:sz w:val="17"/>
              </w:rPr>
              <w:t>−0.2</w:t>
            </w:r>
          </w:p>
        </w:tc>
        <w:tc>
          <w:tcPr>
            <w:tcW w:type="dxa" w:w="921"/>
          </w:tcPr>
          <w:p>
            <w:pPr>
              <w:spacing w:before="0" w:after="0" w:line="252" w:lineRule="auto"/>
              <w:jc w:val="center"/>
            </w:pPr>
            <w:r>
              <w:rPr>
                <w:sz w:val="17"/>
              </w:rPr>
              <w:t>12.0</w:t>
            </w:r>
          </w:p>
        </w:tc>
      </w:tr>
      <w:tr>
        <w:trPr>
          <w:cantSplit w:val="true"/>
        </w:trPr>
        <w:tc>
          <w:tcPr>
            <w:tcW w:type="dxa" w:w="5460"/>
            <w:shd w:val="clear" w:color="auto" w:fill="F2F5F9"/>
          </w:tcPr>
          <w:p>
            <w:pPr>
              <w:spacing w:before="0" w:after="0" w:line="252" w:lineRule="auto"/>
            </w:pPr>
            <w:r>
              <w:rPr>
                <w:sz w:val="17"/>
              </w:rPr>
              <w:t>Admixture and water</w:t>
            </w:r>
          </w:p>
        </w:tc>
        <w:tc>
          <w:tcPr>
            <w:tcW w:type="dxa" w:w="1020"/>
            <w:shd w:val="clear" w:color="auto" w:fill="F2F5F9"/>
          </w:tcPr>
          <w:p>
            <w:pPr>
              <w:spacing w:before="0" w:after="0" w:line="252" w:lineRule="auto"/>
              <w:jc w:val="center"/>
            </w:pPr>
            <w:r>
              <w:rPr>
                <w:sz w:val="17"/>
              </w:rPr>
              <w:t>4.3</w:t>
            </w:r>
          </w:p>
        </w:tc>
        <w:tc>
          <w:tcPr>
            <w:tcW w:type="dxa" w:w="1020"/>
            <w:shd w:val="clear" w:color="auto" w:fill="F2F5F9"/>
          </w:tcPr>
          <w:p>
            <w:pPr>
              <w:spacing w:before="0" w:after="0" w:line="252" w:lineRule="auto"/>
              <w:jc w:val="center"/>
            </w:pPr>
            <w:r>
              <w:rPr>
                <w:sz w:val="17"/>
              </w:rPr>
              <w:t>3.2</w:t>
            </w:r>
          </w:p>
        </w:tc>
        <w:tc>
          <w:tcPr>
            <w:tcW w:type="dxa" w:w="1217"/>
            <w:shd w:val="clear" w:color="auto" w:fill="F2F5F9"/>
          </w:tcPr>
          <w:p>
            <w:pPr>
              <w:spacing w:before="0" w:after="0" w:line="252" w:lineRule="auto"/>
              <w:jc w:val="center"/>
            </w:pPr>
            <w:r>
              <w:rPr>
                <w:sz w:val="17"/>
              </w:rPr>
              <w:t>+1.1</w:t>
            </w:r>
          </w:p>
        </w:tc>
        <w:tc>
          <w:tcPr>
            <w:tcW w:type="dxa" w:w="921"/>
            <w:shd w:val="clear" w:color="auto" w:fill="F2F5F9"/>
          </w:tcPr>
          <w:p>
            <w:pPr>
              <w:spacing w:before="0" w:after="0" w:line="252" w:lineRule="auto"/>
              <w:jc w:val="center"/>
            </w:pPr>
            <w:r>
              <w:rPr>
                <w:sz w:val="17"/>
              </w:rPr>
              <w:t>3.9</w:t>
            </w:r>
          </w:p>
        </w:tc>
      </w:tr>
      <w:tr>
        <w:trPr>
          <w:cantSplit w:val="true"/>
        </w:trPr>
        <w:tc>
          <w:tcPr>
            <w:tcW w:type="dxa" w:w="5460"/>
          </w:tcPr>
          <w:p>
            <w:pPr>
              <w:spacing w:before="0" w:after="0" w:line="252" w:lineRule="auto"/>
            </w:pPr>
            <w:r>
              <w:rPr>
                <w:sz w:val="17"/>
              </w:rPr>
              <w:t>RCA lot testing and handling</w:t>
            </w:r>
          </w:p>
        </w:tc>
        <w:tc>
          <w:tcPr>
            <w:tcW w:type="dxa" w:w="1020"/>
          </w:tcPr>
          <w:p>
            <w:pPr>
              <w:spacing w:before="0" w:after="0" w:line="252" w:lineRule="auto"/>
              <w:jc w:val="center"/>
            </w:pPr>
            <w:r>
              <w:rPr>
                <w:sz w:val="17"/>
              </w:rPr>
              <w:t>1.0</w:t>
            </w:r>
          </w:p>
        </w:tc>
        <w:tc>
          <w:tcPr>
            <w:tcW w:type="dxa" w:w="1020"/>
          </w:tcPr>
          <w:p>
            <w:pPr>
              <w:spacing w:before="0" w:after="0" w:line="252" w:lineRule="auto"/>
              <w:jc w:val="center"/>
            </w:pPr>
            <w:r>
              <w:rPr>
                <w:sz w:val="17"/>
              </w:rPr>
              <w:t>0.0</w:t>
            </w:r>
          </w:p>
        </w:tc>
        <w:tc>
          <w:tcPr>
            <w:tcW w:type="dxa" w:w="1217"/>
          </w:tcPr>
          <w:p>
            <w:pPr>
              <w:spacing w:before="0" w:after="0" w:line="252" w:lineRule="auto"/>
              <w:jc w:val="center"/>
            </w:pPr>
            <w:r>
              <w:rPr>
                <w:sz w:val="17"/>
              </w:rPr>
              <w:t>+1.0</w:t>
            </w:r>
          </w:p>
        </w:tc>
        <w:tc>
          <w:tcPr>
            <w:tcW w:type="dxa" w:w="921"/>
          </w:tcPr>
          <w:p>
            <w:pPr>
              <w:spacing w:before="0" w:after="0" w:line="252" w:lineRule="auto"/>
              <w:jc w:val="center"/>
            </w:pPr>
            <w:r>
              <w:rPr>
                <w:sz w:val="17"/>
              </w:rPr>
              <w:t>0.6</w:t>
            </w:r>
          </w:p>
        </w:tc>
      </w:tr>
      <w:tr>
        <w:trPr>
          <w:cantSplit w:val="true"/>
        </w:trPr>
        <w:tc>
          <w:tcPr>
            <w:tcW w:type="dxa" w:w="5460"/>
            <w:shd w:val="clear" w:color="auto" w:fill="F2F5F9"/>
          </w:tcPr>
          <w:p>
            <w:pPr>
              <w:spacing w:before="0" w:after="0" w:line="252" w:lineRule="auto"/>
            </w:pPr>
            <w:r>
              <w:rPr>
                <w:sz w:val="17"/>
              </w:rPr>
              <w:t>Delivery by truck mixer (20 km, 9 m³ load)</w:t>
            </w:r>
          </w:p>
        </w:tc>
        <w:tc>
          <w:tcPr>
            <w:tcW w:type="dxa" w:w="1020"/>
            <w:shd w:val="clear" w:color="auto" w:fill="F2F5F9"/>
          </w:tcPr>
          <w:p>
            <w:pPr>
              <w:spacing w:before="0" w:after="0" w:line="252" w:lineRule="auto"/>
              <w:jc w:val="center"/>
            </w:pPr>
            <w:r>
              <w:rPr>
                <w:sz w:val="17"/>
              </w:rPr>
              <w:t>21.1</w:t>
            </w:r>
          </w:p>
        </w:tc>
        <w:tc>
          <w:tcPr>
            <w:tcW w:type="dxa" w:w="1020"/>
            <w:shd w:val="clear" w:color="auto" w:fill="F2F5F9"/>
          </w:tcPr>
          <w:p>
            <w:pPr>
              <w:spacing w:before="0" w:after="0" w:line="252" w:lineRule="auto"/>
              <w:jc w:val="center"/>
            </w:pPr>
            <w:r>
              <w:rPr>
                <w:sz w:val="17"/>
              </w:rPr>
              <w:t>21.1</w:t>
            </w:r>
          </w:p>
        </w:tc>
        <w:tc>
          <w:tcPr>
            <w:tcW w:type="dxa" w:w="1217"/>
            <w:shd w:val="clear" w:color="auto" w:fill="F2F5F9"/>
          </w:tcPr>
          <w:p>
            <w:pPr>
              <w:spacing w:before="0" w:after="0" w:line="252" w:lineRule="auto"/>
              <w:jc w:val="center"/>
            </w:pPr>
            <w:r>
              <w:rPr>
                <w:sz w:val="17"/>
              </w:rPr>
              <w:t>0.0</w:t>
            </w:r>
          </w:p>
        </w:tc>
        <w:tc>
          <w:tcPr>
            <w:tcW w:type="dxa" w:w="921"/>
            <w:shd w:val="clear" w:color="auto" w:fill="F2F5F9"/>
          </w:tcPr>
          <w:p>
            <w:pPr>
              <w:spacing w:before="0" w:after="0" w:line="252" w:lineRule="auto"/>
              <w:jc w:val="center"/>
            </w:pPr>
            <w:r>
              <w:rPr>
                <w:sz w:val="17"/>
              </w:rPr>
              <w:t>21.1</w:t>
            </w:r>
          </w:p>
        </w:tc>
      </w:tr>
      <w:tr>
        <w:trPr>
          <w:cantSplit w:val="true"/>
        </w:trPr>
        <w:tc>
          <w:tcPr>
            <w:tcW w:type="dxa" w:w="5460"/>
          </w:tcPr>
          <w:p>
            <w:pPr>
              <w:spacing w:before="0" w:after="0" w:line="252" w:lineRule="auto"/>
            </w:pPr>
            <w:r>
              <w:rPr>
                <w:sz w:val="17"/>
              </w:rPr>
              <w:t>Production staff</w:t>
            </w:r>
          </w:p>
        </w:tc>
        <w:tc>
          <w:tcPr>
            <w:tcW w:type="dxa" w:w="1020"/>
          </w:tcPr>
          <w:p>
            <w:pPr>
              <w:spacing w:before="0" w:after="0" w:line="252" w:lineRule="auto"/>
              <w:jc w:val="center"/>
            </w:pPr>
            <w:r>
              <w:rPr>
                <w:sz w:val="17"/>
              </w:rPr>
              <w:t>7.1</w:t>
            </w:r>
          </w:p>
        </w:tc>
        <w:tc>
          <w:tcPr>
            <w:tcW w:type="dxa" w:w="1020"/>
          </w:tcPr>
          <w:p>
            <w:pPr>
              <w:spacing w:before="0" w:after="0" w:line="252" w:lineRule="auto"/>
              <w:jc w:val="center"/>
            </w:pPr>
            <w:r>
              <w:rPr>
                <w:sz w:val="17"/>
              </w:rPr>
              <w:t>7.1</w:t>
            </w:r>
          </w:p>
        </w:tc>
        <w:tc>
          <w:tcPr>
            <w:tcW w:type="dxa" w:w="1217"/>
          </w:tcPr>
          <w:p>
            <w:pPr>
              <w:spacing w:before="0" w:after="0" w:line="252" w:lineRule="auto"/>
              <w:jc w:val="center"/>
            </w:pPr>
            <w:r>
              <w:rPr>
                <w:sz w:val="17"/>
              </w:rPr>
              <w:t>0.0</w:t>
            </w:r>
          </w:p>
        </w:tc>
        <w:tc>
          <w:tcPr>
            <w:tcW w:type="dxa" w:w="921"/>
          </w:tcPr>
          <w:p>
            <w:pPr>
              <w:spacing w:before="0" w:after="0" w:line="252" w:lineRule="auto"/>
              <w:jc w:val="center"/>
            </w:pPr>
            <w:r>
              <w:rPr>
                <w:sz w:val="17"/>
              </w:rPr>
              <w:t>7.1</w:t>
            </w:r>
          </w:p>
        </w:tc>
      </w:tr>
      <w:tr>
        <w:trPr>
          <w:cantSplit w:val="true"/>
        </w:trPr>
        <w:tc>
          <w:tcPr>
            <w:tcW w:type="dxa" w:w="5460"/>
            <w:shd w:val="clear" w:color="auto" w:fill="F2F5F9"/>
          </w:tcPr>
          <w:p>
            <w:pPr>
              <w:spacing w:before="0" w:after="0" w:line="252" w:lineRule="auto"/>
            </w:pPr>
            <w:r>
              <w:rPr>
                <w:sz w:val="17"/>
              </w:rPr>
              <w:t>Maintenance, certification, energy</w:t>
            </w:r>
          </w:p>
        </w:tc>
        <w:tc>
          <w:tcPr>
            <w:tcW w:type="dxa" w:w="1020"/>
            <w:shd w:val="clear" w:color="auto" w:fill="F2F5F9"/>
          </w:tcPr>
          <w:p>
            <w:pPr>
              <w:spacing w:before="0" w:after="0" w:line="252" w:lineRule="auto"/>
              <w:jc w:val="center"/>
            </w:pPr>
            <w:r>
              <w:rPr>
                <w:sz w:val="17"/>
              </w:rPr>
              <w:t>3.4</w:t>
            </w:r>
          </w:p>
        </w:tc>
        <w:tc>
          <w:tcPr>
            <w:tcW w:type="dxa" w:w="1020"/>
            <w:shd w:val="clear" w:color="auto" w:fill="F2F5F9"/>
          </w:tcPr>
          <w:p>
            <w:pPr>
              <w:spacing w:before="0" w:after="0" w:line="252" w:lineRule="auto"/>
              <w:jc w:val="center"/>
            </w:pPr>
            <w:r>
              <w:rPr>
                <w:sz w:val="17"/>
              </w:rPr>
              <w:t>3.4</w:t>
            </w:r>
          </w:p>
        </w:tc>
        <w:tc>
          <w:tcPr>
            <w:tcW w:type="dxa" w:w="1217"/>
            <w:shd w:val="clear" w:color="auto" w:fill="F2F5F9"/>
          </w:tcPr>
          <w:p>
            <w:pPr>
              <w:spacing w:before="0" w:after="0" w:line="252" w:lineRule="auto"/>
              <w:jc w:val="center"/>
            </w:pPr>
            <w:r>
              <w:rPr>
                <w:sz w:val="17"/>
              </w:rPr>
              <w:t>0.0</w:t>
            </w:r>
          </w:p>
        </w:tc>
        <w:tc>
          <w:tcPr>
            <w:tcW w:type="dxa" w:w="921"/>
            <w:shd w:val="clear" w:color="auto" w:fill="F2F5F9"/>
          </w:tcPr>
          <w:p>
            <w:pPr>
              <w:spacing w:before="0" w:after="0" w:line="252" w:lineRule="auto"/>
              <w:jc w:val="center"/>
            </w:pPr>
            <w:r>
              <w:rPr>
                <w:sz w:val="17"/>
              </w:rPr>
              <w:t>3.4</w:t>
            </w:r>
          </w:p>
        </w:tc>
      </w:tr>
      <w:tr>
        <w:trPr>
          <w:cantSplit w:val="true"/>
        </w:trPr>
        <w:tc>
          <w:tcPr>
            <w:tcW w:type="dxa" w:w="5460"/>
          </w:tcPr>
          <w:p>
            <w:pPr>
              <w:spacing w:before="0" w:after="0" w:line="252" w:lineRule="auto"/>
            </w:pPr>
            <w:r>
              <w:rPr>
                <w:sz w:val="17"/>
              </w:rPr>
              <w:t>Site lease</w:t>
            </w:r>
          </w:p>
        </w:tc>
        <w:tc>
          <w:tcPr>
            <w:tcW w:type="dxa" w:w="1020"/>
          </w:tcPr>
          <w:p>
            <w:pPr>
              <w:spacing w:before="0" w:after="0" w:line="252" w:lineRule="auto"/>
              <w:jc w:val="center"/>
            </w:pPr>
            <w:r>
              <w:rPr>
                <w:sz w:val="17"/>
              </w:rPr>
              <w:t>2.1</w:t>
            </w:r>
          </w:p>
        </w:tc>
        <w:tc>
          <w:tcPr>
            <w:tcW w:type="dxa" w:w="1020"/>
          </w:tcPr>
          <w:p>
            <w:pPr>
              <w:spacing w:before="0" w:after="0" w:line="252" w:lineRule="auto"/>
              <w:jc w:val="center"/>
            </w:pPr>
            <w:r>
              <w:rPr>
                <w:sz w:val="17"/>
              </w:rPr>
              <w:t>2.1</w:t>
            </w:r>
          </w:p>
        </w:tc>
        <w:tc>
          <w:tcPr>
            <w:tcW w:type="dxa" w:w="1217"/>
          </w:tcPr>
          <w:p>
            <w:pPr>
              <w:spacing w:before="0" w:after="0" w:line="252" w:lineRule="auto"/>
              <w:jc w:val="center"/>
            </w:pPr>
            <w:r>
              <w:rPr>
                <w:sz w:val="17"/>
              </w:rPr>
              <w:t>0.0</w:t>
            </w:r>
          </w:p>
        </w:tc>
        <w:tc>
          <w:tcPr>
            <w:tcW w:type="dxa" w:w="921"/>
          </w:tcPr>
          <w:p>
            <w:pPr>
              <w:spacing w:before="0" w:after="0" w:line="252" w:lineRule="auto"/>
              <w:jc w:val="center"/>
            </w:pPr>
            <w:r>
              <w:rPr>
                <w:sz w:val="17"/>
              </w:rPr>
              <w:t>2.1</w:t>
            </w:r>
          </w:p>
        </w:tc>
      </w:tr>
      <w:tr>
        <w:trPr>
          <w:cantSplit w:val="true"/>
        </w:trPr>
        <w:tc>
          <w:tcPr>
            <w:tcW w:type="dxa" w:w="5460"/>
            <w:shd w:val="clear" w:color="auto" w:fill="F2F5F9"/>
          </w:tcPr>
          <w:p>
            <w:pPr>
              <w:spacing w:before="0" w:after="0" w:line="252" w:lineRule="auto"/>
            </w:pPr>
            <w:r>
              <w:rPr>
                <w:sz w:val="17"/>
              </w:rPr>
              <w:t>Overheads (SG&amp;A) and bad debt</w:t>
            </w:r>
          </w:p>
        </w:tc>
        <w:tc>
          <w:tcPr>
            <w:tcW w:type="dxa" w:w="1020"/>
            <w:shd w:val="clear" w:color="auto" w:fill="F2F5F9"/>
          </w:tcPr>
          <w:p>
            <w:pPr>
              <w:spacing w:before="0" w:after="0" w:line="252" w:lineRule="auto"/>
              <w:jc w:val="center"/>
            </w:pPr>
            <w:r>
              <w:rPr>
                <w:sz w:val="17"/>
              </w:rPr>
              <w:t>8.9</w:t>
            </w:r>
          </w:p>
        </w:tc>
        <w:tc>
          <w:tcPr>
            <w:tcW w:type="dxa" w:w="1020"/>
            <w:shd w:val="clear" w:color="auto" w:fill="F2F5F9"/>
          </w:tcPr>
          <w:p>
            <w:pPr>
              <w:spacing w:before="0" w:after="0" w:line="252" w:lineRule="auto"/>
              <w:jc w:val="center"/>
            </w:pPr>
            <w:r>
              <w:rPr>
                <w:sz w:val="17"/>
              </w:rPr>
              <w:t>8.9</w:t>
            </w:r>
          </w:p>
        </w:tc>
        <w:tc>
          <w:tcPr>
            <w:tcW w:type="dxa" w:w="1217"/>
            <w:shd w:val="clear" w:color="auto" w:fill="F2F5F9"/>
          </w:tcPr>
          <w:p>
            <w:pPr>
              <w:spacing w:before="0" w:after="0" w:line="252" w:lineRule="auto"/>
              <w:jc w:val="center"/>
            </w:pPr>
            <w:r>
              <w:rPr>
                <w:sz w:val="17"/>
              </w:rPr>
              <w:t>0.0</w:t>
            </w:r>
          </w:p>
        </w:tc>
        <w:tc>
          <w:tcPr>
            <w:tcW w:type="dxa" w:w="921"/>
            <w:shd w:val="clear" w:color="auto" w:fill="F2F5F9"/>
          </w:tcPr>
          <w:p>
            <w:pPr>
              <w:spacing w:before="0" w:after="0" w:line="252" w:lineRule="auto"/>
              <w:jc w:val="center"/>
            </w:pPr>
            <w:r>
              <w:rPr>
                <w:sz w:val="17"/>
              </w:rPr>
              <w:t>8.9</w:t>
            </w:r>
          </w:p>
        </w:tc>
      </w:tr>
      <w:tr>
        <w:trPr>
          <w:cantSplit w:val="true"/>
        </w:trPr>
        <w:tc>
          <w:tcPr>
            <w:tcW w:type="dxa" w:w="5460"/>
          </w:tcPr>
          <w:p>
            <w:pPr>
              <w:spacing w:before="0" w:after="0" w:line="252" w:lineRule="auto"/>
            </w:pPr>
            <w:r>
              <w:rPr>
                <w:b/>
                <w:sz w:val="17"/>
              </w:rPr>
              <w:t>Cash cost</w:t>
            </w:r>
          </w:p>
        </w:tc>
        <w:tc>
          <w:tcPr>
            <w:tcW w:type="dxa" w:w="1020"/>
          </w:tcPr>
          <w:p>
            <w:pPr>
              <w:spacing w:before="0" w:after="0" w:line="252" w:lineRule="auto"/>
              <w:jc w:val="center"/>
            </w:pPr>
            <w:r>
              <w:rPr>
                <w:b/>
                <w:sz w:val="17"/>
              </w:rPr>
              <w:t>131.6</w:t>
            </w:r>
          </w:p>
        </w:tc>
        <w:tc>
          <w:tcPr>
            <w:tcW w:type="dxa" w:w="1020"/>
          </w:tcPr>
          <w:p>
            <w:pPr>
              <w:spacing w:before="0" w:after="0" w:line="252" w:lineRule="auto"/>
              <w:jc w:val="center"/>
            </w:pPr>
            <w:r>
              <w:rPr>
                <w:b/>
                <w:sz w:val="17"/>
              </w:rPr>
              <w:t>134.1</w:t>
            </w:r>
          </w:p>
        </w:tc>
        <w:tc>
          <w:tcPr>
            <w:tcW w:type="dxa" w:w="1217"/>
          </w:tcPr>
          <w:p>
            <w:pPr>
              <w:spacing w:before="0" w:after="0" w:line="252" w:lineRule="auto"/>
              <w:jc w:val="center"/>
            </w:pPr>
            <w:r>
              <w:rPr>
                <w:b/>
                <w:sz w:val="17"/>
              </w:rPr>
              <w:t>−2.5</w:t>
            </w:r>
          </w:p>
        </w:tc>
        <w:tc>
          <w:tcPr>
            <w:tcW w:type="dxa" w:w="921"/>
          </w:tcPr>
          <w:p>
            <w:pPr>
              <w:spacing w:before="0" w:after="0" w:line="252" w:lineRule="auto"/>
              <w:jc w:val="center"/>
            </w:pPr>
            <w:r>
              <w:rPr>
                <w:b/>
                <w:sz w:val="17"/>
              </w:rPr>
              <w:t>132.6</w:t>
            </w:r>
          </w:p>
        </w:tc>
      </w:tr>
      <w:tr>
        <w:trPr>
          <w:cantSplit w:val="true"/>
        </w:trPr>
        <w:tc>
          <w:tcPr>
            <w:tcW w:type="dxa" w:w="5460"/>
            <w:shd w:val="clear" w:color="auto" w:fill="F2F5F9"/>
          </w:tcPr>
          <w:p>
            <w:pPr>
              <w:spacing w:before="0" w:after="0" w:line="252" w:lineRule="auto"/>
            </w:pPr>
            <w:r>
              <w:rPr>
                <w:b/>
                <w:sz w:val="17"/>
              </w:rPr>
              <w:t>EBITDA</w:t>
            </w:r>
          </w:p>
        </w:tc>
        <w:tc>
          <w:tcPr>
            <w:tcW w:type="dxa" w:w="1020"/>
            <w:shd w:val="clear" w:color="auto" w:fill="F2F5F9"/>
          </w:tcPr>
          <w:p>
            <w:pPr>
              <w:spacing w:before="0" w:after="0" w:line="252" w:lineRule="auto"/>
              <w:jc w:val="center"/>
            </w:pPr>
            <w:r>
              <w:rPr>
                <w:b/>
                <w:sz w:val="17"/>
              </w:rPr>
              <w:t>6.0</w:t>
            </w:r>
          </w:p>
        </w:tc>
        <w:tc>
          <w:tcPr>
            <w:tcW w:type="dxa" w:w="1020"/>
            <w:shd w:val="clear" w:color="auto" w:fill="F2F5F9"/>
          </w:tcPr>
          <w:p>
            <w:pPr>
              <w:spacing w:before="0" w:after="0" w:line="252" w:lineRule="auto"/>
              <w:jc w:val="center"/>
            </w:pPr>
            <w:r>
              <w:rPr>
                <w:b/>
                <w:sz w:val="17"/>
              </w:rPr>
              <w:t>2.7</w:t>
            </w:r>
          </w:p>
        </w:tc>
        <w:tc>
          <w:tcPr>
            <w:tcW w:type="dxa" w:w="1217"/>
            <w:shd w:val="clear" w:color="auto" w:fill="F2F5F9"/>
          </w:tcPr>
          <w:p>
            <w:pPr>
              <w:spacing w:before="0" w:after="0" w:line="252" w:lineRule="auto"/>
              <w:jc w:val="center"/>
            </w:pPr>
            <w:r>
              <w:rPr>
                <w:sz w:val="17"/>
              </w:rPr>
              <w:t>+3.3</w:t>
            </w:r>
          </w:p>
        </w:tc>
        <w:tc>
          <w:tcPr>
            <w:tcW w:type="dxa" w:w="921"/>
            <w:shd w:val="clear" w:color="auto" w:fill="F2F5F9"/>
          </w:tcPr>
          <w:p>
            <w:pPr>
              <w:spacing w:before="0" w:after="0" w:line="252" w:lineRule="auto"/>
              <w:jc w:val="center"/>
            </w:pPr>
            <w:r>
              <w:rPr>
                <w:b/>
                <w:sz w:val="17"/>
              </w:rPr>
              <w:t>4.6</w:t>
            </w:r>
          </w:p>
        </w:tc>
      </w:tr>
      <w:tr>
        <w:trPr>
          <w:cantSplit w:val="true"/>
        </w:trPr>
        <w:tc>
          <w:tcPr>
            <w:tcW w:type="dxa" w:w="5460"/>
          </w:tcPr>
          <w:p>
            <w:pPr>
              <w:spacing w:before="0" w:after="0" w:line="252" w:lineRule="auto"/>
            </w:pPr>
            <w:r>
              <w:rPr>
                <w:sz w:val="17"/>
              </w:rPr>
              <w:t>Depreciation</w:t>
            </w:r>
          </w:p>
        </w:tc>
        <w:tc>
          <w:tcPr>
            <w:tcW w:type="dxa" w:w="1020"/>
          </w:tcPr>
          <w:p>
            <w:pPr>
              <w:spacing w:before="0" w:after="0" w:line="252" w:lineRule="auto"/>
              <w:jc w:val="center"/>
            </w:pPr>
            <w:r>
              <w:rPr>
                <w:sz w:val="17"/>
              </w:rPr>
              <w:t>3.7</w:t>
            </w:r>
          </w:p>
        </w:tc>
        <w:tc>
          <w:tcPr>
            <w:tcW w:type="dxa" w:w="1020"/>
          </w:tcPr>
          <w:p>
            <w:pPr>
              <w:spacing w:before="0" w:after="0" w:line="252" w:lineRule="auto"/>
              <w:jc w:val="center"/>
            </w:pPr>
            <w:r>
              <w:rPr>
                <w:sz w:val="17"/>
              </w:rPr>
              <w:t>3.7</w:t>
            </w:r>
          </w:p>
        </w:tc>
        <w:tc>
          <w:tcPr>
            <w:tcW w:type="dxa" w:w="1217"/>
          </w:tcPr>
          <w:p>
            <w:pPr>
              <w:spacing w:before="0" w:after="0" w:line="252" w:lineRule="auto"/>
              <w:jc w:val="center"/>
            </w:pPr>
            <w:r>
              <w:rPr>
                <w:sz w:val="17"/>
              </w:rPr>
              <w:t>0.0</w:t>
            </w:r>
          </w:p>
        </w:tc>
        <w:tc>
          <w:tcPr>
            <w:tcW w:type="dxa" w:w="921"/>
          </w:tcPr>
          <w:p>
            <w:pPr>
              <w:spacing w:before="0" w:after="0" w:line="252" w:lineRule="auto"/>
              <w:jc w:val="center"/>
            </w:pPr>
            <w:r>
              <w:rPr>
                <w:sz w:val="17"/>
              </w:rPr>
              <w:t>3.7</w:t>
            </w:r>
          </w:p>
        </w:tc>
      </w:tr>
      <w:tr>
        <w:trPr>
          <w:cantSplit w:val="true"/>
        </w:trPr>
        <w:tc>
          <w:tcPr>
            <w:tcW w:type="dxa" w:w="5460"/>
            <w:shd w:val="clear" w:color="auto" w:fill="F2F5F9"/>
          </w:tcPr>
          <w:p>
            <w:pPr>
              <w:spacing w:before="0" w:after="0" w:line="252" w:lineRule="auto"/>
            </w:pPr>
            <w:r>
              <w:rPr>
                <w:b/>
                <w:sz w:val="17"/>
              </w:rPr>
              <w:t>EBIT (profit before interest and tax)</w:t>
            </w:r>
          </w:p>
        </w:tc>
        <w:tc>
          <w:tcPr>
            <w:tcW w:type="dxa" w:w="1020"/>
            <w:shd w:val="clear" w:color="auto" w:fill="F2F5F9"/>
          </w:tcPr>
          <w:p>
            <w:pPr>
              <w:spacing w:before="0" w:after="0" w:line="252" w:lineRule="auto"/>
              <w:jc w:val="center"/>
            </w:pPr>
            <w:r>
              <w:rPr>
                <w:b/>
                <w:sz w:val="17"/>
              </w:rPr>
              <w:t>2.3</w:t>
            </w:r>
          </w:p>
        </w:tc>
        <w:tc>
          <w:tcPr>
            <w:tcW w:type="dxa" w:w="1020"/>
            <w:shd w:val="clear" w:color="auto" w:fill="F2F5F9"/>
          </w:tcPr>
          <w:p>
            <w:pPr>
              <w:spacing w:before="0" w:after="0" w:line="252" w:lineRule="auto"/>
              <w:jc w:val="center"/>
            </w:pPr>
            <w:r>
              <w:rPr>
                <w:b/>
                <w:sz w:val="17"/>
              </w:rPr>
              <w:t>−1.0</w:t>
            </w:r>
          </w:p>
        </w:tc>
        <w:tc>
          <w:tcPr>
            <w:tcW w:type="dxa" w:w="1217"/>
            <w:shd w:val="clear" w:color="auto" w:fill="F2F5F9"/>
          </w:tcPr>
          <w:p>
            <w:pPr>
              <w:spacing w:before="0" w:after="0" w:line="252" w:lineRule="auto"/>
              <w:jc w:val="center"/>
            </w:pPr>
            <w:r>
              <w:rPr>
                <w:sz w:val="17"/>
              </w:rPr>
              <w:t>+3.3</w:t>
            </w:r>
          </w:p>
        </w:tc>
        <w:tc>
          <w:tcPr>
            <w:tcW w:type="dxa" w:w="921"/>
            <w:shd w:val="clear" w:color="auto" w:fill="F2F5F9"/>
          </w:tcPr>
          <w:p>
            <w:pPr>
              <w:spacing w:before="0" w:after="0" w:line="252" w:lineRule="auto"/>
              <w:jc w:val="center"/>
            </w:pPr>
            <w:r>
              <w:rPr>
                <w:b/>
                <w:sz w:val="17"/>
              </w:rPr>
              <w:t>1.0</w:t>
            </w:r>
          </w:p>
        </w:tc>
      </w:tr>
    </w:tbl>
    <w:p>
      <w:pPr>
        <w:spacing w:before="0" w:after="40" w:line="240" w:lineRule="auto"/>
      </w:pPr>
    </w:p>
    <w:p>
      <w:r>
        <w:rPr>
          <w:color w:val="6B6B6B"/>
          <w:sz w:val="17"/>
        </w:rPr>
        <w:t>[ESTIMATE, model 2030 UnitEconomics; inputs in Appendix A]</w:t>
      </w:r>
      <w:r>
        <w:t>. Lines may not add exactly because of rounding.</w:t>
      </w:r>
    </w:p>
    <w:p>
      <w:pPr>
        <w:keepNext/>
        <w:spacing w:before="120" w:after="40" w:line="240" w:lineRule="auto"/>
        <w:jc w:val="center"/>
      </w:pPr>
      <w:r>
        <w:drawing>
          <wp:inline xmlns:a="http://schemas.openxmlformats.org/drawingml/2006/main" xmlns:pic="http://schemas.openxmlformats.org/drawingml/2006/picture">
            <wp:extent cx="5940000" cy="2718421"/>
            <wp:docPr id="1" name="Picture 1"/>
            <wp:cNvGraphicFramePr>
              <a:graphicFrameLocks noChangeAspect="1"/>
            </wp:cNvGraphicFramePr>
            <a:graphic>
              <a:graphicData uri="http://schemas.openxmlformats.org/drawingml/2006/picture">
                <pic:pic>
                  <pic:nvPicPr>
                    <pic:cNvPr id="0" name="unit_cost_stack.png"/>
                    <pic:cNvPicPr/>
                  </pic:nvPicPr>
                  <pic:blipFill>
                    <a:blip r:embed="rId11"/>
                    <a:stretch>
                      <a:fillRect/>
                    </a:stretch>
                  </pic:blipFill>
                  <pic:spPr>
                    <a:xfrm>
                      <a:off x="0" y="0"/>
                      <a:ext cx="5940000" cy="2718421"/>
                    </a:xfrm>
                    <a:prstGeom prst="rect"/>
                  </pic:spPr>
                </pic:pic>
              </a:graphicData>
            </a:graphic>
          </wp:inline>
        </w:drawing>
      </w:r>
    </w:p>
    <w:p>
      <w:pPr>
        <w:spacing w:before="0" w:after="200" w:line="264" w:lineRule="auto"/>
      </w:pPr>
      <w:r>
        <w:rPr>
          <w:i/>
          <w:color w:val="6B6B6B"/>
          <w:sz w:val="18"/>
        </w:rPr>
        <w:t>Figure 1: Cost per m³ in 2030 — circular mix, standard mix and plant average (base case). The black line is the selling price.</w:t>
      </w:r>
    </w:p>
    <w:p>
      <w:r>
        <w:rPr>
          <w:b/>
        </w:rPr>
        <w:t>How to read this.</w:t>
      </w:r>
    </w:p>
    <w:p>
      <w:pPr>
        <w:pStyle w:val="ListBullet"/>
      </w:pPr>
      <w:r>
        <w:rPr>
          <w:b/>
        </w:rPr>
        <w:t>Where the circular advantage comes from:</w:t>
      </w:r>
      <w:r>
        <w:t xml:space="preserve"> RCA delivered at </w:t>
      </w:r>
      <w:r>
        <w:rPr>
          <w:b/>
        </w:rPr>
        <w:t>€24.5/t</w:t>
      </w:r>
      <w:r>
        <w:t xml:space="preserve"> replaces gravel at </w:t>
      </w:r>
      <w:r>
        <w:rPr>
          <w:b/>
        </w:rPr>
        <w:t>€32/t</w:t>
      </w:r>
      <w:r>
        <w:t xml:space="preserve">. That saves about €6/m³. Extra cement, admixture and testing cost about €3.8/m³. Net: </w:t>
      </w:r>
      <w:r>
        <w:rPr>
          <w:b/>
        </w:rPr>
        <w:t>−€2.5/m³</w:t>
      </w:r>
      <w:r>
        <w:t xml:space="preserve"> </w:t>
      </w:r>
      <w:r>
        <w:rPr>
          <w:color w:val="6B6B6B"/>
          <w:sz w:val="17"/>
        </w:rPr>
        <w:t>[ESTIMATE]</w:t>
      </w:r>
      <w:r>
        <w:t xml:space="preserve">. Above about </w:t>
      </w:r>
      <w:r>
        <w:rPr>
          <w:b/>
        </w:rPr>
        <w:t>€29/t</w:t>
      </w:r>
      <w:r>
        <w:t xml:space="preserve"> delivered RCA, the circular mix becomes more expensive than the standard mix </w:t>
      </w:r>
      <w:r>
        <w:rPr>
          <w:color w:val="6B6B6B"/>
          <w:sz w:val="17"/>
        </w:rPr>
        <w:t>[ESTIMATE]</w:t>
      </w:r>
      <w:r>
        <w:t>.</w:t>
      </w:r>
    </w:p>
    <w:p>
      <w:pPr>
        <w:pStyle w:val="ListBullet"/>
      </w:pPr>
      <w:r>
        <w:rPr>
          <w:b/>
        </w:rPr>
        <w:t>The premium is small:</w:t>
      </w:r>
      <w:r>
        <w:t xml:space="preserve"> 1.5% on public circular volume gives only </w:t>
      </w:r>
      <w:r>
        <w:rPr>
          <w:b/>
        </w:rPr>
        <w:t>€0.8/m³</w:t>
      </w:r>
      <w:r>
        <w:t xml:space="preserve"> on average </w:t>
      </w:r>
      <w:r>
        <w:rPr>
          <w:color w:val="6B6B6B"/>
          <w:sz w:val="17"/>
        </w:rPr>
        <w:t>[ESTIMATE, A-FIX-03]</w:t>
      </w:r>
      <w:r>
        <w:t>.</w:t>
      </w:r>
    </w:p>
    <w:p>
      <w:pPr>
        <w:pStyle w:val="ListBullet"/>
      </w:pPr>
      <w:r>
        <w:rPr>
          <w:b/>
        </w:rPr>
        <w:t>Delivery is the second-largest cost</w:t>
      </w:r>
      <w:r>
        <w:t xml:space="preserve"> after materials: </w:t>
      </w:r>
      <w:r>
        <w:rPr>
          <w:b/>
        </w:rPr>
        <w:t>€21.1/m³</w:t>
      </w:r>
      <w:r>
        <w:t xml:space="preserve"> = (€9 + €0.5 × 20 km) × 10/9 for an average 9 m³ load </w:t>
      </w:r>
      <w:r>
        <w:rPr>
          <w:color w:val="6B6B6B"/>
          <w:sz w:val="17"/>
        </w:rPr>
        <w:t>[ESTIMATE, A-TEC-28, A-FIX-02]</w:t>
      </w:r>
      <w:r>
        <w:t xml:space="preserve">. A waterside site saves about €9–14/m³ on gravel and sand against a truck-fed site — more than any green premium </w:t>
      </w:r>
      <w:r>
        <w:rPr>
          <w:color w:val="6B6B6B"/>
          <w:sz w:val="17"/>
        </w:rPr>
        <w:t>[ESTIMATE]</w:t>
      </w:r>
      <w:r>
        <w:t>.</w:t>
      </w:r>
    </w:p>
    <w:p>
      <w:pPr>
        <w:pStyle w:val="ListBullet"/>
      </w:pPr>
      <w:r>
        <w:rPr>
          <w:b/>
        </w:rPr>
        <w:t>The gap:</w:t>
      </w:r>
      <w:r>
        <w:t xml:space="preserve"> the plant earns </w:t>
      </w:r>
      <w:r>
        <w:rPr>
          <w:b/>
        </w:rPr>
        <w:t>€4.6/m³ EBITDA</w:t>
      </w:r>
      <w:r>
        <w:t xml:space="preserve">. To repay €5.5M of capex at 8% over 10 years it needs about </w:t>
      </w:r>
      <w:r>
        <w:rPr>
          <w:b/>
        </w:rPr>
        <w:t>€11.7/m³</w:t>
      </w:r>
      <w:r>
        <w:t xml:space="preserve">. The gap is about </w:t>
      </w:r>
      <w:r>
        <w:rPr>
          <w:b/>
        </w:rPr>
        <w:t>€7/m³ (5% of price)</w:t>
      </w:r>
      <w:r>
        <w:t xml:space="preserve"> </w:t>
      </w:r>
      <w:r>
        <w:rPr>
          <w:color w:val="6B6B6B"/>
          <w:sz w:val="17"/>
        </w:rPr>
        <w:t>[ESTIMATE]</w:t>
      </w:r>
      <w:r>
        <w:t>.</w:t>
      </w:r>
    </w:p>
    <w:p>
      <w:pPr>
        <w:pStyle w:val="ListBullet"/>
      </w:pPr>
      <w:r>
        <w:rPr>
          <w:b/>
        </w:rPr>
        <w:t>Carbon cost:</w:t>
      </w:r>
      <w:r>
        <w:t xml:space="preserve"> CEM III/B carbon cost rises from ~€4/t (2026) to €12/t (2030) and €26/t (2034); CEM I from €14 to €45 and €95/t. This hurts CEM I users, not Dutch CEM III/B competitors </w:t>
      </w:r>
      <w:r>
        <w:rPr>
          <w:color w:val="6B6B6B"/>
          <w:sz w:val="17"/>
        </w:rPr>
        <w:t>[ESTIMATE, A-POL-07/08]</w:t>
      </w:r>
      <w:r>
        <w:t>.</w:t>
      </w:r>
    </w:p>
    <w:p>
      <w:r>
        <w:br w:type="page"/>
      </w:r>
    </w:p>
    <w:p>
      <w:pPr>
        <w:pStyle w:val="Heading1"/>
      </w:pPr>
      <w:r>
        <w:t>7. Financial plan and scenarios</w:t>
      </w:r>
    </w:p>
    <w:p>
      <w:pPr>
        <w:pStyle w:val="Heading2"/>
      </w:pPr>
      <w:r>
        <w:t>7.1 Key results (base case)</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3570"/>
        <w:gridCol w:w="3886"/>
        <w:gridCol w:w="2180"/>
      </w:tblGrid>
      <w:tr>
        <w:trPr>
          <w:cantSplit w:val="true"/>
          <w:tblHeader w:val="true"/>
        </w:trPr>
        <w:tc>
          <w:tcPr>
            <w:tcW w:type="dxa" w:w="3570"/>
            <w:shd w:val="clear" w:color="auto" w:fill="1F3A5F"/>
          </w:tcPr>
          <w:p>
            <w:pPr>
              <w:spacing w:before="0" w:after="0" w:line="252" w:lineRule="auto"/>
            </w:pPr>
            <w:r>
              <w:rPr>
                <w:b/>
                <w:color w:val="FFFFFF"/>
                <w:sz w:val="18"/>
              </w:rPr>
              <w:t>KPI</w:t>
            </w:r>
          </w:p>
        </w:tc>
        <w:tc>
          <w:tcPr>
            <w:tcW w:type="dxa" w:w="3887"/>
            <w:shd w:val="clear" w:color="auto" w:fill="1F3A5F"/>
          </w:tcPr>
          <w:p>
            <w:pPr>
              <w:spacing w:before="0" w:after="0" w:line="252" w:lineRule="auto"/>
            </w:pPr>
            <w:r>
              <w:rPr>
                <w:b/>
                <w:color w:val="FFFFFF"/>
                <w:sz w:val="18"/>
              </w:rPr>
              <w:t>Base case</w:t>
            </w:r>
          </w:p>
        </w:tc>
        <w:tc>
          <w:tcPr>
            <w:tcW w:type="dxa" w:w="2181"/>
            <w:shd w:val="clear" w:color="auto" w:fill="1F3A5F"/>
          </w:tcPr>
          <w:p>
            <w:pPr>
              <w:spacing w:before="0" w:after="0" w:line="252" w:lineRule="auto"/>
            </w:pPr>
            <w:r>
              <w:rPr>
                <w:b/>
                <w:color w:val="FFFFFF"/>
                <w:sz w:val="18"/>
              </w:rPr>
              <w:t>Note</w:t>
            </w:r>
          </w:p>
        </w:tc>
      </w:tr>
      <w:tr>
        <w:trPr>
          <w:cantSplit w:val="true"/>
        </w:trPr>
        <w:tc>
          <w:tcPr>
            <w:tcW w:type="dxa" w:w="3570"/>
          </w:tcPr>
          <w:p>
            <w:pPr>
              <w:spacing w:before="0" w:after="0" w:line="252" w:lineRule="auto"/>
            </w:pPr>
            <w:r>
              <w:rPr>
                <w:sz w:val="18"/>
              </w:rPr>
              <w:t>NPV at 8% real (2026–2036, salvage-only terminal value)</w:t>
            </w:r>
          </w:p>
        </w:tc>
        <w:tc>
          <w:tcPr>
            <w:tcW w:type="dxa" w:w="3887"/>
          </w:tcPr>
          <w:p>
            <w:pPr>
              <w:spacing w:before="0" w:after="0" w:line="252" w:lineRule="auto"/>
              <w:jc w:val="center"/>
            </w:pPr>
            <w:r>
              <w:rPr>
                <w:b/>
                <w:sz w:val="18"/>
              </w:rPr>
              <w:t>−€5.33M</w:t>
            </w:r>
          </w:p>
        </w:tc>
        <w:tc>
          <w:tcPr>
            <w:tcW w:type="dxa" w:w="2181"/>
          </w:tcPr>
          <w:p>
            <w:pPr>
              <w:spacing w:before="0" w:after="0" w:line="252" w:lineRule="auto"/>
              <w:jc w:val="center"/>
            </w:pPr>
            <w:r>
              <w:rPr>
                <w:sz w:val="18"/>
              </w:rPr>
              <w:t>−97% of capex</w:t>
            </w:r>
          </w:p>
        </w:tc>
      </w:tr>
      <w:tr>
        <w:trPr>
          <w:cantSplit w:val="true"/>
        </w:trPr>
        <w:tc>
          <w:tcPr>
            <w:tcW w:type="dxa" w:w="3570"/>
            <w:shd w:val="clear" w:color="auto" w:fill="F2F5F9"/>
          </w:tcPr>
          <w:p>
            <w:pPr>
              <w:spacing w:before="0" w:after="0" w:line="252" w:lineRule="auto"/>
            </w:pPr>
            <w:r>
              <w:rPr>
                <w:sz w:val="18"/>
              </w:rPr>
              <w:t>IRR (real)</w:t>
            </w:r>
          </w:p>
        </w:tc>
        <w:tc>
          <w:tcPr>
            <w:tcW w:type="dxa" w:w="3887"/>
            <w:shd w:val="clear" w:color="auto" w:fill="F2F5F9"/>
          </w:tcPr>
          <w:p>
            <w:pPr>
              <w:spacing w:before="0" w:after="0" w:line="252" w:lineRule="auto"/>
              <w:jc w:val="center"/>
            </w:pPr>
            <w:r>
              <w:rPr>
                <w:b/>
                <w:sz w:val="18"/>
              </w:rPr>
              <w:t>−13.9%</w:t>
            </w:r>
          </w:p>
        </w:tc>
        <w:tc>
          <w:tcPr>
            <w:tcW w:type="dxa" w:w="2181"/>
            <w:shd w:val="clear" w:color="auto" w:fill="F2F5F9"/>
          </w:tcPr>
          <w:p>
            <w:pPr>
              <w:spacing w:before="0" w:after="0" w:line="252" w:lineRule="auto"/>
            </w:pPr>
          </w:p>
        </w:tc>
      </w:tr>
      <w:tr>
        <w:trPr>
          <w:cantSplit w:val="true"/>
        </w:trPr>
        <w:tc>
          <w:tcPr>
            <w:tcW w:type="dxa" w:w="3570"/>
          </w:tcPr>
          <w:p>
            <w:pPr>
              <w:spacing w:before="0" w:after="0" w:line="252" w:lineRule="auto"/>
            </w:pPr>
            <w:r>
              <w:rPr>
                <w:sz w:val="18"/>
              </w:rPr>
              <w:t>Payback (simple / discounted)</w:t>
            </w:r>
          </w:p>
        </w:tc>
        <w:tc>
          <w:tcPr>
            <w:tcW w:type="dxa" w:w="3887"/>
          </w:tcPr>
          <w:p>
            <w:pPr>
              <w:spacing w:before="0" w:after="0" w:line="252" w:lineRule="auto"/>
            </w:pPr>
            <w:r>
              <w:rPr>
                <w:b/>
                <w:sz w:val="18"/>
              </w:rPr>
              <w:t>not reached in 10 years</w:t>
            </w:r>
          </w:p>
        </w:tc>
        <w:tc>
          <w:tcPr>
            <w:tcW w:type="dxa" w:w="2181"/>
          </w:tcPr>
          <w:p>
            <w:pPr>
              <w:spacing w:before="0" w:after="0" w:line="252" w:lineRule="auto"/>
            </w:pPr>
            <w:r>
              <w:rPr>
                <w:sz w:val="18"/>
              </w:rPr>
              <w:t>measured from 2026</w:t>
            </w:r>
          </w:p>
        </w:tc>
      </w:tr>
      <w:tr>
        <w:trPr>
          <w:cantSplit w:val="true"/>
        </w:trPr>
        <w:tc>
          <w:tcPr>
            <w:tcW w:type="dxa" w:w="3570"/>
            <w:shd w:val="clear" w:color="auto" w:fill="F2F5F9"/>
          </w:tcPr>
          <w:p>
            <w:pPr>
              <w:spacing w:before="0" w:after="0" w:line="252" w:lineRule="auto"/>
            </w:pPr>
            <w:r>
              <w:rPr>
                <w:sz w:val="18"/>
              </w:rPr>
              <w:t>EBITDA in 3rd operating year (2030)</w:t>
            </w:r>
          </w:p>
        </w:tc>
        <w:tc>
          <w:tcPr>
            <w:tcW w:type="dxa" w:w="3887"/>
            <w:shd w:val="clear" w:color="auto" w:fill="F2F5F9"/>
          </w:tcPr>
          <w:p>
            <w:pPr>
              <w:spacing w:before="0" w:after="0" w:line="252" w:lineRule="auto"/>
              <w:jc w:val="center"/>
            </w:pPr>
            <w:r>
              <w:rPr>
                <w:b/>
                <w:sz w:val="18"/>
              </w:rPr>
              <w:t>+€0.32M</w:t>
            </w:r>
            <w:r>
              <w:rPr>
                <w:sz w:val="18"/>
              </w:rPr>
              <w:t xml:space="preserve"> (3.4% margin)</w:t>
            </w:r>
          </w:p>
        </w:tc>
        <w:tc>
          <w:tcPr>
            <w:tcW w:type="dxa" w:w="2181"/>
            <w:shd w:val="clear" w:color="auto" w:fill="F2F5F9"/>
          </w:tcPr>
          <w:p>
            <w:pPr>
              <w:spacing w:before="0" w:after="0" w:line="252" w:lineRule="auto"/>
            </w:pPr>
            <w:r>
              <w:rPr>
                <w:sz w:val="18"/>
              </w:rPr>
              <w:t>2029: −€0.02M</w:t>
            </w:r>
          </w:p>
        </w:tc>
      </w:tr>
      <w:tr>
        <w:trPr>
          <w:cantSplit w:val="true"/>
        </w:trPr>
        <w:tc>
          <w:tcPr>
            <w:tcW w:type="dxa" w:w="3570"/>
          </w:tcPr>
          <w:p>
            <w:pPr>
              <w:spacing w:before="0" w:after="0" w:line="252" w:lineRule="auto"/>
            </w:pPr>
            <w:r>
              <w:rPr>
                <w:sz w:val="18"/>
              </w:rPr>
              <w:t>Funding need (lowest cumulative free cash flow)</w:t>
            </w:r>
          </w:p>
        </w:tc>
        <w:tc>
          <w:tcPr>
            <w:tcW w:type="dxa" w:w="3887"/>
          </w:tcPr>
          <w:p>
            <w:pPr>
              <w:spacing w:before="0" w:after="0" w:line="252" w:lineRule="auto"/>
              <w:jc w:val="center"/>
            </w:pPr>
            <w:r>
              <w:rPr>
                <w:b/>
                <w:sz w:val="18"/>
              </w:rPr>
              <w:t>€7.09M</w:t>
            </w:r>
          </w:p>
        </w:tc>
        <w:tc>
          <w:tcPr>
            <w:tcW w:type="dxa" w:w="2181"/>
          </w:tcPr>
          <w:p>
            <w:pPr>
              <w:spacing w:before="0" w:after="0" w:line="252" w:lineRule="auto"/>
            </w:pPr>
            <w:r>
              <w:rPr>
                <w:sz w:val="18"/>
              </w:rPr>
              <w:t>in 2029</w:t>
            </w:r>
          </w:p>
        </w:tc>
      </w:tr>
      <w:tr>
        <w:trPr>
          <w:cantSplit w:val="true"/>
        </w:trPr>
        <w:tc>
          <w:tcPr>
            <w:tcW w:type="dxa" w:w="3570"/>
            <w:shd w:val="clear" w:color="auto" w:fill="F2F5F9"/>
          </w:tcPr>
          <w:p>
            <w:pPr>
              <w:spacing w:before="0" w:after="0" w:line="252" w:lineRule="auto"/>
            </w:pPr>
            <w:r>
              <w:rPr>
                <w:sz w:val="18"/>
              </w:rPr>
              <w:t>Initial capex</w:t>
            </w:r>
          </w:p>
        </w:tc>
        <w:tc>
          <w:tcPr>
            <w:tcW w:type="dxa" w:w="3887"/>
            <w:shd w:val="clear" w:color="auto" w:fill="F2F5F9"/>
          </w:tcPr>
          <w:p>
            <w:pPr>
              <w:spacing w:before="0" w:after="0" w:line="252" w:lineRule="auto"/>
              <w:jc w:val="center"/>
            </w:pPr>
            <w:r>
              <w:rPr>
                <w:sz w:val="18"/>
              </w:rPr>
              <w:t>€5.5M</w:t>
            </w:r>
          </w:p>
        </w:tc>
        <w:tc>
          <w:tcPr>
            <w:tcW w:type="dxa" w:w="2181"/>
            <w:shd w:val="clear" w:color="auto" w:fill="F2F5F9"/>
          </w:tcPr>
          <w:p>
            <w:pPr>
              <w:spacing w:before="0" w:after="0" w:line="252" w:lineRule="auto"/>
            </w:pPr>
            <w:r>
              <w:rPr>
                <w:sz w:val="18"/>
              </w:rPr>
              <w:t>+ €0.38M start-up costs in 2027</w:t>
            </w:r>
          </w:p>
        </w:tc>
      </w:tr>
      <w:tr>
        <w:trPr>
          <w:cantSplit w:val="true"/>
        </w:trPr>
        <w:tc>
          <w:tcPr>
            <w:tcW w:type="dxa" w:w="3570"/>
          </w:tcPr>
          <w:p>
            <w:pPr>
              <w:spacing w:before="0" w:after="0" w:line="252" w:lineRule="auto"/>
            </w:pPr>
            <w:r>
              <w:rPr>
                <w:sz w:val="18"/>
              </w:rPr>
              <w:t>EBITDA = 0 at</w:t>
            </w:r>
          </w:p>
        </w:tc>
        <w:tc>
          <w:tcPr>
            <w:tcW w:type="dxa" w:w="3887"/>
          </w:tcPr>
          <w:p>
            <w:pPr>
              <w:spacing w:before="0" w:after="0" w:line="252" w:lineRule="auto"/>
              <w:jc w:val="center"/>
            </w:pPr>
            <w:r>
              <w:rPr>
                <w:sz w:val="18"/>
              </w:rPr>
              <w:t>56,800 m³/yr</w:t>
            </w:r>
          </w:p>
        </w:tc>
        <w:tc>
          <w:tcPr>
            <w:tcW w:type="dxa" w:w="2181"/>
          </w:tcPr>
          <w:p>
            <w:pPr>
              <w:spacing w:before="0" w:after="0" w:line="252" w:lineRule="auto"/>
            </w:pPr>
          </w:p>
        </w:tc>
      </w:tr>
      <w:tr>
        <w:trPr>
          <w:cantSplit w:val="true"/>
        </w:trPr>
        <w:tc>
          <w:tcPr>
            <w:tcW w:type="dxa" w:w="3570"/>
            <w:shd w:val="clear" w:color="auto" w:fill="F2F5F9"/>
          </w:tcPr>
          <w:p>
            <w:pPr>
              <w:spacing w:before="0" w:after="0" w:line="252" w:lineRule="auto"/>
            </w:pPr>
            <w:r>
              <w:rPr>
                <w:sz w:val="18"/>
              </w:rPr>
              <w:t>NPV = 0 needs (one at a time)</w:t>
            </w:r>
          </w:p>
        </w:tc>
        <w:tc>
          <w:tcPr>
            <w:tcW w:type="dxa" w:w="3887"/>
            <w:shd w:val="clear" w:color="auto" w:fill="F2F5F9"/>
          </w:tcPr>
          <w:p>
            <w:pPr>
              <w:spacing w:before="0" w:after="0" w:line="252" w:lineRule="auto"/>
            </w:pPr>
            <w:r>
              <w:rPr>
                <w:sz w:val="18"/>
              </w:rPr>
              <w:t xml:space="preserve">134,000 m³/yr, </w:t>
            </w:r>
            <w:r>
              <w:rPr>
                <w:b/>
                <w:sz w:val="18"/>
              </w:rPr>
              <w:t>or</w:t>
            </w:r>
            <w:r>
              <w:rPr>
                <w:sz w:val="18"/>
              </w:rPr>
              <w:t xml:space="preserve"> €154.0/m³ (+14.1%), </w:t>
            </w:r>
            <w:r>
              <w:rPr>
                <w:b/>
                <w:sz w:val="18"/>
              </w:rPr>
              <w:t>or</w:t>
            </w:r>
            <w:r>
              <w:rPr>
                <w:sz w:val="18"/>
              </w:rPr>
              <w:t xml:space="preserve"> a 58.5% public premium</w:t>
            </w:r>
          </w:p>
        </w:tc>
        <w:tc>
          <w:tcPr>
            <w:tcW w:type="dxa" w:w="2181"/>
            <w:shd w:val="clear" w:color="auto" w:fill="F2F5F9"/>
          </w:tcPr>
          <w:p>
            <w:pPr>
              <w:spacing w:before="0" w:after="0" w:line="252" w:lineRule="auto"/>
            </w:pPr>
            <w:r>
              <w:rPr>
                <w:sz w:val="18"/>
              </w:rPr>
              <w:t>none realistic</w:t>
            </w:r>
          </w:p>
        </w:tc>
      </w:tr>
    </w:tbl>
    <w:p>
      <w:pPr>
        <w:spacing w:before="0" w:after="40" w:line="240" w:lineRule="auto"/>
      </w:pPr>
    </w:p>
    <w:p>
      <w:r>
        <w:rPr>
          <w:color w:val="6B6B6B"/>
          <w:sz w:val="17"/>
        </w:rPr>
        <w:t>[ESTIMATE, model `results.json`]</w:t>
      </w:r>
      <w:r>
        <w:t>.</w:t>
      </w:r>
    </w:p>
    <w:p>
      <w:pPr>
        <w:pStyle w:val="Heading2"/>
      </w:pPr>
      <w:r>
        <w:t>7.2 Base case per year (€M)</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384"/>
        <w:gridCol w:w="659"/>
        <w:gridCol w:w="659"/>
        <w:gridCol w:w="659"/>
        <w:gridCol w:w="659"/>
        <w:gridCol w:w="659"/>
        <w:gridCol w:w="659"/>
        <w:gridCol w:w="659"/>
        <w:gridCol w:w="659"/>
        <w:gridCol w:w="659"/>
        <w:gridCol w:w="659"/>
        <w:gridCol w:w="659"/>
      </w:tblGrid>
      <w:tr>
        <w:trPr>
          <w:cantSplit w:val="true"/>
          <w:tblHeader w:val="true"/>
        </w:trPr>
        <w:tc>
          <w:tcPr>
            <w:tcW w:type="dxa" w:w="2384"/>
            <w:shd w:val="clear" w:color="auto" w:fill="1F3A5F"/>
          </w:tcPr>
          <w:p>
            <w:pPr>
              <w:spacing w:before="0" w:after="0" w:line="252" w:lineRule="auto"/>
            </w:pPr>
            <w:r>
              <w:rPr>
                <w:b/>
                <w:color w:val="FFFFFF"/>
                <w:sz w:val="15"/>
              </w:rPr>
              <w:t>Year</w:t>
            </w:r>
          </w:p>
        </w:tc>
        <w:tc>
          <w:tcPr>
            <w:tcW w:type="dxa" w:w="659"/>
            <w:shd w:val="clear" w:color="auto" w:fill="1F3A5F"/>
          </w:tcPr>
          <w:p>
            <w:pPr>
              <w:spacing w:before="0" w:after="0" w:line="252" w:lineRule="auto"/>
            </w:pPr>
            <w:r>
              <w:rPr>
                <w:b/>
                <w:color w:val="FFFFFF"/>
                <w:sz w:val="15"/>
              </w:rPr>
              <w:t>2026</w:t>
            </w:r>
          </w:p>
        </w:tc>
        <w:tc>
          <w:tcPr>
            <w:tcW w:type="dxa" w:w="659"/>
            <w:shd w:val="clear" w:color="auto" w:fill="1F3A5F"/>
          </w:tcPr>
          <w:p>
            <w:pPr>
              <w:spacing w:before="0" w:after="0" w:line="252" w:lineRule="auto"/>
            </w:pPr>
            <w:r>
              <w:rPr>
                <w:b/>
                <w:color w:val="FFFFFF"/>
                <w:sz w:val="15"/>
              </w:rPr>
              <w:t>2027</w:t>
            </w:r>
          </w:p>
        </w:tc>
        <w:tc>
          <w:tcPr>
            <w:tcW w:type="dxa" w:w="659"/>
            <w:shd w:val="clear" w:color="auto" w:fill="1F3A5F"/>
          </w:tcPr>
          <w:p>
            <w:pPr>
              <w:spacing w:before="0" w:after="0" w:line="252" w:lineRule="auto"/>
            </w:pPr>
            <w:r>
              <w:rPr>
                <w:b/>
                <w:color w:val="FFFFFF"/>
                <w:sz w:val="15"/>
              </w:rPr>
              <w:t>2028</w:t>
            </w:r>
          </w:p>
        </w:tc>
        <w:tc>
          <w:tcPr>
            <w:tcW w:type="dxa" w:w="659"/>
            <w:shd w:val="clear" w:color="auto" w:fill="1F3A5F"/>
          </w:tcPr>
          <w:p>
            <w:pPr>
              <w:spacing w:before="0" w:after="0" w:line="252" w:lineRule="auto"/>
            </w:pPr>
            <w:r>
              <w:rPr>
                <w:b/>
                <w:color w:val="FFFFFF"/>
                <w:sz w:val="15"/>
              </w:rPr>
              <w:t>2029</w:t>
            </w:r>
          </w:p>
        </w:tc>
        <w:tc>
          <w:tcPr>
            <w:tcW w:type="dxa" w:w="659"/>
            <w:shd w:val="clear" w:color="auto" w:fill="1F3A5F"/>
          </w:tcPr>
          <w:p>
            <w:pPr>
              <w:spacing w:before="0" w:after="0" w:line="252" w:lineRule="auto"/>
            </w:pPr>
            <w:r>
              <w:rPr>
                <w:b/>
                <w:color w:val="FFFFFF"/>
                <w:sz w:val="15"/>
              </w:rPr>
              <w:t>2030</w:t>
            </w:r>
          </w:p>
        </w:tc>
        <w:tc>
          <w:tcPr>
            <w:tcW w:type="dxa" w:w="659"/>
            <w:shd w:val="clear" w:color="auto" w:fill="1F3A5F"/>
          </w:tcPr>
          <w:p>
            <w:pPr>
              <w:spacing w:before="0" w:after="0" w:line="252" w:lineRule="auto"/>
            </w:pPr>
            <w:r>
              <w:rPr>
                <w:b/>
                <w:color w:val="FFFFFF"/>
                <w:sz w:val="15"/>
              </w:rPr>
              <w:t>2031</w:t>
            </w:r>
          </w:p>
        </w:tc>
        <w:tc>
          <w:tcPr>
            <w:tcW w:type="dxa" w:w="659"/>
            <w:shd w:val="clear" w:color="auto" w:fill="1F3A5F"/>
          </w:tcPr>
          <w:p>
            <w:pPr>
              <w:spacing w:before="0" w:after="0" w:line="252" w:lineRule="auto"/>
            </w:pPr>
            <w:r>
              <w:rPr>
                <w:b/>
                <w:color w:val="FFFFFF"/>
                <w:sz w:val="15"/>
              </w:rPr>
              <w:t>2032</w:t>
            </w:r>
          </w:p>
        </w:tc>
        <w:tc>
          <w:tcPr>
            <w:tcW w:type="dxa" w:w="659"/>
            <w:shd w:val="clear" w:color="auto" w:fill="1F3A5F"/>
          </w:tcPr>
          <w:p>
            <w:pPr>
              <w:spacing w:before="0" w:after="0" w:line="252" w:lineRule="auto"/>
            </w:pPr>
            <w:r>
              <w:rPr>
                <w:b/>
                <w:color w:val="FFFFFF"/>
                <w:sz w:val="15"/>
              </w:rPr>
              <w:t>2033</w:t>
            </w:r>
          </w:p>
        </w:tc>
        <w:tc>
          <w:tcPr>
            <w:tcW w:type="dxa" w:w="659"/>
            <w:shd w:val="clear" w:color="auto" w:fill="1F3A5F"/>
          </w:tcPr>
          <w:p>
            <w:pPr>
              <w:spacing w:before="0" w:after="0" w:line="252" w:lineRule="auto"/>
            </w:pPr>
            <w:r>
              <w:rPr>
                <w:b/>
                <w:color w:val="FFFFFF"/>
                <w:sz w:val="15"/>
              </w:rPr>
              <w:t>2034</w:t>
            </w:r>
          </w:p>
        </w:tc>
        <w:tc>
          <w:tcPr>
            <w:tcW w:type="dxa" w:w="659"/>
            <w:shd w:val="clear" w:color="auto" w:fill="1F3A5F"/>
          </w:tcPr>
          <w:p>
            <w:pPr>
              <w:spacing w:before="0" w:after="0" w:line="252" w:lineRule="auto"/>
            </w:pPr>
            <w:r>
              <w:rPr>
                <w:b/>
                <w:color w:val="FFFFFF"/>
                <w:sz w:val="15"/>
              </w:rPr>
              <w:t>2035</w:t>
            </w:r>
          </w:p>
        </w:tc>
        <w:tc>
          <w:tcPr>
            <w:tcW w:type="dxa" w:w="659"/>
            <w:shd w:val="clear" w:color="auto" w:fill="1F3A5F"/>
          </w:tcPr>
          <w:p>
            <w:pPr>
              <w:spacing w:before="0" w:after="0" w:line="252" w:lineRule="auto"/>
            </w:pPr>
            <w:r>
              <w:rPr>
                <w:b/>
                <w:color w:val="FFFFFF"/>
                <w:sz w:val="15"/>
              </w:rPr>
              <w:t>2036</w:t>
            </w:r>
          </w:p>
        </w:tc>
      </w:tr>
      <w:tr>
        <w:trPr>
          <w:cantSplit w:val="true"/>
        </w:trPr>
        <w:tc>
          <w:tcPr>
            <w:tcW w:type="dxa" w:w="2384"/>
          </w:tcPr>
          <w:p>
            <w:pPr>
              <w:spacing w:before="0" w:after="0" w:line="252" w:lineRule="auto"/>
            </w:pPr>
            <w:r>
              <w:rPr>
                <w:sz w:val="15"/>
              </w:rPr>
              <w:t>Volume (k m³)</w:t>
            </w:r>
          </w:p>
        </w:tc>
        <w:tc>
          <w:tcPr>
            <w:tcW w:type="dxa" w:w="659"/>
          </w:tcPr>
          <w:p>
            <w:pPr>
              <w:spacing w:before="0" w:after="0" w:line="252" w:lineRule="auto"/>
              <w:jc w:val="center"/>
            </w:pPr>
            <w:r>
              <w:rPr>
                <w:sz w:val="15"/>
              </w:rPr>
              <w:t>0</w:t>
            </w:r>
          </w:p>
        </w:tc>
        <w:tc>
          <w:tcPr>
            <w:tcW w:type="dxa" w:w="659"/>
          </w:tcPr>
          <w:p>
            <w:pPr>
              <w:spacing w:before="0" w:after="0" w:line="252" w:lineRule="auto"/>
              <w:jc w:val="center"/>
            </w:pPr>
            <w:r>
              <w:rPr>
                <w:sz w:val="15"/>
              </w:rPr>
              <w:t>0</w:t>
            </w:r>
          </w:p>
        </w:tc>
        <w:tc>
          <w:tcPr>
            <w:tcW w:type="dxa" w:w="659"/>
          </w:tcPr>
          <w:p>
            <w:pPr>
              <w:spacing w:before="0" w:after="0" w:line="252" w:lineRule="auto"/>
              <w:jc w:val="center"/>
            </w:pPr>
            <w:r>
              <w:rPr>
                <w:sz w:val="15"/>
              </w:rPr>
              <w:t>35.0</w:t>
            </w:r>
          </w:p>
        </w:tc>
        <w:tc>
          <w:tcPr>
            <w:tcW w:type="dxa" w:w="659"/>
          </w:tcPr>
          <w:p>
            <w:pPr>
              <w:spacing w:before="0" w:after="0" w:line="252" w:lineRule="auto"/>
              <w:jc w:val="center"/>
            </w:pPr>
            <w:r>
              <w:rPr>
                <w:sz w:val="15"/>
              </w:rPr>
              <w:t>55.3</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c>
          <w:tcPr>
            <w:tcW w:type="dxa" w:w="659"/>
          </w:tcPr>
          <w:p>
            <w:pPr>
              <w:spacing w:before="0" w:after="0" w:line="252" w:lineRule="auto"/>
              <w:jc w:val="center"/>
            </w:pPr>
            <w:r>
              <w:rPr>
                <w:sz w:val="15"/>
              </w:rPr>
              <w:t>70.0</w:t>
            </w:r>
          </w:p>
        </w:tc>
      </w:tr>
      <w:tr>
        <w:trPr>
          <w:cantSplit w:val="true"/>
        </w:trPr>
        <w:tc>
          <w:tcPr>
            <w:tcW w:type="dxa" w:w="2384"/>
            <w:shd w:val="clear" w:color="auto" w:fill="F2F5F9"/>
          </w:tcPr>
          <w:p>
            <w:pPr>
              <w:spacing w:before="0" w:after="0" w:line="252" w:lineRule="auto"/>
            </w:pPr>
            <w:r>
              <w:rPr>
                <w:sz w:val="15"/>
              </w:rPr>
              <w:t>Revenue</w:t>
            </w:r>
          </w:p>
        </w:tc>
        <w:tc>
          <w:tcPr>
            <w:tcW w:type="dxa" w:w="659"/>
            <w:shd w:val="clear" w:color="auto" w:fill="F2F5F9"/>
          </w:tcPr>
          <w:p>
            <w:pPr>
              <w:spacing w:before="0" w:after="0" w:line="252" w:lineRule="auto"/>
              <w:jc w:val="center"/>
            </w:pPr>
            <w:r>
              <w:rPr>
                <w:sz w:val="15"/>
              </w:rPr>
              <w:t>0.00</w:t>
            </w:r>
          </w:p>
        </w:tc>
        <w:tc>
          <w:tcPr>
            <w:tcW w:type="dxa" w:w="659"/>
            <w:shd w:val="clear" w:color="auto" w:fill="F2F5F9"/>
          </w:tcPr>
          <w:p>
            <w:pPr>
              <w:spacing w:before="0" w:after="0" w:line="252" w:lineRule="auto"/>
              <w:jc w:val="center"/>
            </w:pPr>
            <w:r>
              <w:rPr>
                <w:sz w:val="15"/>
              </w:rPr>
              <w:t>0.00</w:t>
            </w:r>
          </w:p>
        </w:tc>
        <w:tc>
          <w:tcPr>
            <w:tcW w:type="dxa" w:w="659"/>
            <w:shd w:val="clear" w:color="auto" w:fill="F2F5F9"/>
          </w:tcPr>
          <w:p>
            <w:pPr>
              <w:spacing w:before="0" w:after="0" w:line="252" w:lineRule="auto"/>
              <w:jc w:val="center"/>
            </w:pPr>
            <w:r>
              <w:rPr>
                <w:sz w:val="15"/>
              </w:rPr>
              <w:t>4.75</w:t>
            </w:r>
          </w:p>
        </w:tc>
        <w:tc>
          <w:tcPr>
            <w:tcW w:type="dxa" w:w="659"/>
            <w:shd w:val="clear" w:color="auto" w:fill="F2F5F9"/>
          </w:tcPr>
          <w:p>
            <w:pPr>
              <w:spacing w:before="0" w:after="0" w:line="252" w:lineRule="auto"/>
              <w:jc w:val="center"/>
            </w:pPr>
            <w:r>
              <w:rPr>
                <w:sz w:val="15"/>
              </w:rPr>
              <w:t>7.53</w:t>
            </w:r>
          </w:p>
        </w:tc>
        <w:tc>
          <w:tcPr>
            <w:tcW w:type="dxa" w:w="659"/>
            <w:shd w:val="clear" w:color="auto" w:fill="F2F5F9"/>
          </w:tcPr>
          <w:p>
            <w:pPr>
              <w:spacing w:before="0" w:after="0" w:line="252" w:lineRule="auto"/>
              <w:jc w:val="center"/>
            </w:pPr>
            <w:r>
              <w:rPr>
                <w:sz w:val="15"/>
              </w:rPr>
              <w:t>9.61</w:t>
            </w:r>
          </w:p>
        </w:tc>
        <w:tc>
          <w:tcPr>
            <w:tcW w:type="dxa" w:w="659"/>
            <w:shd w:val="clear" w:color="auto" w:fill="F2F5F9"/>
          </w:tcPr>
          <w:p>
            <w:pPr>
              <w:spacing w:before="0" w:after="0" w:line="252" w:lineRule="auto"/>
              <w:jc w:val="center"/>
            </w:pPr>
            <w:r>
              <w:rPr>
                <w:sz w:val="15"/>
              </w:rPr>
              <w:t>9.84</w:t>
            </w:r>
          </w:p>
        </w:tc>
        <w:tc>
          <w:tcPr>
            <w:tcW w:type="dxa" w:w="659"/>
            <w:shd w:val="clear" w:color="auto" w:fill="F2F5F9"/>
          </w:tcPr>
          <w:p>
            <w:pPr>
              <w:spacing w:before="0" w:after="0" w:line="252" w:lineRule="auto"/>
              <w:jc w:val="center"/>
            </w:pPr>
            <w:r>
              <w:rPr>
                <w:sz w:val="15"/>
              </w:rPr>
              <w:t>9.88</w:t>
            </w:r>
          </w:p>
        </w:tc>
        <w:tc>
          <w:tcPr>
            <w:tcW w:type="dxa" w:w="659"/>
            <w:shd w:val="clear" w:color="auto" w:fill="F2F5F9"/>
          </w:tcPr>
          <w:p>
            <w:pPr>
              <w:spacing w:before="0" w:after="0" w:line="252" w:lineRule="auto"/>
              <w:jc w:val="center"/>
            </w:pPr>
            <w:r>
              <w:rPr>
                <w:sz w:val="15"/>
              </w:rPr>
              <w:t>9.94</w:t>
            </w:r>
          </w:p>
        </w:tc>
        <w:tc>
          <w:tcPr>
            <w:tcW w:type="dxa" w:w="659"/>
            <w:shd w:val="clear" w:color="auto" w:fill="F2F5F9"/>
          </w:tcPr>
          <w:p>
            <w:pPr>
              <w:spacing w:before="0" w:after="0" w:line="252" w:lineRule="auto"/>
              <w:jc w:val="center"/>
            </w:pPr>
            <w:r>
              <w:rPr>
                <w:sz w:val="15"/>
              </w:rPr>
              <w:t>10.00</w:t>
            </w:r>
          </w:p>
        </w:tc>
        <w:tc>
          <w:tcPr>
            <w:tcW w:type="dxa" w:w="659"/>
            <w:shd w:val="clear" w:color="auto" w:fill="F2F5F9"/>
          </w:tcPr>
          <w:p>
            <w:pPr>
              <w:spacing w:before="0" w:after="0" w:line="252" w:lineRule="auto"/>
              <w:jc w:val="center"/>
            </w:pPr>
            <w:r>
              <w:rPr>
                <w:sz w:val="15"/>
              </w:rPr>
              <w:t>10.00</w:t>
            </w:r>
          </w:p>
        </w:tc>
        <w:tc>
          <w:tcPr>
            <w:tcW w:type="dxa" w:w="659"/>
            <w:shd w:val="clear" w:color="auto" w:fill="F2F5F9"/>
          </w:tcPr>
          <w:p>
            <w:pPr>
              <w:spacing w:before="0" w:after="0" w:line="252" w:lineRule="auto"/>
              <w:jc w:val="center"/>
            </w:pPr>
            <w:r>
              <w:rPr>
                <w:sz w:val="15"/>
              </w:rPr>
              <w:t>10.00</w:t>
            </w:r>
          </w:p>
        </w:tc>
      </w:tr>
      <w:tr>
        <w:trPr>
          <w:cantSplit w:val="true"/>
        </w:trPr>
        <w:tc>
          <w:tcPr>
            <w:tcW w:type="dxa" w:w="2384"/>
          </w:tcPr>
          <w:p>
            <w:pPr>
              <w:spacing w:before="0" w:after="0" w:line="252" w:lineRule="auto"/>
            </w:pPr>
            <w:r>
              <w:rPr>
                <w:sz w:val="15"/>
              </w:rPr>
              <w:t>EBITDA</w:t>
            </w:r>
          </w:p>
        </w:tc>
        <w:tc>
          <w:tcPr>
            <w:tcW w:type="dxa" w:w="659"/>
          </w:tcPr>
          <w:p>
            <w:pPr>
              <w:spacing w:before="0" w:after="0" w:line="252" w:lineRule="auto"/>
              <w:jc w:val="center"/>
            </w:pPr>
            <w:r>
              <w:rPr>
                <w:sz w:val="15"/>
              </w:rPr>
              <w:t>0.00</w:t>
            </w:r>
          </w:p>
        </w:tc>
        <w:tc>
          <w:tcPr>
            <w:tcW w:type="dxa" w:w="659"/>
          </w:tcPr>
          <w:p>
            <w:pPr>
              <w:spacing w:before="0" w:after="0" w:line="252" w:lineRule="auto"/>
              <w:jc w:val="center"/>
            </w:pPr>
            <w:r>
              <w:rPr>
                <w:sz w:val="15"/>
              </w:rPr>
              <w:t>−0.38</w:t>
            </w:r>
          </w:p>
        </w:tc>
        <w:tc>
          <w:tcPr>
            <w:tcW w:type="dxa" w:w="659"/>
          </w:tcPr>
          <w:p>
            <w:pPr>
              <w:spacing w:before="0" w:after="0" w:line="252" w:lineRule="auto"/>
              <w:jc w:val="center"/>
            </w:pPr>
            <w:r>
              <w:rPr>
                <w:sz w:val="15"/>
              </w:rPr>
              <w:t>−0.52</w:t>
            </w:r>
          </w:p>
        </w:tc>
        <w:tc>
          <w:tcPr>
            <w:tcW w:type="dxa" w:w="659"/>
          </w:tcPr>
          <w:p>
            <w:pPr>
              <w:spacing w:before="0" w:after="0" w:line="252" w:lineRule="auto"/>
              <w:jc w:val="center"/>
            </w:pPr>
            <w:r>
              <w:rPr>
                <w:sz w:val="15"/>
              </w:rPr>
              <w:t>−0.02</w:t>
            </w:r>
          </w:p>
        </w:tc>
        <w:tc>
          <w:tcPr>
            <w:tcW w:type="dxa" w:w="659"/>
          </w:tcPr>
          <w:p>
            <w:pPr>
              <w:spacing w:before="0" w:after="0" w:line="252" w:lineRule="auto"/>
              <w:jc w:val="center"/>
            </w:pPr>
            <w:r>
              <w:rPr>
                <w:sz w:val="15"/>
              </w:rPr>
              <w:t>0.32</w:t>
            </w:r>
          </w:p>
        </w:tc>
        <w:tc>
          <w:tcPr>
            <w:tcW w:type="dxa" w:w="659"/>
          </w:tcPr>
          <w:p>
            <w:pPr>
              <w:spacing w:before="0" w:after="0" w:line="252" w:lineRule="auto"/>
              <w:jc w:val="center"/>
            </w:pPr>
            <w:r>
              <w:rPr>
                <w:sz w:val="15"/>
              </w:rPr>
              <w:t>0.25</w:t>
            </w:r>
          </w:p>
        </w:tc>
        <w:tc>
          <w:tcPr>
            <w:tcW w:type="dxa" w:w="659"/>
          </w:tcPr>
          <w:p>
            <w:pPr>
              <w:spacing w:before="0" w:after="0" w:line="252" w:lineRule="auto"/>
              <w:jc w:val="center"/>
            </w:pPr>
            <w:r>
              <w:rPr>
                <w:sz w:val="15"/>
              </w:rPr>
              <w:t>0.24</w:t>
            </w:r>
          </w:p>
        </w:tc>
        <w:tc>
          <w:tcPr>
            <w:tcW w:type="dxa" w:w="659"/>
          </w:tcPr>
          <w:p>
            <w:pPr>
              <w:spacing w:before="0" w:after="0" w:line="252" w:lineRule="auto"/>
              <w:jc w:val="center"/>
            </w:pPr>
            <w:r>
              <w:rPr>
                <w:sz w:val="15"/>
              </w:rPr>
              <w:t>0.22</w:t>
            </w:r>
          </w:p>
        </w:tc>
        <w:tc>
          <w:tcPr>
            <w:tcW w:type="dxa" w:w="659"/>
          </w:tcPr>
          <w:p>
            <w:pPr>
              <w:spacing w:before="0" w:after="0" w:line="252" w:lineRule="auto"/>
              <w:jc w:val="center"/>
            </w:pPr>
            <w:r>
              <w:rPr>
                <w:sz w:val="15"/>
              </w:rPr>
              <w:t>0.20</w:t>
            </w:r>
          </w:p>
        </w:tc>
        <w:tc>
          <w:tcPr>
            <w:tcW w:type="dxa" w:w="659"/>
          </w:tcPr>
          <w:p>
            <w:pPr>
              <w:spacing w:before="0" w:after="0" w:line="252" w:lineRule="auto"/>
              <w:jc w:val="center"/>
            </w:pPr>
            <w:r>
              <w:rPr>
                <w:sz w:val="15"/>
              </w:rPr>
              <w:t>0.19</w:t>
            </w:r>
          </w:p>
        </w:tc>
        <w:tc>
          <w:tcPr>
            <w:tcW w:type="dxa" w:w="659"/>
          </w:tcPr>
          <w:p>
            <w:pPr>
              <w:spacing w:before="0" w:after="0" w:line="252" w:lineRule="auto"/>
              <w:jc w:val="center"/>
            </w:pPr>
            <w:r>
              <w:rPr>
                <w:sz w:val="15"/>
              </w:rPr>
              <w:t>0.19</w:t>
            </w:r>
          </w:p>
        </w:tc>
      </w:tr>
      <w:tr>
        <w:trPr>
          <w:cantSplit w:val="true"/>
        </w:trPr>
        <w:tc>
          <w:tcPr>
            <w:tcW w:type="dxa" w:w="2384"/>
            <w:shd w:val="clear" w:color="auto" w:fill="F2F5F9"/>
          </w:tcPr>
          <w:p>
            <w:pPr>
              <w:spacing w:before="0" w:after="0" w:line="252" w:lineRule="auto"/>
            </w:pPr>
            <w:r>
              <w:rPr>
                <w:sz w:val="15"/>
              </w:rPr>
              <w:t>EBIT</w:t>
            </w:r>
          </w:p>
        </w:tc>
        <w:tc>
          <w:tcPr>
            <w:tcW w:type="dxa" w:w="659"/>
            <w:shd w:val="clear" w:color="auto" w:fill="F2F5F9"/>
          </w:tcPr>
          <w:p>
            <w:pPr>
              <w:spacing w:before="0" w:after="0" w:line="252" w:lineRule="auto"/>
              <w:jc w:val="center"/>
            </w:pPr>
            <w:r>
              <w:rPr>
                <w:sz w:val="15"/>
              </w:rPr>
              <w:t>0.00</w:t>
            </w:r>
          </w:p>
        </w:tc>
        <w:tc>
          <w:tcPr>
            <w:tcW w:type="dxa" w:w="659"/>
            <w:shd w:val="clear" w:color="auto" w:fill="F2F5F9"/>
          </w:tcPr>
          <w:p>
            <w:pPr>
              <w:spacing w:before="0" w:after="0" w:line="252" w:lineRule="auto"/>
              <w:jc w:val="center"/>
            </w:pPr>
            <w:r>
              <w:rPr>
                <w:sz w:val="15"/>
              </w:rPr>
              <w:t>−0.38</w:t>
            </w:r>
          </w:p>
        </w:tc>
        <w:tc>
          <w:tcPr>
            <w:tcW w:type="dxa" w:w="659"/>
            <w:shd w:val="clear" w:color="auto" w:fill="F2F5F9"/>
          </w:tcPr>
          <w:p>
            <w:pPr>
              <w:spacing w:before="0" w:after="0" w:line="252" w:lineRule="auto"/>
              <w:jc w:val="center"/>
            </w:pPr>
            <w:r>
              <w:rPr>
                <w:sz w:val="15"/>
              </w:rPr>
              <w:t>−0.77</w:t>
            </w:r>
          </w:p>
        </w:tc>
        <w:tc>
          <w:tcPr>
            <w:tcW w:type="dxa" w:w="659"/>
            <w:shd w:val="clear" w:color="auto" w:fill="F2F5F9"/>
          </w:tcPr>
          <w:p>
            <w:pPr>
              <w:spacing w:before="0" w:after="0" w:line="252" w:lineRule="auto"/>
              <w:jc w:val="center"/>
            </w:pPr>
            <w:r>
              <w:rPr>
                <w:sz w:val="15"/>
              </w:rPr>
              <w:t>−0.27</w:t>
            </w:r>
          </w:p>
        </w:tc>
        <w:tc>
          <w:tcPr>
            <w:tcW w:type="dxa" w:w="659"/>
            <w:shd w:val="clear" w:color="auto" w:fill="F2F5F9"/>
          </w:tcPr>
          <w:p>
            <w:pPr>
              <w:spacing w:before="0" w:after="0" w:line="252" w:lineRule="auto"/>
              <w:jc w:val="center"/>
            </w:pPr>
            <w:r>
              <w:rPr>
                <w:sz w:val="15"/>
              </w:rPr>
              <w:t>0.07</w:t>
            </w:r>
          </w:p>
        </w:tc>
        <w:tc>
          <w:tcPr>
            <w:tcW w:type="dxa" w:w="659"/>
            <w:shd w:val="clear" w:color="auto" w:fill="F2F5F9"/>
          </w:tcPr>
          <w:p>
            <w:pPr>
              <w:spacing w:before="0" w:after="0" w:line="252" w:lineRule="auto"/>
              <w:jc w:val="center"/>
            </w:pPr>
            <w:r>
              <w:rPr>
                <w:sz w:val="15"/>
              </w:rPr>
              <w:t>−0.00</w:t>
            </w:r>
          </w:p>
        </w:tc>
        <w:tc>
          <w:tcPr>
            <w:tcW w:type="dxa" w:w="659"/>
            <w:shd w:val="clear" w:color="auto" w:fill="F2F5F9"/>
          </w:tcPr>
          <w:p>
            <w:pPr>
              <w:spacing w:before="0" w:after="0" w:line="252" w:lineRule="auto"/>
              <w:jc w:val="center"/>
            </w:pPr>
            <w:r>
              <w:rPr>
                <w:sz w:val="15"/>
              </w:rPr>
              <w:t>−0.02</w:t>
            </w:r>
          </w:p>
        </w:tc>
        <w:tc>
          <w:tcPr>
            <w:tcW w:type="dxa" w:w="659"/>
            <w:shd w:val="clear" w:color="auto" w:fill="F2F5F9"/>
          </w:tcPr>
          <w:p>
            <w:pPr>
              <w:spacing w:before="0" w:after="0" w:line="252" w:lineRule="auto"/>
              <w:jc w:val="center"/>
            </w:pPr>
            <w:r>
              <w:rPr>
                <w:sz w:val="15"/>
              </w:rPr>
              <w:t>−0.04</w:t>
            </w:r>
          </w:p>
        </w:tc>
        <w:tc>
          <w:tcPr>
            <w:tcW w:type="dxa" w:w="659"/>
            <w:shd w:val="clear" w:color="auto" w:fill="F2F5F9"/>
          </w:tcPr>
          <w:p>
            <w:pPr>
              <w:spacing w:before="0" w:after="0" w:line="252" w:lineRule="auto"/>
              <w:jc w:val="center"/>
            </w:pPr>
            <w:r>
              <w:rPr>
                <w:sz w:val="15"/>
              </w:rPr>
              <w:t>−0.07</w:t>
            </w:r>
          </w:p>
        </w:tc>
        <w:tc>
          <w:tcPr>
            <w:tcW w:type="dxa" w:w="659"/>
            <w:shd w:val="clear" w:color="auto" w:fill="F2F5F9"/>
          </w:tcPr>
          <w:p>
            <w:pPr>
              <w:spacing w:before="0" w:after="0" w:line="252" w:lineRule="auto"/>
              <w:jc w:val="center"/>
            </w:pPr>
            <w:r>
              <w:rPr>
                <w:sz w:val="15"/>
              </w:rPr>
              <w:t>−0.07</w:t>
            </w:r>
          </w:p>
        </w:tc>
        <w:tc>
          <w:tcPr>
            <w:tcW w:type="dxa" w:w="659"/>
            <w:shd w:val="clear" w:color="auto" w:fill="F2F5F9"/>
          </w:tcPr>
          <w:p>
            <w:pPr>
              <w:spacing w:before="0" w:after="0" w:line="252" w:lineRule="auto"/>
              <w:jc w:val="center"/>
            </w:pPr>
            <w:r>
              <w:rPr>
                <w:sz w:val="15"/>
              </w:rPr>
              <w:t>−0.08</w:t>
            </w:r>
          </w:p>
        </w:tc>
      </w:tr>
      <w:tr>
        <w:trPr>
          <w:cantSplit w:val="true"/>
        </w:trPr>
        <w:tc>
          <w:tcPr>
            <w:tcW w:type="dxa" w:w="2384"/>
          </w:tcPr>
          <w:p>
            <w:pPr>
              <w:spacing w:before="0" w:after="0" w:line="252" w:lineRule="auto"/>
            </w:pPr>
            <w:r>
              <w:rPr>
                <w:sz w:val="15"/>
              </w:rPr>
              <w:t>Free cash flow</w:t>
            </w:r>
          </w:p>
        </w:tc>
        <w:tc>
          <w:tcPr>
            <w:tcW w:type="dxa" w:w="659"/>
          </w:tcPr>
          <w:p>
            <w:pPr>
              <w:spacing w:before="0" w:after="0" w:line="252" w:lineRule="auto"/>
              <w:jc w:val="center"/>
            </w:pPr>
            <w:r>
              <w:rPr>
                <w:sz w:val="15"/>
              </w:rPr>
              <w:t>−0.50</w:t>
            </w:r>
          </w:p>
        </w:tc>
        <w:tc>
          <w:tcPr>
            <w:tcW w:type="dxa" w:w="659"/>
          </w:tcPr>
          <w:p>
            <w:pPr>
              <w:spacing w:before="0" w:after="0" w:line="252" w:lineRule="auto"/>
              <w:jc w:val="center"/>
            </w:pPr>
            <w:r>
              <w:rPr>
                <w:sz w:val="15"/>
              </w:rPr>
              <w:t>−4.98</w:t>
            </w:r>
          </w:p>
        </w:tc>
        <w:tc>
          <w:tcPr>
            <w:tcW w:type="dxa" w:w="659"/>
          </w:tcPr>
          <w:p>
            <w:pPr>
              <w:spacing w:before="0" w:after="0" w:line="252" w:lineRule="auto"/>
              <w:jc w:val="center"/>
            </w:pPr>
            <w:r>
              <w:rPr>
                <w:sz w:val="15"/>
              </w:rPr>
              <w:t>−1.18</w:t>
            </w:r>
          </w:p>
        </w:tc>
        <w:tc>
          <w:tcPr>
            <w:tcW w:type="dxa" w:w="659"/>
          </w:tcPr>
          <w:p>
            <w:pPr>
              <w:spacing w:before="0" w:after="0" w:line="252" w:lineRule="auto"/>
              <w:jc w:val="center"/>
            </w:pPr>
            <w:r>
              <w:rPr>
                <w:sz w:val="15"/>
              </w:rPr>
              <w:t>−0.43</w:t>
            </w:r>
          </w:p>
        </w:tc>
        <w:tc>
          <w:tcPr>
            <w:tcW w:type="dxa" w:w="659"/>
          </w:tcPr>
          <w:p>
            <w:pPr>
              <w:spacing w:before="0" w:after="0" w:line="252" w:lineRule="auto"/>
              <w:jc w:val="center"/>
            </w:pPr>
            <w:r>
              <w:rPr>
                <w:sz w:val="15"/>
              </w:rPr>
              <w:t>0.01</w:t>
            </w:r>
          </w:p>
        </w:tc>
        <w:tc>
          <w:tcPr>
            <w:tcW w:type="dxa" w:w="659"/>
          </w:tcPr>
          <w:p>
            <w:pPr>
              <w:spacing w:before="0" w:after="0" w:line="252" w:lineRule="auto"/>
              <w:jc w:val="center"/>
            </w:pPr>
            <w:r>
              <w:rPr>
                <w:sz w:val="15"/>
              </w:rPr>
              <w:t>0.18</w:t>
            </w:r>
          </w:p>
        </w:tc>
        <w:tc>
          <w:tcPr>
            <w:tcW w:type="dxa" w:w="659"/>
          </w:tcPr>
          <w:p>
            <w:pPr>
              <w:spacing w:before="0" w:after="0" w:line="252" w:lineRule="auto"/>
              <w:jc w:val="center"/>
            </w:pPr>
            <w:r>
              <w:rPr>
                <w:sz w:val="15"/>
              </w:rPr>
              <w:t>0.18</w:t>
            </w:r>
          </w:p>
        </w:tc>
        <w:tc>
          <w:tcPr>
            <w:tcW w:type="dxa" w:w="659"/>
          </w:tcPr>
          <w:p>
            <w:pPr>
              <w:spacing w:before="0" w:after="0" w:line="252" w:lineRule="auto"/>
              <w:jc w:val="center"/>
            </w:pPr>
            <w:r>
              <w:rPr>
                <w:sz w:val="15"/>
              </w:rPr>
              <w:t>0.16</w:t>
            </w:r>
          </w:p>
        </w:tc>
        <w:tc>
          <w:tcPr>
            <w:tcW w:type="dxa" w:w="659"/>
          </w:tcPr>
          <w:p>
            <w:pPr>
              <w:spacing w:before="0" w:after="0" w:line="252" w:lineRule="auto"/>
              <w:jc w:val="center"/>
            </w:pPr>
            <w:r>
              <w:rPr>
                <w:sz w:val="15"/>
              </w:rPr>
              <w:t>0.14</w:t>
            </w:r>
          </w:p>
        </w:tc>
        <w:tc>
          <w:tcPr>
            <w:tcW w:type="dxa" w:w="659"/>
          </w:tcPr>
          <w:p>
            <w:pPr>
              <w:spacing w:before="0" w:after="0" w:line="252" w:lineRule="auto"/>
              <w:jc w:val="center"/>
            </w:pPr>
            <w:r>
              <w:rPr>
                <w:sz w:val="15"/>
              </w:rPr>
              <w:t>0.14</w:t>
            </w:r>
          </w:p>
        </w:tc>
        <w:tc>
          <w:tcPr>
            <w:tcW w:type="dxa" w:w="659"/>
          </w:tcPr>
          <w:p>
            <w:pPr>
              <w:spacing w:before="0" w:after="0" w:line="252" w:lineRule="auto"/>
              <w:jc w:val="center"/>
            </w:pPr>
            <w:r>
              <w:rPr>
                <w:sz w:val="15"/>
              </w:rPr>
              <w:t>1.39</w:t>
            </w:r>
          </w:p>
        </w:tc>
      </w:tr>
      <w:tr>
        <w:trPr>
          <w:cantSplit w:val="true"/>
        </w:trPr>
        <w:tc>
          <w:tcPr>
            <w:tcW w:type="dxa" w:w="2384"/>
            <w:shd w:val="clear" w:color="auto" w:fill="F2F5F9"/>
          </w:tcPr>
          <w:p>
            <w:pPr>
              <w:spacing w:before="0" w:after="0" w:line="252" w:lineRule="auto"/>
            </w:pPr>
            <w:r>
              <w:rPr>
                <w:sz w:val="15"/>
              </w:rPr>
              <w:t>Cumulative free cash flow</w:t>
            </w:r>
          </w:p>
        </w:tc>
        <w:tc>
          <w:tcPr>
            <w:tcW w:type="dxa" w:w="659"/>
            <w:shd w:val="clear" w:color="auto" w:fill="F2F5F9"/>
          </w:tcPr>
          <w:p>
            <w:pPr>
              <w:spacing w:before="0" w:after="0" w:line="252" w:lineRule="auto"/>
              <w:jc w:val="center"/>
            </w:pPr>
            <w:r>
              <w:rPr>
                <w:sz w:val="15"/>
              </w:rPr>
              <w:t>−0.50</w:t>
            </w:r>
          </w:p>
        </w:tc>
        <w:tc>
          <w:tcPr>
            <w:tcW w:type="dxa" w:w="659"/>
            <w:shd w:val="clear" w:color="auto" w:fill="F2F5F9"/>
          </w:tcPr>
          <w:p>
            <w:pPr>
              <w:spacing w:before="0" w:after="0" w:line="252" w:lineRule="auto"/>
              <w:jc w:val="center"/>
            </w:pPr>
            <w:r>
              <w:rPr>
                <w:sz w:val="15"/>
              </w:rPr>
              <w:t>−5.48</w:t>
            </w:r>
          </w:p>
        </w:tc>
        <w:tc>
          <w:tcPr>
            <w:tcW w:type="dxa" w:w="659"/>
            <w:shd w:val="clear" w:color="auto" w:fill="F2F5F9"/>
          </w:tcPr>
          <w:p>
            <w:pPr>
              <w:spacing w:before="0" w:after="0" w:line="252" w:lineRule="auto"/>
              <w:jc w:val="center"/>
            </w:pPr>
            <w:r>
              <w:rPr>
                <w:sz w:val="15"/>
              </w:rPr>
              <w:t>−6.66</w:t>
            </w:r>
          </w:p>
        </w:tc>
        <w:tc>
          <w:tcPr>
            <w:tcW w:type="dxa" w:w="659"/>
            <w:shd w:val="clear" w:color="auto" w:fill="F2F5F9"/>
          </w:tcPr>
          <w:p>
            <w:pPr>
              <w:spacing w:before="0" w:after="0" w:line="252" w:lineRule="auto"/>
              <w:jc w:val="center"/>
            </w:pPr>
            <w:r>
              <w:rPr>
                <w:sz w:val="15"/>
              </w:rPr>
              <w:t>−7.09</w:t>
            </w:r>
          </w:p>
        </w:tc>
        <w:tc>
          <w:tcPr>
            <w:tcW w:type="dxa" w:w="659"/>
            <w:shd w:val="clear" w:color="auto" w:fill="F2F5F9"/>
          </w:tcPr>
          <w:p>
            <w:pPr>
              <w:spacing w:before="0" w:after="0" w:line="252" w:lineRule="auto"/>
              <w:jc w:val="center"/>
            </w:pPr>
            <w:r>
              <w:rPr>
                <w:sz w:val="15"/>
              </w:rPr>
              <w:t>−7.08</w:t>
            </w:r>
          </w:p>
        </w:tc>
        <w:tc>
          <w:tcPr>
            <w:tcW w:type="dxa" w:w="659"/>
            <w:shd w:val="clear" w:color="auto" w:fill="F2F5F9"/>
          </w:tcPr>
          <w:p>
            <w:pPr>
              <w:spacing w:before="0" w:after="0" w:line="252" w:lineRule="auto"/>
              <w:jc w:val="center"/>
            </w:pPr>
            <w:r>
              <w:rPr>
                <w:sz w:val="15"/>
              </w:rPr>
              <w:t>−6.89</w:t>
            </w:r>
          </w:p>
        </w:tc>
        <w:tc>
          <w:tcPr>
            <w:tcW w:type="dxa" w:w="659"/>
            <w:shd w:val="clear" w:color="auto" w:fill="F2F5F9"/>
          </w:tcPr>
          <w:p>
            <w:pPr>
              <w:spacing w:before="0" w:after="0" w:line="252" w:lineRule="auto"/>
              <w:jc w:val="center"/>
            </w:pPr>
            <w:r>
              <w:rPr>
                <w:sz w:val="15"/>
              </w:rPr>
              <w:t>−6.71</w:t>
            </w:r>
          </w:p>
        </w:tc>
        <w:tc>
          <w:tcPr>
            <w:tcW w:type="dxa" w:w="659"/>
            <w:shd w:val="clear" w:color="auto" w:fill="F2F5F9"/>
          </w:tcPr>
          <w:p>
            <w:pPr>
              <w:spacing w:before="0" w:after="0" w:line="252" w:lineRule="auto"/>
              <w:jc w:val="center"/>
            </w:pPr>
            <w:r>
              <w:rPr>
                <w:sz w:val="15"/>
              </w:rPr>
              <w:t>−6.55</w:t>
            </w:r>
          </w:p>
        </w:tc>
        <w:tc>
          <w:tcPr>
            <w:tcW w:type="dxa" w:w="659"/>
            <w:shd w:val="clear" w:color="auto" w:fill="F2F5F9"/>
          </w:tcPr>
          <w:p>
            <w:pPr>
              <w:spacing w:before="0" w:after="0" w:line="252" w:lineRule="auto"/>
              <w:jc w:val="center"/>
            </w:pPr>
            <w:r>
              <w:rPr>
                <w:sz w:val="15"/>
              </w:rPr>
              <w:t>−6.41</w:t>
            </w:r>
          </w:p>
        </w:tc>
        <w:tc>
          <w:tcPr>
            <w:tcW w:type="dxa" w:w="659"/>
            <w:shd w:val="clear" w:color="auto" w:fill="F2F5F9"/>
          </w:tcPr>
          <w:p>
            <w:pPr>
              <w:spacing w:before="0" w:after="0" w:line="252" w:lineRule="auto"/>
              <w:jc w:val="center"/>
            </w:pPr>
            <w:r>
              <w:rPr>
                <w:sz w:val="15"/>
              </w:rPr>
              <w:t>−6.26</w:t>
            </w:r>
          </w:p>
        </w:tc>
        <w:tc>
          <w:tcPr>
            <w:tcW w:type="dxa" w:w="659"/>
            <w:shd w:val="clear" w:color="auto" w:fill="F2F5F9"/>
          </w:tcPr>
          <w:p>
            <w:pPr>
              <w:spacing w:before="0" w:after="0" w:line="252" w:lineRule="auto"/>
              <w:jc w:val="center"/>
            </w:pPr>
            <w:r>
              <w:rPr>
                <w:sz w:val="15"/>
              </w:rPr>
              <w:t>−4.87</w:t>
            </w:r>
          </w:p>
        </w:tc>
      </w:tr>
    </w:tbl>
    <w:p>
      <w:pPr>
        <w:spacing w:before="0" w:after="40" w:line="240" w:lineRule="auto"/>
      </w:pPr>
    </w:p>
    <w:p>
      <w:r>
        <w:rPr>
          <w:color w:val="6B6B6B"/>
          <w:sz w:val="17"/>
        </w:rPr>
        <w:t>[ESTIMATE, model]</w:t>
      </w:r>
      <w:r>
        <w:t>. 2036 free cash flow includes €1.25M salvage value (25% of plant and civil capex). Tax losses are carried forward; no tax is paid in the period.</w:t>
      </w:r>
    </w:p>
    <w:p>
      <w:pPr>
        <w:keepNext/>
        <w:spacing w:before="120" w:after="40" w:line="240" w:lineRule="auto"/>
        <w:jc w:val="center"/>
      </w:pPr>
      <w:r>
        <w:drawing>
          <wp:inline xmlns:a="http://schemas.openxmlformats.org/drawingml/2006/main" xmlns:pic="http://schemas.openxmlformats.org/drawingml/2006/picture">
            <wp:extent cx="5940000" cy="3621141"/>
            <wp:docPr id="2" name="Picture 2"/>
            <wp:cNvGraphicFramePr>
              <a:graphicFrameLocks noChangeAspect="1"/>
            </wp:cNvGraphicFramePr>
            <a:graphic>
              <a:graphicData uri="http://schemas.openxmlformats.org/drawingml/2006/picture">
                <pic:pic>
                  <pic:nvPicPr>
                    <pic:cNvPr id="0" name="cashflow_10yr.png"/>
                    <pic:cNvPicPr/>
                  </pic:nvPicPr>
                  <pic:blipFill>
                    <a:blip r:embed="rId12"/>
                    <a:stretch>
                      <a:fillRect/>
                    </a:stretch>
                  </pic:blipFill>
                  <pic:spPr>
                    <a:xfrm>
                      <a:off x="0" y="0"/>
                      <a:ext cx="5940000" cy="3621141"/>
                    </a:xfrm>
                    <a:prstGeom prst="rect"/>
                  </pic:spPr>
                </pic:pic>
              </a:graphicData>
            </a:graphic>
          </wp:inline>
        </w:drawing>
      </w:r>
    </w:p>
    <w:p>
      <w:pPr>
        <w:spacing w:before="0" w:after="200" w:line="264" w:lineRule="auto"/>
      </w:pPr>
      <w:r>
        <w:rPr>
          <w:i/>
          <w:color w:val="6B6B6B"/>
          <w:sz w:val="18"/>
        </w:rPr>
        <w:t>Figure 2: Free cash flow per year and cumulative (base case). The lowest point, €7.1M, is the funding need.</w:t>
      </w:r>
    </w:p>
    <w:p>
      <w:pPr>
        <w:keepNext/>
        <w:spacing w:before="120" w:after="40" w:line="240" w:lineRule="auto"/>
        <w:jc w:val="center"/>
      </w:pPr>
      <w:r>
        <w:drawing>
          <wp:inline xmlns:a="http://schemas.openxmlformats.org/drawingml/2006/main" xmlns:pic="http://schemas.openxmlformats.org/drawingml/2006/picture">
            <wp:extent cx="5940000" cy="3043280"/>
            <wp:docPr id="3" name="Picture 3"/>
            <wp:cNvGraphicFramePr>
              <a:graphicFrameLocks noChangeAspect="1"/>
            </wp:cNvGraphicFramePr>
            <a:graphic>
              <a:graphicData uri="http://schemas.openxmlformats.org/drawingml/2006/picture">
                <pic:pic>
                  <pic:nvPicPr>
                    <pic:cNvPr id="0" name="ebitda_by_year.png"/>
                    <pic:cNvPicPr/>
                  </pic:nvPicPr>
                  <pic:blipFill>
                    <a:blip r:embed="rId13"/>
                    <a:stretch>
                      <a:fillRect/>
                    </a:stretch>
                  </pic:blipFill>
                  <pic:spPr>
                    <a:xfrm>
                      <a:off x="0" y="0"/>
                      <a:ext cx="5940000" cy="3043280"/>
                    </a:xfrm>
                    <a:prstGeom prst="rect"/>
                  </pic:spPr>
                </pic:pic>
              </a:graphicData>
            </a:graphic>
          </wp:inline>
        </w:drawing>
      </w:r>
    </w:p>
    <w:p>
      <w:pPr>
        <w:spacing w:before="0" w:after="200" w:line="264" w:lineRule="auto"/>
      </w:pPr>
      <w:r>
        <w:rPr>
          <w:i/>
          <w:color w:val="6B6B6B"/>
          <w:sz w:val="18"/>
        </w:rPr>
        <w:t>Figure 3: EBITDA per year (base case). It turns positive in 2030 but stays at €0.2–0.3M a year.</w:t>
      </w:r>
    </w:p>
    <w:p>
      <w:r>
        <w:rPr>
          <w:b/>
        </w:rPr>
        <w:t>Why EBITDA falls after 2030.</w:t>
      </w:r>
      <w:r>
        <w:t xml:space="preserve"> Cement carbon and slag costs rise faster than the 80% we assume is passed on in concrete prices. Both pass-through rates (85% for cement, 80% for concrete) are </w:t>
      </w:r>
      <w:r>
        <w:rPr>
          <w:b/>
        </w:rPr>
        <w:t>key judgement calls without a source</w:t>
      </w:r>
      <w:r>
        <w:t xml:space="preserve"> </w:t>
      </w:r>
      <w:r>
        <w:rPr>
          <w:color w:val="6B6B6B"/>
          <w:sz w:val="17"/>
        </w:rPr>
        <w:t>[ASSUMPTION, A-POL-09, A-CST-13]</w:t>
      </w:r>
      <w:r>
        <w:t>. With 100% concrete pass-through, NPV improves to −€4.93M. The verdict does not change.</w:t>
      </w:r>
    </w:p>
    <w:p>
      <w:r>
        <w:rPr>
          <w:b/>
        </w:rPr>
        <w:t>Funding.</w:t>
      </w:r>
      <w:r>
        <w:t xml:space="preserve"> We do not propose a funding mix, because the project does not earn its cost of capital. EBITDA of €0.2–0.3M a year cannot carry a meaningful bank loan </w:t>
      </w:r>
      <w:r>
        <w:rPr>
          <w:color w:val="6B6B6B"/>
          <w:sz w:val="17"/>
        </w:rPr>
        <w:t>[ESTIMATE]</w:t>
      </w:r>
      <w:r>
        <w:t>.</w:t>
      </w:r>
    </w:p>
    <w:p>
      <w:pPr>
        <w:pStyle w:val="Heading2"/>
      </w:pPr>
      <w:r>
        <w:t>7.3 Sensitivity: what moves NPV</w:t>
      </w:r>
    </w:p>
    <w:p>
      <w:pPr>
        <w:keepNext/>
        <w:spacing w:before="120" w:after="40" w:line="240" w:lineRule="auto"/>
        <w:jc w:val="center"/>
      </w:pPr>
      <w:r>
        <w:drawing>
          <wp:inline xmlns:a="http://schemas.openxmlformats.org/drawingml/2006/main" xmlns:pic="http://schemas.openxmlformats.org/drawingml/2006/picture">
            <wp:extent cx="5940000" cy="3410725"/>
            <wp:docPr id="4" name="Picture 4"/>
            <wp:cNvGraphicFramePr>
              <a:graphicFrameLocks noChangeAspect="1"/>
            </wp:cNvGraphicFramePr>
            <a:graphic>
              <a:graphicData uri="http://schemas.openxmlformats.org/drawingml/2006/picture">
                <pic:pic>
                  <pic:nvPicPr>
                    <pic:cNvPr id="0" name="tornado_npv.png"/>
                    <pic:cNvPicPr/>
                  </pic:nvPicPr>
                  <pic:blipFill>
                    <a:blip r:embed="rId14"/>
                    <a:stretch>
                      <a:fillRect/>
                    </a:stretch>
                  </pic:blipFill>
                  <pic:spPr>
                    <a:xfrm>
                      <a:off x="0" y="0"/>
                      <a:ext cx="5940000" cy="3410725"/>
                    </a:xfrm>
                    <a:prstGeom prst="rect"/>
                  </pic:spPr>
                </pic:pic>
              </a:graphicData>
            </a:graphic>
          </wp:inline>
        </w:drawing>
      </w:r>
    </w:p>
    <w:p>
      <w:pPr>
        <w:spacing w:before="0" w:after="200" w:line="264" w:lineRule="auto"/>
      </w:pPr>
      <w:r>
        <w:rPr>
          <w:i/>
          <w:color w:val="6B6B6B"/>
          <w:sz w:val="18"/>
        </w:rPr>
        <w:t>Figure 4: Tornado chart — NPV when one input at a time moves to its low or high value.</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6015"/>
        <w:gridCol w:w="1252"/>
        <w:gridCol w:w="1252"/>
        <w:gridCol w:w="1116"/>
      </w:tblGrid>
      <w:tr>
        <w:trPr>
          <w:cantSplit w:val="true"/>
          <w:tblHeader w:val="true"/>
        </w:trPr>
        <w:tc>
          <w:tcPr>
            <w:tcW w:type="dxa" w:w="6016"/>
            <w:shd w:val="clear" w:color="auto" w:fill="1F3A5F"/>
          </w:tcPr>
          <w:p>
            <w:pPr>
              <w:spacing w:before="0" w:after="0" w:line="252" w:lineRule="auto"/>
            </w:pPr>
            <w:r>
              <w:rPr>
                <w:b/>
                <w:color w:val="FFFFFF"/>
                <w:sz w:val="18"/>
              </w:rPr>
              <w:t>Driver (low / high input)</w:t>
            </w:r>
          </w:p>
        </w:tc>
        <w:tc>
          <w:tcPr>
            <w:tcW w:type="dxa" w:w="1253"/>
            <w:shd w:val="clear" w:color="auto" w:fill="1F3A5F"/>
          </w:tcPr>
          <w:p>
            <w:pPr>
              <w:spacing w:before="0" w:after="0" w:line="252" w:lineRule="auto"/>
            </w:pPr>
            <w:r>
              <w:rPr>
                <w:b/>
                <w:color w:val="FFFFFF"/>
                <w:sz w:val="18"/>
              </w:rPr>
              <w:t>NPV at low</w:t>
            </w:r>
          </w:p>
        </w:tc>
        <w:tc>
          <w:tcPr>
            <w:tcW w:type="dxa" w:w="1253"/>
            <w:shd w:val="clear" w:color="auto" w:fill="1F3A5F"/>
          </w:tcPr>
          <w:p>
            <w:pPr>
              <w:spacing w:before="0" w:after="0" w:line="252" w:lineRule="auto"/>
            </w:pPr>
            <w:r>
              <w:rPr>
                <w:b/>
                <w:color w:val="FFFFFF"/>
                <w:sz w:val="18"/>
              </w:rPr>
              <w:t>NPV at high</w:t>
            </w:r>
          </w:p>
        </w:tc>
        <w:tc>
          <w:tcPr>
            <w:tcW w:type="dxa" w:w="1117"/>
            <w:shd w:val="clear" w:color="auto" w:fill="1F3A5F"/>
          </w:tcPr>
          <w:p>
            <w:pPr>
              <w:spacing w:before="0" w:after="0" w:line="252" w:lineRule="auto"/>
            </w:pPr>
            <w:r>
              <w:rPr>
                <w:b/>
                <w:color w:val="FFFFFF"/>
                <w:sz w:val="18"/>
              </w:rPr>
              <w:t>Swing</w:t>
            </w:r>
          </w:p>
        </w:tc>
      </w:tr>
      <w:tr>
        <w:trPr>
          <w:cantSplit w:val="true"/>
        </w:trPr>
        <w:tc>
          <w:tcPr>
            <w:tcW w:type="dxa" w:w="6016"/>
          </w:tcPr>
          <w:p>
            <w:pPr>
              <w:spacing w:before="0" w:after="0" w:line="252" w:lineRule="auto"/>
            </w:pPr>
            <w:r>
              <w:rPr>
                <w:b/>
                <w:sz w:val="18"/>
              </w:rPr>
              <w:t>Average selling price</w:t>
            </w:r>
            <w:r>
              <w:rPr>
                <w:sz w:val="18"/>
              </w:rPr>
              <w:t xml:space="preserve"> (€115 / €155 per m³)</w:t>
            </w:r>
          </w:p>
        </w:tc>
        <w:tc>
          <w:tcPr>
            <w:tcW w:type="dxa" w:w="1253"/>
          </w:tcPr>
          <w:p>
            <w:pPr>
              <w:spacing w:before="0" w:after="0" w:line="252" w:lineRule="auto"/>
              <w:jc w:val="center"/>
            </w:pPr>
            <w:r>
              <w:rPr>
                <w:sz w:val="18"/>
              </w:rPr>
              <w:t>−€12.4M</w:t>
            </w:r>
          </w:p>
        </w:tc>
        <w:tc>
          <w:tcPr>
            <w:tcW w:type="dxa" w:w="1253"/>
          </w:tcPr>
          <w:p>
            <w:pPr>
              <w:spacing w:before="0" w:after="0" w:line="252" w:lineRule="auto"/>
              <w:jc w:val="center"/>
            </w:pPr>
            <w:r>
              <w:rPr>
                <w:b/>
                <w:sz w:val="18"/>
              </w:rPr>
              <w:t>+€0.25M</w:t>
            </w:r>
          </w:p>
        </w:tc>
        <w:tc>
          <w:tcPr>
            <w:tcW w:type="dxa" w:w="1117"/>
          </w:tcPr>
          <w:p>
            <w:pPr>
              <w:spacing w:before="0" w:after="0" w:line="252" w:lineRule="auto"/>
              <w:jc w:val="center"/>
            </w:pPr>
            <w:r>
              <w:rPr>
                <w:sz w:val="18"/>
              </w:rPr>
              <w:t>€12.6M</w:t>
            </w:r>
          </w:p>
        </w:tc>
      </w:tr>
      <w:tr>
        <w:trPr>
          <w:cantSplit w:val="true"/>
        </w:trPr>
        <w:tc>
          <w:tcPr>
            <w:tcW w:type="dxa" w:w="6016"/>
            <w:shd w:val="clear" w:color="auto" w:fill="F2F5F9"/>
          </w:tcPr>
          <w:p>
            <w:pPr>
              <w:spacing w:before="0" w:after="0" w:line="252" w:lineRule="auto"/>
            </w:pPr>
            <w:r>
              <w:rPr>
                <w:sz w:val="18"/>
              </w:rPr>
              <w:t>Concrete delivery distance (10 / 35 km)</w:t>
            </w:r>
          </w:p>
        </w:tc>
        <w:tc>
          <w:tcPr>
            <w:tcW w:type="dxa" w:w="1253"/>
            <w:shd w:val="clear" w:color="auto" w:fill="F2F5F9"/>
          </w:tcPr>
          <w:p>
            <w:pPr>
              <w:spacing w:before="0" w:after="0" w:line="252" w:lineRule="auto"/>
              <w:jc w:val="center"/>
            </w:pPr>
            <w:r>
              <w:rPr>
                <w:sz w:val="18"/>
              </w:rPr>
              <w:t>−€3.5M</w:t>
            </w:r>
          </w:p>
        </w:tc>
        <w:tc>
          <w:tcPr>
            <w:tcW w:type="dxa" w:w="1253"/>
            <w:shd w:val="clear" w:color="auto" w:fill="F2F5F9"/>
          </w:tcPr>
          <w:p>
            <w:pPr>
              <w:spacing w:before="0" w:after="0" w:line="252" w:lineRule="auto"/>
              <w:jc w:val="center"/>
            </w:pPr>
            <w:r>
              <w:rPr>
                <w:sz w:val="18"/>
              </w:rPr>
              <w:t>−€8.4M</w:t>
            </w:r>
          </w:p>
        </w:tc>
        <w:tc>
          <w:tcPr>
            <w:tcW w:type="dxa" w:w="1117"/>
            <w:shd w:val="clear" w:color="auto" w:fill="F2F5F9"/>
          </w:tcPr>
          <w:p>
            <w:pPr>
              <w:spacing w:before="0" w:after="0" w:line="252" w:lineRule="auto"/>
              <w:jc w:val="center"/>
            </w:pPr>
            <w:r>
              <w:rPr>
                <w:sz w:val="18"/>
              </w:rPr>
              <w:t>€4.9M</w:t>
            </w:r>
          </w:p>
        </w:tc>
      </w:tr>
      <w:tr>
        <w:trPr>
          <w:cantSplit w:val="true"/>
        </w:trPr>
        <w:tc>
          <w:tcPr>
            <w:tcW w:type="dxa" w:w="6016"/>
          </w:tcPr>
          <w:p>
            <w:pPr>
              <w:spacing w:before="0" w:after="0" w:line="252" w:lineRule="auto"/>
            </w:pPr>
            <w:r>
              <w:rPr>
                <w:sz w:val="18"/>
              </w:rPr>
              <w:t>Gravel price (€25 / €40 per t)</w:t>
            </w:r>
          </w:p>
        </w:tc>
        <w:tc>
          <w:tcPr>
            <w:tcW w:type="dxa" w:w="1253"/>
          </w:tcPr>
          <w:p>
            <w:pPr>
              <w:spacing w:before="0" w:after="0" w:line="252" w:lineRule="auto"/>
              <w:jc w:val="center"/>
            </w:pPr>
            <w:r>
              <w:rPr>
                <w:sz w:val="18"/>
              </w:rPr>
              <w:t>−€3.4M</w:t>
            </w:r>
          </w:p>
        </w:tc>
        <w:tc>
          <w:tcPr>
            <w:tcW w:type="dxa" w:w="1253"/>
          </w:tcPr>
          <w:p>
            <w:pPr>
              <w:spacing w:before="0" w:after="0" w:line="252" w:lineRule="auto"/>
              <w:jc w:val="center"/>
            </w:pPr>
            <w:r>
              <w:rPr>
                <w:sz w:val="18"/>
              </w:rPr>
              <w:t>−€7.8M</w:t>
            </w:r>
          </w:p>
        </w:tc>
        <w:tc>
          <w:tcPr>
            <w:tcW w:type="dxa" w:w="1117"/>
          </w:tcPr>
          <w:p>
            <w:pPr>
              <w:spacing w:before="0" w:after="0" w:line="252" w:lineRule="auto"/>
              <w:jc w:val="center"/>
            </w:pPr>
            <w:r>
              <w:rPr>
                <w:sz w:val="18"/>
              </w:rPr>
              <w:t>€4.5M</w:t>
            </w:r>
          </w:p>
        </w:tc>
      </w:tr>
      <w:tr>
        <w:trPr>
          <w:cantSplit w:val="true"/>
        </w:trPr>
        <w:tc>
          <w:tcPr>
            <w:tcW w:type="dxa" w:w="6016"/>
            <w:shd w:val="clear" w:color="auto" w:fill="F2F5F9"/>
          </w:tcPr>
          <w:p>
            <w:pPr>
              <w:spacing w:before="0" w:after="0" w:line="252" w:lineRule="auto"/>
            </w:pPr>
            <w:r>
              <w:rPr>
                <w:sz w:val="18"/>
              </w:rPr>
              <w:t>Plant utilisation (50k / 90k m³/yr)</w:t>
            </w:r>
          </w:p>
        </w:tc>
        <w:tc>
          <w:tcPr>
            <w:tcW w:type="dxa" w:w="1253"/>
            <w:shd w:val="clear" w:color="auto" w:fill="F2F5F9"/>
          </w:tcPr>
          <w:p>
            <w:pPr>
              <w:spacing w:before="0" w:after="0" w:line="252" w:lineRule="auto"/>
              <w:jc w:val="center"/>
            </w:pPr>
            <w:r>
              <w:rPr>
                <w:sz w:val="18"/>
              </w:rPr>
              <w:t>−€7.5M</w:t>
            </w:r>
          </w:p>
        </w:tc>
        <w:tc>
          <w:tcPr>
            <w:tcW w:type="dxa" w:w="1253"/>
            <w:shd w:val="clear" w:color="auto" w:fill="F2F5F9"/>
          </w:tcPr>
          <w:p>
            <w:pPr>
              <w:spacing w:before="0" w:after="0" w:line="252" w:lineRule="auto"/>
              <w:jc w:val="center"/>
            </w:pPr>
            <w:r>
              <w:rPr>
                <w:sz w:val="18"/>
              </w:rPr>
              <w:t>−€3.4M</w:t>
            </w:r>
          </w:p>
        </w:tc>
        <w:tc>
          <w:tcPr>
            <w:tcW w:type="dxa" w:w="1117"/>
            <w:shd w:val="clear" w:color="auto" w:fill="F2F5F9"/>
          </w:tcPr>
          <w:p>
            <w:pPr>
              <w:spacing w:before="0" w:after="0" w:line="252" w:lineRule="auto"/>
              <w:jc w:val="center"/>
            </w:pPr>
            <w:r>
              <w:rPr>
                <w:sz w:val="18"/>
              </w:rPr>
              <w:t>€4.1M</w:t>
            </w:r>
          </w:p>
        </w:tc>
      </w:tr>
      <w:tr>
        <w:trPr>
          <w:cantSplit w:val="true"/>
        </w:trPr>
        <w:tc>
          <w:tcPr>
            <w:tcW w:type="dxa" w:w="6016"/>
          </w:tcPr>
          <w:p>
            <w:pPr>
              <w:spacing w:before="0" w:after="0" w:line="252" w:lineRule="auto"/>
            </w:pPr>
            <w:r>
              <w:rPr>
                <w:sz w:val="18"/>
              </w:rPr>
              <w:t>Capex (€4.0M / €8.0M)</w:t>
            </w:r>
          </w:p>
        </w:tc>
        <w:tc>
          <w:tcPr>
            <w:tcW w:type="dxa" w:w="1253"/>
          </w:tcPr>
          <w:p>
            <w:pPr>
              <w:spacing w:before="0" w:after="0" w:line="252" w:lineRule="auto"/>
              <w:jc w:val="center"/>
            </w:pPr>
            <w:r>
              <w:rPr>
                <w:sz w:val="18"/>
              </w:rPr>
              <w:t>−€3.8M</w:t>
            </w:r>
          </w:p>
        </w:tc>
        <w:tc>
          <w:tcPr>
            <w:tcW w:type="dxa" w:w="1253"/>
          </w:tcPr>
          <w:p>
            <w:pPr>
              <w:spacing w:before="0" w:after="0" w:line="252" w:lineRule="auto"/>
              <w:jc w:val="center"/>
            </w:pPr>
            <w:r>
              <w:rPr>
                <w:sz w:val="18"/>
              </w:rPr>
              <w:t>−€7.9M</w:t>
            </w:r>
          </w:p>
        </w:tc>
        <w:tc>
          <w:tcPr>
            <w:tcW w:type="dxa" w:w="1117"/>
          </w:tcPr>
          <w:p>
            <w:pPr>
              <w:spacing w:before="0" w:after="0" w:line="252" w:lineRule="auto"/>
              <w:jc w:val="center"/>
            </w:pPr>
            <w:r>
              <w:rPr>
                <w:sz w:val="18"/>
              </w:rPr>
              <w:t>€4.1M</w:t>
            </w:r>
          </w:p>
        </w:tc>
      </w:tr>
      <w:tr>
        <w:trPr>
          <w:cantSplit w:val="true"/>
        </w:trPr>
        <w:tc>
          <w:tcPr>
            <w:tcW w:type="dxa" w:w="6016"/>
            <w:shd w:val="clear" w:color="auto" w:fill="F2F5F9"/>
          </w:tcPr>
          <w:p>
            <w:pPr>
              <w:spacing w:before="0" w:after="0" w:line="252" w:lineRule="auto"/>
            </w:pPr>
            <w:r>
              <w:rPr>
                <w:sz w:val="18"/>
              </w:rPr>
              <w:t>Cement price 2026 (€95 / €130 per t)</w:t>
            </w:r>
          </w:p>
        </w:tc>
        <w:tc>
          <w:tcPr>
            <w:tcW w:type="dxa" w:w="1253"/>
            <w:shd w:val="clear" w:color="auto" w:fill="F2F5F9"/>
          </w:tcPr>
          <w:p>
            <w:pPr>
              <w:spacing w:before="0" w:after="0" w:line="252" w:lineRule="auto"/>
              <w:jc w:val="center"/>
            </w:pPr>
            <w:r>
              <w:rPr>
                <w:sz w:val="18"/>
              </w:rPr>
              <w:t>−€3.7M</w:t>
            </w:r>
          </w:p>
        </w:tc>
        <w:tc>
          <w:tcPr>
            <w:tcW w:type="dxa" w:w="1253"/>
            <w:shd w:val="clear" w:color="auto" w:fill="F2F5F9"/>
          </w:tcPr>
          <w:p>
            <w:pPr>
              <w:spacing w:before="0" w:after="0" w:line="252" w:lineRule="auto"/>
              <w:jc w:val="center"/>
            </w:pPr>
            <w:r>
              <w:rPr>
                <w:sz w:val="18"/>
              </w:rPr>
              <w:t>−€7.7M</w:t>
            </w:r>
          </w:p>
        </w:tc>
        <w:tc>
          <w:tcPr>
            <w:tcW w:type="dxa" w:w="1117"/>
            <w:shd w:val="clear" w:color="auto" w:fill="F2F5F9"/>
          </w:tcPr>
          <w:p>
            <w:pPr>
              <w:spacing w:before="0" w:after="0" w:line="252" w:lineRule="auto"/>
              <w:jc w:val="center"/>
            </w:pPr>
            <w:r>
              <w:rPr>
                <w:sz w:val="18"/>
              </w:rPr>
              <w:t>€4.0M</w:t>
            </w:r>
          </w:p>
        </w:tc>
      </w:tr>
      <w:tr>
        <w:trPr>
          <w:cantSplit w:val="true"/>
        </w:trPr>
        <w:tc>
          <w:tcPr>
            <w:tcW w:type="dxa" w:w="6016"/>
          </w:tcPr>
          <w:p>
            <w:pPr>
              <w:spacing w:before="0" w:after="0" w:line="252" w:lineRule="auto"/>
            </w:pPr>
            <w:r>
              <w:rPr>
                <w:sz w:val="18"/>
              </w:rPr>
              <w:t>Truck-mixer load (8 / 10 m³)</w:t>
            </w:r>
          </w:p>
        </w:tc>
        <w:tc>
          <w:tcPr>
            <w:tcW w:type="dxa" w:w="1253"/>
          </w:tcPr>
          <w:p>
            <w:pPr>
              <w:spacing w:before="0" w:after="0" w:line="252" w:lineRule="auto"/>
              <w:jc w:val="center"/>
            </w:pPr>
            <w:r>
              <w:rPr>
                <w:sz w:val="18"/>
              </w:rPr>
              <w:t>−€6.3M</w:t>
            </w:r>
          </w:p>
        </w:tc>
        <w:tc>
          <w:tcPr>
            <w:tcW w:type="dxa" w:w="1253"/>
          </w:tcPr>
          <w:p>
            <w:pPr>
              <w:spacing w:before="0" w:after="0" w:line="252" w:lineRule="auto"/>
              <w:jc w:val="center"/>
            </w:pPr>
            <w:r>
              <w:rPr>
                <w:sz w:val="18"/>
              </w:rPr>
              <w:t>−€4.6M</w:t>
            </w:r>
          </w:p>
        </w:tc>
        <w:tc>
          <w:tcPr>
            <w:tcW w:type="dxa" w:w="1117"/>
          </w:tcPr>
          <w:p>
            <w:pPr>
              <w:spacing w:before="0" w:after="0" w:line="252" w:lineRule="auto"/>
              <w:jc w:val="center"/>
            </w:pPr>
            <w:r>
              <w:rPr>
                <w:sz w:val="18"/>
              </w:rPr>
              <w:t>€1.7M</w:t>
            </w:r>
          </w:p>
        </w:tc>
      </w:tr>
      <w:tr>
        <w:trPr>
          <w:cantSplit w:val="true"/>
        </w:trPr>
        <w:tc>
          <w:tcPr>
            <w:tcW w:type="dxa" w:w="6016"/>
            <w:shd w:val="clear" w:color="auto" w:fill="F2F5F9"/>
          </w:tcPr>
          <w:p>
            <w:pPr>
              <w:spacing w:before="0" w:after="0" w:line="252" w:lineRule="auto"/>
            </w:pPr>
            <w:r>
              <w:rPr>
                <w:sz w:val="18"/>
              </w:rPr>
              <w:t>RCA ex-works price (€10 / €25 per t)</w:t>
            </w:r>
          </w:p>
        </w:tc>
        <w:tc>
          <w:tcPr>
            <w:tcW w:type="dxa" w:w="1253"/>
            <w:shd w:val="clear" w:color="auto" w:fill="F2F5F9"/>
          </w:tcPr>
          <w:p>
            <w:pPr>
              <w:spacing w:before="0" w:after="0" w:line="252" w:lineRule="auto"/>
              <w:jc w:val="center"/>
            </w:pPr>
            <w:r>
              <w:rPr>
                <w:sz w:val="18"/>
              </w:rPr>
              <w:t>−€4.7M</w:t>
            </w:r>
          </w:p>
        </w:tc>
        <w:tc>
          <w:tcPr>
            <w:tcW w:type="dxa" w:w="1253"/>
            <w:shd w:val="clear" w:color="auto" w:fill="F2F5F9"/>
          </w:tcPr>
          <w:p>
            <w:pPr>
              <w:spacing w:before="0" w:after="0" w:line="252" w:lineRule="auto"/>
              <w:jc w:val="center"/>
            </w:pPr>
            <w:r>
              <w:rPr>
                <w:sz w:val="18"/>
              </w:rPr>
              <w:t>−€6.5M</w:t>
            </w:r>
          </w:p>
        </w:tc>
        <w:tc>
          <w:tcPr>
            <w:tcW w:type="dxa" w:w="1117"/>
            <w:shd w:val="clear" w:color="auto" w:fill="F2F5F9"/>
          </w:tcPr>
          <w:p>
            <w:pPr>
              <w:spacing w:before="0" w:after="0" w:line="252" w:lineRule="auto"/>
              <w:jc w:val="center"/>
            </w:pPr>
            <w:r>
              <w:rPr>
                <w:sz w:val="18"/>
              </w:rPr>
              <w:t>€1.8M</w:t>
            </w:r>
          </w:p>
        </w:tc>
      </w:tr>
      <w:tr>
        <w:trPr>
          <w:cantSplit w:val="true"/>
        </w:trPr>
        <w:tc>
          <w:tcPr>
            <w:tcW w:type="dxa" w:w="6016"/>
          </w:tcPr>
          <w:p>
            <w:pPr>
              <w:spacing w:before="0" w:after="0" w:line="252" w:lineRule="auto"/>
            </w:pPr>
            <w:r>
              <w:rPr>
                <w:sz w:val="18"/>
              </w:rPr>
              <w:t>Green premium (low / high)</w:t>
            </w:r>
          </w:p>
        </w:tc>
        <w:tc>
          <w:tcPr>
            <w:tcW w:type="dxa" w:w="1253"/>
          </w:tcPr>
          <w:p>
            <w:pPr>
              <w:spacing w:before="0" w:after="0" w:line="252" w:lineRule="auto"/>
              <w:jc w:val="center"/>
            </w:pPr>
            <w:r>
              <w:rPr>
                <w:sz w:val="18"/>
              </w:rPr>
              <w:t>−€5.9M</w:t>
            </w:r>
          </w:p>
        </w:tc>
        <w:tc>
          <w:tcPr>
            <w:tcW w:type="dxa" w:w="1253"/>
          </w:tcPr>
          <w:p>
            <w:pPr>
              <w:spacing w:before="0" w:after="0" w:line="252" w:lineRule="auto"/>
              <w:jc w:val="center"/>
            </w:pPr>
            <w:r>
              <w:rPr>
                <w:sz w:val="18"/>
              </w:rPr>
              <w:t>−€4.6M</w:t>
            </w:r>
          </w:p>
        </w:tc>
        <w:tc>
          <w:tcPr>
            <w:tcW w:type="dxa" w:w="1117"/>
          </w:tcPr>
          <w:p>
            <w:pPr>
              <w:spacing w:before="0" w:after="0" w:line="252" w:lineRule="auto"/>
              <w:jc w:val="center"/>
            </w:pPr>
            <w:r>
              <w:rPr>
                <w:sz w:val="18"/>
              </w:rPr>
              <w:t>€1.2M</w:t>
            </w:r>
          </w:p>
        </w:tc>
      </w:tr>
      <w:tr>
        <w:trPr>
          <w:cantSplit w:val="true"/>
        </w:trPr>
        <w:tc>
          <w:tcPr>
            <w:tcW w:type="dxa" w:w="6016"/>
            <w:shd w:val="clear" w:color="auto" w:fill="F2F5F9"/>
          </w:tcPr>
          <w:p>
            <w:pPr>
              <w:spacing w:before="0" w:after="0" w:line="252" w:lineRule="auto"/>
            </w:pPr>
            <w:r>
              <w:rPr>
                <w:sz w:val="18"/>
              </w:rPr>
              <w:t>ETS/CBAM carbon path only</w:t>
            </w:r>
          </w:p>
        </w:tc>
        <w:tc>
          <w:tcPr>
            <w:tcW w:type="dxa" w:w="1253"/>
            <w:shd w:val="clear" w:color="auto" w:fill="F2F5F9"/>
          </w:tcPr>
          <w:p>
            <w:pPr>
              <w:spacing w:before="0" w:after="0" w:line="252" w:lineRule="auto"/>
              <w:jc w:val="center"/>
            </w:pPr>
            <w:r>
              <w:rPr>
                <w:sz w:val="18"/>
              </w:rPr>
              <w:t>−€5.2M</w:t>
            </w:r>
          </w:p>
        </w:tc>
        <w:tc>
          <w:tcPr>
            <w:tcW w:type="dxa" w:w="1253"/>
            <w:shd w:val="clear" w:color="auto" w:fill="F2F5F9"/>
          </w:tcPr>
          <w:p>
            <w:pPr>
              <w:spacing w:before="0" w:after="0" w:line="252" w:lineRule="auto"/>
              <w:jc w:val="center"/>
            </w:pPr>
            <w:r>
              <w:rPr>
                <w:sz w:val="18"/>
              </w:rPr>
              <w:t>−€5.6M</w:t>
            </w:r>
          </w:p>
        </w:tc>
        <w:tc>
          <w:tcPr>
            <w:tcW w:type="dxa" w:w="1117"/>
            <w:shd w:val="clear" w:color="auto" w:fill="F2F5F9"/>
          </w:tcPr>
          <w:p>
            <w:pPr>
              <w:spacing w:before="0" w:after="0" w:line="252" w:lineRule="auto"/>
              <w:jc w:val="center"/>
            </w:pPr>
            <w:r>
              <w:rPr>
                <w:sz w:val="18"/>
              </w:rPr>
              <w:t>€0.45M</w:t>
            </w:r>
          </w:p>
        </w:tc>
      </w:tr>
      <w:tr>
        <w:trPr>
          <w:cantSplit w:val="true"/>
        </w:trPr>
        <w:tc>
          <w:tcPr>
            <w:tcW w:type="dxa" w:w="6016"/>
          </w:tcPr>
          <w:p>
            <w:pPr>
              <w:spacing w:before="0" w:after="0" w:line="252" w:lineRule="auto"/>
            </w:pPr>
            <w:r>
              <w:rPr>
                <w:sz w:val="18"/>
              </w:rPr>
              <w:t>Discount rate (6% / 10%)</w:t>
            </w:r>
          </w:p>
        </w:tc>
        <w:tc>
          <w:tcPr>
            <w:tcW w:type="dxa" w:w="1253"/>
          </w:tcPr>
          <w:p>
            <w:pPr>
              <w:spacing w:before="0" w:after="0" w:line="252" w:lineRule="auto"/>
              <w:jc w:val="center"/>
            </w:pPr>
            <w:r>
              <w:rPr>
                <w:sz w:val="18"/>
              </w:rPr>
              <w:t>−€5.3M</w:t>
            </w:r>
          </w:p>
        </w:tc>
        <w:tc>
          <w:tcPr>
            <w:tcW w:type="dxa" w:w="1253"/>
          </w:tcPr>
          <w:p>
            <w:pPr>
              <w:spacing w:before="0" w:after="0" w:line="252" w:lineRule="auto"/>
              <w:jc w:val="center"/>
            </w:pPr>
            <w:r>
              <w:rPr>
                <w:sz w:val="18"/>
              </w:rPr>
              <w:t>−€5.4M</w:t>
            </w:r>
          </w:p>
        </w:tc>
        <w:tc>
          <w:tcPr>
            <w:tcW w:type="dxa" w:w="1117"/>
          </w:tcPr>
          <w:p>
            <w:pPr>
              <w:spacing w:before="0" w:after="0" w:line="252" w:lineRule="auto"/>
              <w:jc w:val="center"/>
            </w:pPr>
            <w:r>
              <w:rPr>
                <w:sz w:val="18"/>
              </w:rPr>
              <w:t>€0.08M</w:t>
            </w:r>
          </w:p>
        </w:tc>
      </w:tr>
    </w:tbl>
    <w:p>
      <w:pPr>
        <w:spacing w:before="0" w:after="40" w:line="240" w:lineRule="auto"/>
      </w:pPr>
    </w:p>
    <w:p>
      <w:r>
        <w:rPr>
          <w:color w:val="6B6B6B"/>
          <w:sz w:val="17"/>
        </w:rPr>
        <w:t>[ESTIMATE, model; 25 driver groups in the Sensitivity sheet]</w:t>
      </w:r>
      <w:r>
        <w:t xml:space="preserve">. </w:t>
      </w:r>
      <w:r>
        <w:rPr>
          <w:b/>
        </w:rPr>
        <w:t>Only one single change lifts NPV above zero: a high selling price (€155/m³).</w:t>
      </w:r>
      <w:r>
        <w:t xml:space="preserve"> The two "circular" levers — green premium and RCA price — matter little.</w:t>
      </w:r>
    </w:p>
    <w:p>
      <w:r>
        <w:rPr>
          <w:b/>
        </w:rPr>
        <w:t>The price risk points down, not up.</w:t>
      </w:r>
      <w:r>
        <w:t xml:space="preserve"> Our €135/m³ rests on a secondary source. The primary GWL list gives C20/25 €130 and C30/37 €139.5–144.5 retail; contract prices are normally at or below retail. At €130/m³ NPV would be </w:t>
      </w:r>
      <w:r>
        <w:rPr>
          <w:b/>
        </w:rPr>
        <w:t>−€7.1M</w:t>
      </w:r>
      <w:r>
        <w:t xml:space="preserve"> </w:t>
      </w:r>
      <w:r>
        <w:rPr>
          <w:color w:val="6B6B6B"/>
          <w:sz w:val="17"/>
        </w:rPr>
        <w:t>[ESTIMATE]</w:t>
      </w:r>
      <w:r>
        <w:t>.</w:t>
      </w:r>
    </w:p>
    <w:p>
      <w:pPr>
        <w:keepNext/>
        <w:spacing w:before="120" w:after="40" w:line="240" w:lineRule="auto"/>
        <w:jc w:val="center"/>
      </w:pPr>
      <w:r>
        <w:drawing>
          <wp:inline xmlns:a="http://schemas.openxmlformats.org/drawingml/2006/main" xmlns:pic="http://schemas.openxmlformats.org/drawingml/2006/picture">
            <wp:extent cx="5940000" cy="3275735"/>
            <wp:docPr id="5" name="Picture 5"/>
            <wp:cNvGraphicFramePr>
              <a:graphicFrameLocks noChangeAspect="1"/>
            </wp:cNvGraphicFramePr>
            <a:graphic>
              <a:graphicData uri="http://schemas.openxmlformats.org/drawingml/2006/picture">
                <pic:pic>
                  <pic:nvPicPr>
                    <pic:cNvPr id="0" name="breakeven.png"/>
                    <pic:cNvPicPr/>
                  </pic:nvPicPr>
                  <pic:blipFill>
                    <a:blip r:embed="rId15"/>
                    <a:stretch>
                      <a:fillRect/>
                    </a:stretch>
                  </pic:blipFill>
                  <pic:spPr>
                    <a:xfrm>
                      <a:off x="0" y="0"/>
                      <a:ext cx="5940000" cy="3275735"/>
                    </a:xfrm>
                    <a:prstGeom prst="rect"/>
                  </pic:spPr>
                </pic:pic>
              </a:graphicData>
            </a:graphic>
          </wp:inline>
        </w:drawing>
      </w:r>
    </w:p>
    <w:p>
      <w:pPr>
        <w:spacing w:before="0" w:after="200" w:line="264" w:lineRule="auto"/>
      </w:pPr>
      <w:r>
        <w:rPr>
          <w:i/>
          <w:color w:val="6B6B6B"/>
          <w:sz w:val="18"/>
        </w:rPr>
        <w:t>Figure 5: What it takes to reach NPV = 0 — volume (left) or average price (right), other inputs at base.</w:t>
      </w:r>
    </w:p>
    <w:p>
      <w:pPr>
        <w:pStyle w:val="Heading2"/>
      </w:pPr>
      <w:r>
        <w:t>7.4 Scenarios — stress bounds and the realistic range</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591"/>
        <w:gridCol w:w="2409"/>
        <w:gridCol w:w="2409"/>
        <w:gridCol w:w="2226"/>
      </w:tblGrid>
      <w:tr>
        <w:trPr>
          <w:cantSplit w:val="true"/>
          <w:tblHeader w:val="true"/>
        </w:trPr>
        <w:tc>
          <w:tcPr>
            <w:tcW w:type="dxa" w:w="2592"/>
            <w:shd w:val="clear" w:color="auto" w:fill="1F3A5F"/>
          </w:tcPr>
          <w:p>
            <w:pPr>
              <w:spacing w:before="0" w:after="0" w:line="252" w:lineRule="auto"/>
            </w:pPr>
            <w:r>
              <w:rPr>
                <w:b/>
                <w:color w:val="FFFFFF"/>
                <w:sz w:val="18"/>
              </w:rPr>
              <w:t>KPI</w:t>
            </w:r>
          </w:p>
        </w:tc>
        <w:tc>
          <w:tcPr>
            <w:tcW w:type="dxa" w:w="2409"/>
            <w:shd w:val="clear" w:color="auto" w:fill="1F3A5F"/>
          </w:tcPr>
          <w:p>
            <w:pPr>
              <w:spacing w:before="0" w:after="0" w:line="252" w:lineRule="auto"/>
            </w:pPr>
            <w:r>
              <w:rPr>
                <w:b/>
                <w:color w:val="FFFFFF"/>
                <w:sz w:val="18"/>
              </w:rPr>
              <w:t>Pessimistic (all inputs bad)</w:t>
            </w:r>
          </w:p>
        </w:tc>
        <w:tc>
          <w:tcPr>
            <w:tcW w:type="dxa" w:w="2409"/>
            <w:shd w:val="clear" w:color="auto" w:fill="1F3A5F"/>
          </w:tcPr>
          <w:p>
            <w:pPr>
              <w:spacing w:before="0" w:after="0" w:line="252" w:lineRule="auto"/>
            </w:pPr>
            <w:r>
              <w:rPr>
                <w:b/>
                <w:color w:val="FFFFFF"/>
                <w:sz w:val="18"/>
              </w:rPr>
              <w:t>Base</w:t>
            </w:r>
          </w:p>
        </w:tc>
        <w:tc>
          <w:tcPr>
            <w:tcW w:type="dxa" w:w="2227"/>
            <w:shd w:val="clear" w:color="auto" w:fill="1F3A5F"/>
          </w:tcPr>
          <w:p>
            <w:pPr>
              <w:spacing w:before="0" w:after="0" w:line="252" w:lineRule="auto"/>
            </w:pPr>
            <w:r>
              <w:rPr>
                <w:b/>
                <w:color w:val="FFFFFF"/>
                <w:sz w:val="18"/>
              </w:rPr>
              <w:t>Optimistic (all inputs good)</w:t>
            </w:r>
          </w:p>
        </w:tc>
      </w:tr>
      <w:tr>
        <w:trPr>
          <w:cantSplit w:val="true"/>
        </w:trPr>
        <w:tc>
          <w:tcPr>
            <w:tcW w:type="dxa" w:w="2592"/>
          </w:tcPr>
          <w:p>
            <w:pPr>
              <w:spacing w:before="0" w:after="0" w:line="252" w:lineRule="auto"/>
            </w:pPr>
            <w:r>
              <w:rPr>
                <w:sz w:val="18"/>
              </w:rPr>
              <w:t>NPV</w:t>
            </w:r>
          </w:p>
        </w:tc>
        <w:tc>
          <w:tcPr>
            <w:tcW w:type="dxa" w:w="2409"/>
          </w:tcPr>
          <w:p>
            <w:pPr>
              <w:spacing w:before="0" w:after="0" w:line="252" w:lineRule="auto"/>
              <w:jc w:val="center"/>
            </w:pPr>
            <w:r>
              <w:rPr>
                <w:sz w:val="18"/>
              </w:rPr>
              <w:t>−€35.5M</w:t>
            </w:r>
          </w:p>
        </w:tc>
        <w:tc>
          <w:tcPr>
            <w:tcW w:type="dxa" w:w="2409"/>
          </w:tcPr>
          <w:p>
            <w:pPr>
              <w:spacing w:before="0" w:after="0" w:line="252" w:lineRule="auto"/>
              <w:jc w:val="center"/>
            </w:pPr>
            <w:r>
              <w:rPr>
                <w:b/>
                <w:sz w:val="18"/>
              </w:rPr>
              <w:t>−€5.33M</w:t>
            </w:r>
          </w:p>
        </w:tc>
        <w:tc>
          <w:tcPr>
            <w:tcW w:type="dxa" w:w="2227"/>
          </w:tcPr>
          <w:p>
            <w:pPr>
              <w:spacing w:before="0" w:after="0" w:line="252" w:lineRule="auto"/>
              <w:jc w:val="center"/>
            </w:pPr>
            <w:r>
              <w:rPr>
                <w:sz w:val="18"/>
              </w:rPr>
              <w:t>+€24.5M</w:t>
            </w:r>
          </w:p>
        </w:tc>
      </w:tr>
      <w:tr>
        <w:trPr>
          <w:cantSplit w:val="true"/>
        </w:trPr>
        <w:tc>
          <w:tcPr>
            <w:tcW w:type="dxa" w:w="2592"/>
            <w:shd w:val="clear" w:color="auto" w:fill="F2F5F9"/>
          </w:tcPr>
          <w:p>
            <w:pPr>
              <w:spacing w:before="0" w:after="0" w:line="252" w:lineRule="auto"/>
            </w:pPr>
            <w:r>
              <w:rPr>
                <w:sz w:val="18"/>
              </w:rPr>
              <w:t>IRR</w:t>
            </w:r>
          </w:p>
        </w:tc>
        <w:tc>
          <w:tcPr>
            <w:tcW w:type="dxa" w:w="2409"/>
            <w:shd w:val="clear" w:color="auto" w:fill="F2F5F9"/>
          </w:tcPr>
          <w:p>
            <w:pPr>
              <w:spacing w:before="0" w:after="0" w:line="252" w:lineRule="auto"/>
            </w:pPr>
            <w:r>
              <w:rPr>
                <w:sz w:val="18"/>
              </w:rPr>
              <w:t>n/a</w:t>
            </w:r>
          </w:p>
        </w:tc>
        <w:tc>
          <w:tcPr>
            <w:tcW w:type="dxa" w:w="2409"/>
            <w:shd w:val="clear" w:color="auto" w:fill="F2F5F9"/>
          </w:tcPr>
          <w:p>
            <w:pPr>
              <w:spacing w:before="0" w:after="0" w:line="252" w:lineRule="auto"/>
              <w:jc w:val="center"/>
            </w:pPr>
            <w:r>
              <w:rPr>
                <w:b/>
                <w:sz w:val="18"/>
              </w:rPr>
              <w:t>−13.9%</w:t>
            </w:r>
          </w:p>
        </w:tc>
        <w:tc>
          <w:tcPr>
            <w:tcW w:type="dxa" w:w="2227"/>
            <w:shd w:val="clear" w:color="auto" w:fill="F2F5F9"/>
          </w:tcPr>
          <w:p>
            <w:pPr>
              <w:spacing w:before="0" w:after="0" w:line="252" w:lineRule="auto"/>
              <w:jc w:val="center"/>
            </w:pPr>
            <w:r>
              <w:rPr>
                <w:sz w:val="18"/>
              </w:rPr>
              <w:t>103.7%</w:t>
            </w:r>
          </w:p>
        </w:tc>
      </w:tr>
      <w:tr>
        <w:trPr>
          <w:cantSplit w:val="true"/>
        </w:trPr>
        <w:tc>
          <w:tcPr>
            <w:tcW w:type="dxa" w:w="2592"/>
          </w:tcPr>
          <w:p>
            <w:pPr>
              <w:spacing w:before="0" w:after="0" w:line="252" w:lineRule="auto"/>
            </w:pPr>
            <w:r>
              <w:rPr>
                <w:sz w:val="18"/>
              </w:rPr>
              <w:t>Payback</w:t>
            </w:r>
          </w:p>
        </w:tc>
        <w:tc>
          <w:tcPr>
            <w:tcW w:type="dxa" w:w="2409"/>
          </w:tcPr>
          <w:p>
            <w:pPr>
              <w:spacing w:before="0" w:after="0" w:line="252" w:lineRule="auto"/>
            </w:pPr>
            <w:r>
              <w:rPr>
                <w:sz w:val="18"/>
              </w:rPr>
              <w:t>not reached</w:t>
            </w:r>
          </w:p>
        </w:tc>
        <w:tc>
          <w:tcPr>
            <w:tcW w:type="dxa" w:w="2409"/>
          </w:tcPr>
          <w:p>
            <w:pPr>
              <w:spacing w:before="0" w:after="0" w:line="252" w:lineRule="auto"/>
            </w:pPr>
            <w:r>
              <w:rPr>
                <w:b/>
                <w:sz w:val="18"/>
              </w:rPr>
              <w:t>not reached</w:t>
            </w:r>
          </w:p>
        </w:tc>
        <w:tc>
          <w:tcPr>
            <w:tcW w:type="dxa" w:w="2227"/>
          </w:tcPr>
          <w:p>
            <w:pPr>
              <w:spacing w:before="0" w:after="0" w:line="252" w:lineRule="auto"/>
              <w:jc w:val="center"/>
            </w:pPr>
            <w:r>
              <w:rPr>
                <w:sz w:val="18"/>
              </w:rPr>
              <w:t>2.1 years</w:t>
            </w:r>
          </w:p>
        </w:tc>
      </w:tr>
      <w:tr>
        <w:trPr>
          <w:cantSplit w:val="true"/>
        </w:trPr>
        <w:tc>
          <w:tcPr>
            <w:tcW w:type="dxa" w:w="2592"/>
            <w:shd w:val="clear" w:color="auto" w:fill="F2F5F9"/>
          </w:tcPr>
          <w:p>
            <w:pPr>
              <w:spacing w:before="0" w:after="0" w:line="252" w:lineRule="auto"/>
            </w:pPr>
            <w:r>
              <w:rPr>
                <w:sz w:val="18"/>
              </w:rPr>
              <w:t>EBITDA 2030</w:t>
            </w:r>
          </w:p>
        </w:tc>
        <w:tc>
          <w:tcPr>
            <w:tcW w:type="dxa" w:w="2409"/>
            <w:shd w:val="clear" w:color="auto" w:fill="F2F5F9"/>
          </w:tcPr>
          <w:p>
            <w:pPr>
              <w:spacing w:before="0" w:after="0" w:line="252" w:lineRule="auto"/>
              <w:jc w:val="center"/>
            </w:pPr>
            <w:r>
              <w:rPr>
                <w:sz w:val="18"/>
              </w:rPr>
              <w:t>−€4.5M</w:t>
            </w:r>
          </w:p>
        </w:tc>
        <w:tc>
          <w:tcPr>
            <w:tcW w:type="dxa" w:w="2409"/>
            <w:shd w:val="clear" w:color="auto" w:fill="F2F5F9"/>
          </w:tcPr>
          <w:p>
            <w:pPr>
              <w:spacing w:before="0" w:after="0" w:line="252" w:lineRule="auto"/>
              <w:jc w:val="center"/>
            </w:pPr>
            <w:r>
              <w:rPr>
                <w:b/>
                <w:sz w:val="18"/>
              </w:rPr>
              <w:t>+€0.32M</w:t>
            </w:r>
          </w:p>
        </w:tc>
        <w:tc>
          <w:tcPr>
            <w:tcW w:type="dxa" w:w="2227"/>
            <w:shd w:val="clear" w:color="auto" w:fill="F2F5F9"/>
          </w:tcPr>
          <w:p>
            <w:pPr>
              <w:spacing w:before="0" w:after="0" w:line="252" w:lineRule="auto"/>
              <w:jc w:val="center"/>
            </w:pPr>
            <w:r>
              <w:rPr>
                <w:sz w:val="18"/>
              </w:rPr>
              <w:t>+€6.74M</w:t>
            </w:r>
          </w:p>
        </w:tc>
      </w:tr>
      <w:tr>
        <w:trPr>
          <w:cantSplit w:val="true"/>
        </w:trPr>
        <w:tc>
          <w:tcPr>
            <w:tcW w:type="dxa" w:w="2592"/>
          </w:tcPr>
          <w:p>
            <w:pPr>
              <w:spacing w:before="0" w:after="0" w:line="252" w:lineRule="auto"/>
            </w:pPr>
            <w:r>
              <w:rPr>
                <w:sz w:val="18"/>
              </w:rPr>
              <w:t>Funding need</w:t>
            </w:r>
          </w:p>
        </w:tc>
        <w:tc>
          <w:tcPr>
            <w:tcW w:type="dxa" w:w="2409"/>
          </w:tcPr>
          <w:p>
            <w:pPr>
              <w:spacing w:before="0" w:after="0" w:line="252" w:lineRule="auto"/>
              <w:jc w:val="center"/>
            </w:pPr>
            <w:r>
              <w:rPr>
                <w:sz w:val="18"/>
              </w:rPr>
              <w:t>€52.0M</w:t>
            </w:r>
          </w:p>
        </w:tc>
        <w:tc>
          <w:tcPr>
            <w:tcW w:type="dxa" w:w="2409"/>
          </w:tcPr>
          <w:p>
            <w:pPr>
              <w:spacing w:before="0" w:after="0" w:line="252" w:lineRule="auto"/>
              <w:jc w:val="center"/>
            </w:pPr>
            <w:r>
              <w:rPr>
                <w:b/>
                <w:sz w:val="18"/>
              </w:rPr>
              <w:t>€7.09M</w:t>
            </w:r>
          </w:p>
        </w:tc>
        <w:tc>
          <w:tcPr>
            <w:tcW w:type="dxa" w:w="2227"/>
          </w:tcPr>
          <w:p>
            <w:pPr>
              <w:spacing w:before="0" w:after="0" w:line="252" w:lineRule="auto"/>
              <w:jc w:val="center"/>
            </w:pPr>
            <w:r>
              <w:rPr>
                <w:sz w:val="18"/>
              </w:rPr>
              <w:t>€2.84M</w:t>
            </w:r>
          </w:p>
        </w:tc>
      </w:tr>
    </w:tbl>
    <w:p>
      <w:pPr>
        <w:spacing w:before="0" w:after="40" w:line="240" w:lineRule="auto"/>
      </w:pPr>
    </w:p>
    <w:p>
      <w:r>
        <w:rPr>
          <w:b/>
        </w:rPr>
        <w:t>Important: the pessimistic and optimistic columns are stress bounds, not likely cases.</w:t>
      </w:r>
      <w:r>
        <w:t xml:space="preserve"> They move every input to its bad (or good) value at the same time. That will not happen in reality.</w:t>
      </w:r>
    </w:p>
    <w:p>
      <w:r>
        <w:rPr>
          <w:b/>
        </w:rPr>
        <w:t>Indicative realistic range: NPV −€15.3M to +€2.1M.</w:t>
      </w:r>
      <w:r>
        <w:t xml:space="preserve"> This is the base NPV plus/minus the combined effect of 22 drivers (root-sum-square). It treats related drivers as independent, so it is </w:t>
      </w:r>
      <w:r>
        <w:rPr>
          <w:b/>
        </w:rPr>
        <w:t>not a probability interval</w:t>
      </w:r>
      <w:r>
        <w:t xml:space="preserve"> </w:t>
      </w:r>
      <w:r>
        <w:rPr>
          <w:color w:val="6B6B6B"/>
          <w:sz w:val="17"/>
        </w:rPr>
        <w:t>[ESTIMATE]</w:t>
      </w:r>
      <w:r>
        <w:t>. Most of the range is below zero.</w:t>
      </w:r>
    </w:p>
    <w:p>
      <w:pPr>
        <w:keepNext/>
        <w:spacing w:before="120" w:after="40" w:line="240" w:lineRule="auto"/>
        <w:jc w:val="center"/>
      </w:pPr>
      <w:r>
        <w:drawing>
          <wp:inline xmlns:a="http://schemas.openxmlformats.org/drawingml/2006/main" xmlns:pic="http://schemas.openxmlformats.org/drawingml/2006/picture">
            <wp:extent cx="5940000" cy="4273029"/>
            <wp:docPr id="6" name="Picture 6"/>
            <wp:cNvGraphicFramePr>
              <a:graphicFrameLocks noChangeAspect="1"/>
            </wp:cNvGraphicFramePr>
            <a:graphic>
              <a:graphicData uri="http://schemas.openxmlformats.org/drawingml/2006/picture">
                <pic:pic>
                  <pic:nvPicPr>
                    <pic:cNvPr id="0" name="scenarios_npv.png"/>
                    <pic:cNvPicPr/>
                  </pic:nvPicPr>
                  <pic:blipFill>
                    <a:blip r:embed="rId16"/>
                    <a:stretch>
                      <a:fillRect/>
                    </a:stretch>
                  </pic:blipFill>
                  <pic:spPr>
                    <a:xfrm>
                      <a:off x="0" y="0"/>
                      <a:ext cx="5940000" cy="4273029"/>
                    </a:xfrm>
                    <a:prstGeom prst="rect"/>
                  </pic:spPr>
                </pic:pic>
              </a:graphicData>
            </a:graphic>
          </wp:inline>
        </w:drawing>
      </w:r>
    </w:p>
    <w:p>
      <w:pPr>
        <w:spacing w:before="0" w:after="200" w:line="264" w:lineRule="auto"/>
      </w:pPr>
      <w:r>
        <w:rPr>
          <w:i/>
          <w:color w:val="6B6B6B"/>
          <w:sz w:val="18"/>
        </w:rPr>
        <w:t>Figure 6: Scenario NPVs. Pessimistic and optimistic are stress bounds where all inputs move together; they are not likely outcomes.</w:t>
      </w:r>
    </w:p>
    <w:p>
      <w:r>
        <w:rPr>
          <w:b/>
        </w:rPr>
        <w:t>Conservative choices, disclosed.</w:t>
      </w:r>
      <w:r>
        <w:t xml:space="preserve"> Two rules from the plan make NPV lower than a going-concern view: the terminal value is salvage only (25% of capex), and working capital is not released at the end. Undoing both and assuming 100% price pass-through still gives </w:t>
      </w:r>
      <w:r>
        <w:rPr>
          <w:b/>
        </w:rPr>
        <w:t>NPV −€3.42M</w:t>
      </w:r>
      <w:r>
        <w:t xml:space="preserve"> </w:t>
      </w:r>
      <w:r>
        <w:rPr>
          <w:color w:val="6B6B6B"/>
          <w:sz w:val="17"/>
        </w:rPr>
        <w:t>[ESTIMATE, model memo]</w:t>
      </w:r>
      <w:r>
        <w:t>.</w:t>
      </w:r>
    </w:p>
    <w:p>
      <w:r>
        <w:br w:type="page"/>
      </w:r>
    </w:p>
    <w:p>
      <w:pPr>
        <w:pStyle w:val="Heading1"/>
      </w:pPr>
      <w:r>
        <w:t>8. Viability verdict and options</w:t>
      </w:r>
    </w:p>
    <w:p>
      <w:pPr>
        <w:pStyle w:val="Heading2"/>
      </w:pPr>
      <w:r>
        <w:t>8.1 Criteria fixed before the analysis</w:t>
      </w:r>
    </w:p>
    <w:p>
      <w:r>
        <w:t xml:space="preserve">The four criteria below were fixed in the project plan </w:t>
      </w:r>
      <w:r>
        <w:rPr>
          <w:b/>
        </w:rPr>
        <w:t>before</w:t>
      </w:r>
      <w:r>
        <w:t xml:space="preserve"> any model result. They were not changed after the results or after the review.</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88"/>
        <w:gridCol w:w="6040"/>
        <w:gridCol w:w="1881"/>
        <w:gridCol w:w="1427"/>
      </w:tblGrid>
      <w:tr>
        <w:trPr>
          <w:cantSplit w:val="true"/>
          <w:tblHeader w:val="true"/>
        </w:trPr>
        <w:tc>
          <w:tcPr>
            <w:tcW w:type="dxa" w:w="288"/>
            <w:shd w:val="clear" w:color="auto" w:fill="1F3A5F"/>
          </w:tcPr>
          <w:p>
            <w:pPr>
              <w:spacing w:before="0" w:after="0" w:line="252" w:lineRule="auto"/>
            </w:pPr>
            <w:r>
              <w:rPr>
                <w:b/>
                <w:color w:val="FFFFFF"/>
                <w:sz w:val="18"/>
              </w:rPr>
              <w:t>#</w:t>
            </w:r>
          </w:p>
        </w:tc>
        <w:tc>
          <w:tcPr>
            <w:tcW w:type="dxa" w:w="6041"/>
            <w:shd w:val="clear" w:color="auto" w:fill="1F3A5F"/>
          </w:tcPr>
          <w:p>
            <w:pPr>
              <w:spacing w:before="0" w:after="0" w:line="252" w:lineRule="auto"/>
            </w:pPr>
            <w:r>
              <w:rPr>
                <w:b/>
                <w:color w:val="FFFFFF"/>
                <w:sz w:val="18"/>
              </w:rPr>
              <w:t>Criterion</w:t>
            </w:r>
          </w:p>
        </w:tc>
        <w:tc>
          <w:tcPr>
            <w:tcW w:type="dxa" w:w="1881"/>
            <w:shd w:val="clear" w:color="auto" w:fill="1F3A5F"/>
          </w:tcPr>
          <w:p>
            <w:pPr>
              <w:spacing w:before="0" w:after="0" w:line="252" w:lineRule="auto"/>
            </w:pPr>
            <w:r>
              <w:rPr>
                <w:b/>
                <w:color w:val="FFFFFF"/>
                <w:sz w:val="18"/>
              </w:rPr>
              <w:t>Base case value</w:t>
            </w:r>
          </w:p>
        </w:tc>
        <w:tc>
          <w:tcPr>
            <w:tcW w:type="dxa" w:w="1427"/>
            <w:shd w:val="clear" w:color="auto" w:fill="1F3A5F"/>
          </w:tcPr>
          <w:p>
            <w:pPr>
              <w:spacing w:before="0" w:after="0" w:line="252" w:lineRule="auto"/>
            </w:pPr>
            <w:r>
              <w:rPr>
                <w:b/>
                <w:color w:val="FFFFFF"/>
                <w:sz w:val="18"/>
              </w:rPr>
              <w:t>Result</w:t>
            </w:r>
          </w:p>
        </w:tc>
      </w:tr>
      <w:tr>
        <w:trPr>
          <w:cantSplit w:val="true"/>
        </w:trPr>
        <w:tc>
          <w:tcPr>
            <w:tcW w:type="dxa" w:w="288"/>
          </w:tcPr>
          <w:p>
            <w:pPr>
              <w:spacing w:before="0" w:after="0" w:line="252" w:lineRule="auto"/>
            </w:pPr>
            <w:r>
              <w:rPr>
                <w:sz w:val="18"/>
              </w:rPr>
              <w:t>1</w:t>
            </w:r>
          </w:p>
        </w:tc>
        <w:tc>
          <w:tcPr>
            <w:tcW w:type="dxa" w:w="6041"/>
          </w:tcPr>
          <w:p>
            <w:pPr>
              <w:spacing w:before="0" w:after="0" w:line="252" w:lineRule="auto"/>
            </w:pPr>
            <w:r>
              <w:rPr>
                <w:sz w:val="18"/>
              </w:rPr>
              <w:t>NPV &gt; 0 at 8% real (salvage-only terminal value)</w:t>
            </w:r>
          </w:p>
        </w:tc>
        <w:tc>
          <w:tcPr>
            <w:tcW w:type="dxa" w:w="1881"/>
          </w:tcPr>
          <w:p>
            <w:pPr>
              <w:spacing w:before="0" w:after="0" w:line="252" w:lineRule="auto"/>
              <w:jc w:val="center"/>
            </w:pPr>
            <w:r>
              <w:rPr>
                <w:sz w:val="18"/>
              </w:rPr>
              <w:t>−€5.33M</w:t>
            </w:r>
          </w:p>
        </w:tc>
        <w:tc>
          <w:tcPr>
            <w:tcW w:type="dxa" w:w="1427"/>
          </w:tcPr>
          <w:p>
            <w:pPr>
              <w:spacing w:before="0" w:after="0" w:line="252" w:lineRule="auto"/>
            </w:pPr>
            <w:r>
              <w:rPr>
                <w:b/>
                <w:sz w:val="18"/>
              </w:rPr>
              <w:t>FAIL</w:t>
            </w:r>
          </w:p>
        </w:tc>
      </w:tr>
      <w:tr>
        <w:trPr>
          <w:cantSplit w:val="true"/>
        </w:trPr>
        <w:tc>
          <w:tcPr>
            <w:tcW w:type="dxa" w:w="288"/>
            <w:shd w:val="clear" w:color="auto" w:fill="F2F5F9"/>
          </w:tcPr>
          <w:p>
            <w:pPr>
              <w:spacing w:before="0" w:after="0" w:line="252" w:lineRule="auto"/>
            </w:pPr>
            <w:r>
              <w:rPr>
                <w:sz w:val="18"/>
              </w:rPr>
              <w:t>2</w:t>
            </w:r>
          </w:p>
        </w:tc>
        <w:tc>
          <w:tcPr>
            <w:tcW w:type="dxa" w:w="6041"/>
            <w:shd w:val="clear" w:color="auto" w:fill="F2F5F9"/>
          </w:tcPr>
          <w:p>
            <w:pPr>
              <w:spacing w:before="0" w:after="0" w:line="252" w:lineRule="auto"/>
            </w:pPr>
            <w:r>
              <w:rPr>
                <w:sz w:val="18"/>
              </w:rPr>
              <w:t>Payback &lt; 7 years</w:t>
            </w:r>
          </w:p>
        </w:tc>
        <w:tc>
          <w:tcPr>
            <w:tcW w:type="dxa" w:w="1881"/>
            <w:shd w:val="clear" w:color="auto" w:fill="F2F5F9"/>
          </w:tcPr>
          <w:p>
            <w:pPr>
              <w:spacing w:before="0" w:after="0" w:line="252" w:lineRule="auto"/>
            </w:pPr>
            <w:r>
              <w:rPr>
                <w:sz w:val="18"/>
              </w:rPr>
              <w:t>not reached in 10 years</w:t>
            </w:r>
          </w:p>
        </w:tc>
        <w:tc>
          <w:tcPr>
            <w:tcW w:type="dxa" w:w="1427"/>
            <w:shd w:val="clear" w:color="auto" w:fill="F2F5F9"/>
          </w:tcPr>
          <w:p>
            <w:pPr>
              <w:spacing w:before="0" w:after="0" w:line="252" w:lineRule="auto"/>
            </w:pPr>
            <w:r>
              <w:rPr>
                <w:b/>
                <w:sz w:val="18"/>
              </w:rPr>
              <w:t>FAIL</w:t>
            </w:r>
          </w:p>
        </w:tc>
      </w:tr>
      <w:tr>
        <w:trPr>
          <w:cantSplit w:val="true"/>
        </w:trPr>
        <w:tc>
          <w:tcPr>
            <w:tcW w:type="dxa" w:w="288"/>
          </w:tcPr>
          <w:p>
            <w:pPr>
              <w:spacing w:before="0" w:after="0" w:line="252" w:lineRule="auto"/>
            </w:pPr>
            <w:r>
              <w:rPr>
                <w:sz w:val="18"/>
              </w:rPr>
              <w:t>3</w:t>
            </w:r>
          </w:p>
        </w:tc>
        <w:tc>
          <w:tcPr>
            <w:tcW w:type="dxa" w:w="6041"/>
          </w:tcPr>
          <w:p>
            <w:pPr>
              <w:spacing w:before="0" w:after="0" w:line="252" w:lineRule="auto"/>
            </w:pPr>
            <w:r>
              <w:rPr>
                <w:sz w:val="18"/>
              </w:rPr>
              <w:t>EBITDA positive by the 3rd operating year (2030)</w:t>
            </w:r>
          </w:p>
        </w:tc>
        <w:tc>
          <w:tcPr>
            <w:tcW w:type="dxa" w:w="1881"/>
          </w:tcPr>
          <w:p>
            <w:pPr>
              <w:spacing w:before="0" w:after="0" w:line="252" w:lineRule="auto"/>
              <w:jc w:val="center"/>
            </w:pPr>
            <w:r>
              <w:rPr>
                <w:sz w:val="18"/>
              </w:rPr>
              <w:t>+€0.32M</w:t>
            </w:r>
          </w:p>
        </w:tc>
        <w:tc>
          <w:tcPr>
            <w:tcW w:type="dxa" w:w="1427"/>
          </w:tcPr>
          <w:p>
            <w:pPr>
              <w:spacing w:before="0" w:after="0" w:line="252" w:lineRule="auto"/>
            </w:pPr>
            <w:r>
              <w:rPr>
                <w:b/>
                <w:sz w:val="18"/>
              </w:rPr>
              <w:t>PASS</w:t>
            </w:r>
            <w:r>
              <w:rPr>
                <w:sz w:val="18"/>
              </w:rPr>
              <w:t xml:space="preserve"> (narrowly)</w:t>
            </w:r>
          </w:p>
        </w:tc>
      </w:tr>
      <w:tr>
        <w:trPr>
          <w:cantSplit w:val="true"/>
        </w:trPr>
        <w:tc>
          <w:tcPr>
            <w:tcW w:type="dxa" w:w="288"/>
            <w:shd w:val="clear" w:color="auto" w:fill="F2F5F9"/>
          </w:tcPr>
          <w:p>
            <w:pPr>
              <w:spacing w:before="0" w:after="0" w:line="252" w:lineRule="auto"/>
            </w:pPr>
            <w:r>
              <w:rPr>
                <w:sz w:val="18"/>
              </w:rPr>
              <w:t>4</w:t>
            </w:r>
          </w:p>
        </w:tc>
        <w:tc>
          <w:tcPr>
            <w:tcW w:type="dxa" w:w="6041"/>
            <w:shd w:val="clear" w:color="auto" w:fill="F2F5F9"/>
          </w:tcPr>
          <w:p>
            <w:pPr>
              <w:spacing w:before="0" w:after="0" w:line="252" w:lineRule="auto"/>
            </w:pPr>
            <w:r>
              <w:rPr>
                <w:sz w:val="18"/>
              </w:rPr>
              <w:t>NPV &gt; 0 with at least 2 of 6 main drivers at their pessimistic value (one at a time)</w:t>
            </w:r>
          </w:p>
        </w:tc>
        <w:tc>
          <w:tcPr>
            <w:tcW w:type="dxa" w:w="1881"/>
            <w:shd w:val="clear" w:color="auto" w:fill="F2F5F9"/>
          </w:tcPr>
          <w:p>
            <w:pPr>
              <w:spacing w:before="0" w:after="0" w:line="252" w:lineRule="auto"/>
              <w:jc w:val="center"/>
            </w:pPr>
            <w:r>
              <w:rPr>
                <w:sz w:val="18"/>
              </w:rPr>
              <w:t>0 of 6</w:t>
            </w:r>
          </w:p>
        </w:tc>
        <w:tc>
          <w:tcPr>
            <w:tcW w:type="dxa" w:w="1427"/>
            <w:shd w:val="clear" w:color="auto" w:fill="F2F5F9"/>
          </w:tcPr>
          <w:p>
            <w:pPr>
              <w:spacing w:before="0" w:after="0" w:line="252" w:lineRule="auto"/>
            </w:pPr>
            <w:r>
              <w:rPr>
                <w:b/>
                <w:sz w:val="18"/>
              </w:rPr>
              <w:t>FAIL</w:t>
            </w:r>
          </w:p>
        </w:tc>
      </w:tr>
      <w:tr>
        <w:trPr>
          <w:cantSplit w:val="true"/>
        </w:trPr>
        <w:tc>
          <w:tcPr>
            <w:tcW w:type="dxa" w:w="288"/>
          </w:tcPr>
          <w:p>
            <w:pPr>
              <w:spacing w:before="0" w:after="0" w:line="252" w:lineRule="auto"/>
            </w:pPr>
            <w:r>
              <w:rPr>
                <w:sz w:val="18"/>
              </w:rPr>
              <w:t>–</w:t>
            </w:r>
          </w:p>
        </w:tc>
        <w:tc>
          <w:tcPr>
            <w:tcW w:type="dxa" w:w="6041"/>
          </w:tcPr>
          <w:p>
            <w:pPr>
              <w:spacing w:before="0" w:after="0" w:line="252" w:lineRule="auto"/>
            </w:pPr>
            <w:r>
              <w:rPr>
                <w:sz w:val="18"/>
              </w:rPr>
              <w:t>Borderline band: NPV between −10% and 0% of capex</w:t>
            </w:r>
          </w:p>
        </w:tc>
        <w:tc>
          <w:tcPr>
            <w:tcW w:type="dxa" w:w="1881"/>
          </w:tcPr>
          <w:p>
            <w:pPr>
              <w:spacing w:before="0" w:after="0" w:line="252" w:lineRule="auto"/>
              <w:jc w:val="center"/>
            </w:pPr>
            <w:r>
              <w:rPr>
                <w:sz w:val="18"/>
              </w:rPr>
              <w:t>−97%</w:t>
            </w:r>
          </w:p>
        </w:tc>
        <w:tc>
          <w:tcPr>
            <w:tcW w:type="dxa" w:w="1427"/>
          </w:tcPr>
          <w:p>
            <w:pPr>
              <w:spacing w:before="0" w:after="0" w:line="252" w:lineRule="auto"/>
            </w:pPr>
            <w:r>
              <w:rPr>
                <w:sz w:val="18"/>
              </w:rPr>
              <w:t>no</w:t>
            </w:r>
          </w:p>
        </w:tc>
      </w:tr>
    </w:tbl>
    <w:p>
      <w:pPr>
        <w:spacing w:before="0" w:after="40" w:line="240" w:lineRule="auto"/>
      </w:pPr>
    </w:p>
    <w:p>
      <w:r>
        <w:t xml:space="preserve">Criterion 4 detail (pessimistic value → NPV): green premium 0% → −€5.9M; RCA price €25/t → −€6.5M; transport distance (35 km delivery + 50 km RCA haul) → −€9.0M; cement €130/t + high carbon path → −€7.9M; utilisation 50k m³ → −€7.5M; capex €8.0M → −€7.9M </w:t>
      </w:r>
      <w:r>
        <w:rPr>
          <w:color w:val="6B6B6B"/>
          <w:sz w:val="17"/>
        </w:rPr>
        <w:t>[ESTIMATE]</w:t>
      </w:r>
      <w:r>
        <w:t>.</w:t>
      </w:r>
    </w:p>
    <w:tbl>
      <w:tblPr>
        <w:tblW w:type="auto" w:w="0"/>
        <w:jc w:val="center"/>
        <w:tblBorders>
          <w:top w:val="nil"/>
          <w:left w:val="single" w:sz="24" w:space="0" w:color="C8641E"/>
          <w:bottom w:val="nil"/>
          <w:right w:val="nil"/>
        </w:tblBorders>
        <w:tblLayout w:type="fixed"/>
        <w:tblCellMar>
          <w:top w:w="90" w:type="dxa"/>
          <w:left w:w="160" w:type="dxa"/>
          <w:bottom w:w="90" w:type="dxa"/>
          <w:right w:w="120" w:type="dxa"/>
        </w:tblCellMar>
        <w:tblLook w:firstColumn="1" w:firstRow="1" w:lastColumn="0" w:lastRow="0" w:noHBand="0" w:noVBand="1" w:val="04A0"/>
      </w:tblPr>
      <w:tblGrid>
        <w:gridCol w:w="9638"/>
      </w:tblGrid>
      <w:tr>
        <w:tc>
          <w:tcPr>
            <w:tcW w:type="dxa" w:w="9638"/>
            <w:shd w:val="clear" w:color="auto" w:fill="FDF3E7"/>
          </w:tcPr>
          <w:p>
            <w:pPr>
              <w:spacing w:before="0" w:after="40" w:line="276" w:lineRule="auto"/>
            </w:pPr>
            <w:r>
              <w:rPr>
                <w:b/>
                <w:sz w:val="21"/>
              </w:rPr>
              <w:t>Verdict: NOT VIABLE.</w:t>
            </w:r>
            <w:r>
              <w:rPr>
                <w:sz w:val="21"/>
              </w:rPr>
              <w:t xml:space="preserve"> The original base before the review (first sales 2027) was also NOT VIABLE (NPV −€4.48M, shown only as a memo).</w:t>
            </w:r>
          </w:p>
        </w:tc>
      </w:tr>
    </w:tbl>
    <w:p>
      <w:pPr>
        <w:spacing w:before="0" w:after="80" w:line="240" w:lineRule="auto"/>
      </w:pPr>
    </w:p>
    <w:p>
      <w:pPr>
        <w:pStyle w:val="Heading2"/>
      </w:pPr>
      <w:r>
        <w:t>8.2 Options tested</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358"/>
        <w:gridCol w:w="3284"/>
        <w:gridCol w:w="2064"/>
        <w:gridCol w:w="678"/>
        <w:gridCol w:w="1056"/>
        <w:gridCol w:w="758"/>
        <w:gridCol w:w="598"/>
        <w:gridCol w:w="838"/>
      </w:tblGrid>
      <w:tr>
        <w:trPr>
          <w:cantSplit w:val="true"/>
          <w:tblHeader w:val="true"/>
        </w:trPr>
        <w:tc>
          <w:tcPr>
            <w:tcW w:type="dxa" w:w="358"/>
            <w:shd w:val="clear" w:color="auto" w:fill="1F3A5F"/>
          </w:tcPr>
          <w:p>
            <w:pPr>
              <w:spacing w:before="0" w:after="0" w:line="252" w:lineRule="auto"/>
            </w:pPr>
            <w:r>
              <w:rPr>
                <w:b/>
                <w:color w:val="FFFFFF"/>
                <w:sz w:val="16"/>
              </w:rPr>
              <w:t>#</w:t>
            </w:r>
          </w:p>
        </w:tc>
        <w:tc>
          <w:tcPr>
            <w:tcW w:type="dxa" w:w="3284"/>
            <w:shd w:val="clear" w:color="auto" w:fill="1F3A5F"/>
          </w:tcPr>
          <w:p>
            <w:pPr>
              <w:spacing w:before="0" w:after="0" w:line="252" w:lineRule="auto"/>
            </w:pPr>
            <w:r>
              <w:rPr>
                <w:b/>
                <w:color w:val="FFFFFF"/>
                <w:sz w:val="16"/>
              </w:rPr>
              <w:t>Option</w:t>
            </w:r>
          </w:p>
        </w:tc>
        <w:tc>
          <w:tcPr>
            <w:tcW w:type="dxa" w:w="2065"/>
            <w:shd w:val="clear" w:color="auto" w:fill="1F3A5F"/>
          </w:tcPr>
          <w:p>
            <w:pPr>
              <w:spacing w:before="0" w:after="0" w:line="252" w:lineRule="auto"/>
            </w:pPr>
            <w:r>
              <w:rPr>
                <w:b/>
                <w:color w:val="FFFFFF"/>
                <w:sz w:val="16"/>
              </w:rPr>
              <w:t>NPV €M</w:t>
            </w:r>
          </w:p>
        </w:tc>
        <w:tc>
          <w:tcPr>
            <w:tcW w:type="dxa" w:w="678"/>
            <w:shd w:val="clear" w:color="auto" w:fill="1F3A5F"/>
          </w:tcPr>
          <w:p>
            <w:pPr>
              <w:spacing w:before="0" w:after="0" w:line="252" w:lineRule="auto"/>
            </w:pPr>
            <w:r>
              <w:rPr>
                <w:b/>
                <w:color w:val="FFFFFF"/>
                <w:sz w:val="16"/>
              </w:rPr>
              <w:t>IRR</w:t>
            </w:r>
          </w:p>
        </w:tc>
        <w:tc>
          <w:tcPr>
            <w:tcW w:type="dxa" w:w="1057"/>
            <w:shd w:val="clear" w:color="auto" w:fill="1F3A5F"/>
          </w:tcPr>
          <w:p>
            <w:pPr>
              <w:spacing w:before="0" w:after="0" w:line="252" w:lineRule="auto"/>
            </w:pPr>
            <w:r>
              <w:rPr>
                <w:b/>
                <w:color w:val="FFFFFF"/>
                <w:sz w:val="16"/>
              </w:rPr>
              <w:t>EBITDA 2030 €M</w:t>
            </w:r>
          </w:p>
        </w:tc>
        <w:tc>
          <w:tcPr>
            <w:tcW w:type="dxa" w:w="758"/>
            <w:shd w:val="clear" w:color="auto" w:fill="1F3A5F"/>
          </w:tcPr>
          <w:p>
            <w:pPr>
              <w:spacing w:before="0" w:after="0" w:line="252" w:lineRule="auto"/>
            </w:pPr>
            <w:r>
              <w:rPr>
                <w:b/>
                <w:color w:val="FFFFFF"/>
                <w:sz w:val="16"/>
              </w:rPr>
              <w:t>Funding €M</w:t>
            </w:r>
          </w:p>
        </w:tc>
        <w:tc>
          <w:tcPr>
            <w:tcW w:type="dxa" w:w="598"/>
            <w:shd w:val="clear" w:color="auto" w:fill="1F3A5F"/>
          </w:tcPr>
          <w:p>
            <w:pPr>
              <w:spacing w:before="0" w:after="0" w:line="252" w:lineRule="auto"/>
            </w:pPr>
            <w:r>
              <w:rPr>
                <w:b/>
                <w:color w:val="FFFFFF"/>
                <w:sz w:val="16"/>
              </w:rPr>
              <w:t>Capex €M</w:t>
            </w:r>
          </w:p>
        </w:tc>
        <w:tc>
          <w:tcPr>
            <w:tcW w:type="dxa" w:w="838"/>
            <w:shd w:val="clear" w:color="auto" w:fill="1F3A5F"/>
          </w:tcPr>
          <w:p>
            <w:pPr>
              <w:spacing w:before="0" w:after="0" w:line="252" w:lineRule="auto"/>
            </w:pPr>
            <w:r>
              <w:rPr>
                <w:b/>
                <w:color w:val="FFFFFF"/>
                <w:sz w:val="16"/>
              </w:rPr>
              <w:t>Criteria passed</w:t>
            </w:r>
          </w:p>
        </w:tc>
      </w:tr>
      <w:tr>
        <w:trPr>
          <w:cantSplit w:val="true"/>
        </w:trPr>
        <w:tc>
          <w:tcPr>
            <w:tcW w:type="dxa" w:w="358"/>
          </w:tcPr>
          <w:p>
            <w:pPr>
              <w:spacing w:before="0" w:after="0" w:line="252" w:lineRule="auto"/>
            </w:pPr>
            <w:r>
              <w:rPr>
                <w:sz w:val="16"/>
              </w:rPr>
              <w:t>O0</w:t>
            </w:r>
          </w:p>
        </w:tc>
        <w:tc>
          <w:tcPr>
            <w:tcW w:type="dxa" w:w="3284"/>
          </w:tcPr>
          <w:p>
            <w:pPr>
              <w:spacing w:before="0" w:after="0" w:line="252" w:lineRule="auto"/>
            </w:pPr>
            <w:r>
              <w:rPr>
                <w:b/>
                <w:sz w:val="16"/>
              </w:rPr>
              <w:t>Base: greenfield plant, first sales 2028</w:t>
            </w:r>
          </w:p>
        </w:tc>
        <w:tc>
          <w:tcPr>
            <w:tcW w:type="dxa" w:w="2065"/>
          </w:tcPr>
          <w:p>
            <w:pPr>
              <w:spacing w:before="0" w:after="0" w:line="252" w:lineRule="auto"/>
              <w:jc w:val="center"/>
            </w:pPr>
            <w:r>
              <w:rPr>
                <w:b/>
                <w:sz w:val="16"/>
              </w:rPr>
              <w:t>−5.33</w:t>
            </w:r>
          </w:p>
        </w:tc>
        <w:tc>
          <w:tcPr>
            <w:tcW w:type="dxa" w:w="678"/>
          </w:tcPr>
          <w:p>
            <w:pPr>
              <w:spacing w:before="0" w:after="0" w:line="252" w:lineRule="auto"/>
              <w:jc w:val="center"/>
            </w:pPr>
            <w:r>
              <w:rPr>
                <w:sz w:val="16"/>
              </w:rPr>
              <w:t>−13.9%</w:t>
            </w:r>
          </w:p>
        </w:tc>
        <w:tc>
          <w:tcPr>
            <w:tcW w:type="dxa" w:w="1057"/>
          </w:tcPr>
          <w:p>
            <w:pPr>
              <w:spacing w:before="0" w:after="0" w:line="252" w:lineRule="auto"/>
              <w:jc w:val="center"/>
            </w:pPr>
            <w:r>
              <w:rPr>
                <w:sz w:val="16"/>
              </w:rPr>
              <w:t>0.32</w:t>
            </w:r>
          </w:p>
        </w:tc>
        <w:tc>
          <w:tcPr>
            <w:tcW w:type="dxa" w:w="758"/>
          </w:tcPr>
          <w:p>
            <w:pPr>
              <w:spacing w:before="0" w:after="0" w:line="252" w:lineRule="auto"/>
              <w:jc w:val="center"/>
            </w:pPr>
            <w:r>
              <w:rPr>
                <w:sz w:val="16"/>
              </w:rPr>
              <w:t>7.09</w:t>
            </w:r>
          </w:p>
        </w:tc>
        <w:tc>
          <w:tcPr>
            <w:tcW w:type="dxa" w:w="598"/>
          </w:tcPr>
          <w:p>
            <w:pPr>
              <w:spacing w:before="0" w:after="0" w:line="252" w:lineRule="auto"/>
              <w:jc w:val="center"/>
            </w:pPr>
            <w:r>
              <w:rPr>
                <w:sz w:val="16"/>
              </w:rPr>
              <w:t>5.50</w:t>
            </w:r>
          </w:p>
        </w:tc>
        <w:tc>
          <w:tcPr>
            <w:tcW w:type="dxa" w:w="838"/>
          </w:tcPr>
          <w:p>
            <w:pPr>
              <w:spacing w:before="0" w:after="0" w:line="252" w:lineRule="auto"/>
              <w:jc w:val="center"/>
            </w:pPr>
            <w:r>
              <w:rPr>
                <w:sz w:val="16"/>
              </w:rPr>
              <w:t>1/4</w:t>
            </w:r>
          </w:p>
        </w:tc>
      </w:tr>
      <w:tr>
        <w:trPr>
          <w:cantSplit w:val="true"/>
        </w:trPr>
        <w:tc>
          <w:tcPr>
            <w:tcW w:type="dxa" w:w="358"/>
            <w:shd w:val="clear" w:color="auto" w:fill="F2F5F9"/>
          </w:tcPr>
          <w:p>
            <w:pPr>
              <w:spacing w:before="0" w:after="0" w:line="252" w:lineRule="auto"/>
            </w:pPr>
            <w:r>
              <w:rPr>
                <w:sz w:val="16"/>
              </w:rPr>
              <w:t>O1</w:t>
            </w:r>
          </w:p>
        </w:tc>
        <w:tc>
          <w:tcPr>
            <w:tcW w:type="dxa" w:w="3284"/>
            <w:shd w:val="clear" w:color="auto" w:fill="F2F5F9"/>
          </w:tcPr>
          <w:p>
            <w:pPr>
              <w:spacing w:before="0" w:after="0" w:line="252" w:lineRule="auto"/>
            </w:pPr>
            <w:r>
              <w:rPr>
                <w:sz w:val="16"/>
              </w:rPr>
              <w:t>+ own mobile crushing line</w:t>
            </w:r>
          </w:p>
        </w:tc>
        <w:tc>
          <w:tcPr>
            <w:tcW w:type="dxa" w:w="2065"/>
            <w:shd w:val="clear" w:color="auto" w:fill="F2F5F9"/>
          </w:tcPr>
          <w:p>
            <w:pPr>
              <w:spacing w:before="0" w:after="0" w:line="252" w:lineRule="auto"/>
              <w:jc w:val="center"/>
            </w:pPr>
            <w:r>
              <w:rPr>
                <w:sz w:val="16"/>
              </w:rPr>
              <w:t>−6.24</w:t>
            </w:r>
          </w:p>
        </w:tc>
        <w:tc>
          <w:tcPr>
            <w:tcW w:type="dxa" w:w="678"/>
            <w:shd w:val="clear" w:color="auto" w:fill="F2F5F9"/>
          </w:tcPr>
          <w:p>
            <w:pPr>
              <w:spacing w:before="0" w:after="0" w:line="252" w:lineRule="auto"/>
              <w:jc w:val="center"/>
            </w:pPr>
            <w:r>
              <w:rPr>
                <w:sz w:val="16"/>
              </w:rPr>
              <w:t>−12.3%</w:t>
            </w:r>
          </w:p>
        </w:tc>
        <w:tc>
          <w:tcPr>
            <w:tcW w:type="dxa" w:w="1057"/>
            <w:shd w:val="clear" w:color="auto" w:fill="F2F5F9"/>
          </w:tcPr>
          <w:p>
            <w:pPr>
              <w:spacing w:before="0" w:after="0" w:line="252" w:lineRule="auto"/>
              <w:jc w:val="center"/>
            </w:pPr>
            <w:r>
              <w:rPr>
                <w:sz w:val="16"/>
              </w:rPr>
              <w:t>0.49</w:t>
            </w:r>
          </w:p>
        </w:tc>
        <w:tc>
          <w:tcPr>
            <w:tcW w:type="dxa" w:w="758"/>
            <w:shd w:val="clear" w:color="auto" w:fill="F2F5F9"/>
          </w:tcPr>
          <w:p>
            <w:pPr>
              <w:spacing w:before="0" w:after="0" w:line="252" w:lineRule="auto"/>
              <w:jc w:val="center"/>
            </w:pPr>
            <w:r>
              <w:rPr>
                <w:sz w:val="16"/>
              </w:rPr>
              <w:t>9.05</w:t>
            </w:r>
          </w:p>
        </w:tc>
        <w:tc>
          <w:tcPr>
            <w:tcW w:type="dxa" w:w="598"/>
            <w:shd w:val="clear" w:color="auto" w:fill="F2F5F9"/>
          </w:tcPr>
          <w:p>
            <w:pPr>
              <w:spacing w:before="0" w:after="0" w:line="252" w:lineRule="auto"/>
              <w:jc w:val="center"/>
            </w:pPr>
            <w:r>
              <w:rPr>
                <w:sz w:val="16"/>
              </w:rPr>
              <w:t>7.50</w:t>
            </w:r>
          </w:p>
        </w:tc>
        <w:tc>
          <w:tcPr>
            <w:tcW w:type="dxa" w:w="838"/>
            <w:shd w:val="clear" w:color="auto" w:fill="F2F5F9"/>
          </w:tcPr>
          <w:p>
            <w:pPr>
              <w:spacing w:before="0" w:after="0" w:line="252" w:lineRule="auto"/>
              <w:jc w:val="center"/>
            </w:pPr>
            <w:r>
              <w:rPr>
                <w:sz w:val="16"/>
              </w:rPr>
              <w:t>1/4</w:t>
            </w:r>
          </w:p>
        </w:tc>
      </w:tr>
      <w:tr>
        <w:trPr>
          <w:cantSplit w:val="true"/>
        </w:trPr>
        <w:tc>
          <w:tcPr>
            <w:tcW w:type="dxa" w:w="358"/>
          </w:tcPr>
          <w:p>
            <w:pPr>
              <w:spacing w:before="0" w:after="0" w:line="252" w:lineRule="auto"/>
            </w:pPr>
            <w:r>
              <w:rPr>
                <w:sz w:val="16"/>
              </w:rPr>
              <w:t>O2</w:t>
            </w:r>
          </w:p>
        </w:tc>
        <w:tc>
          <w:tcPr>
            <w:tcW w:type="dxa" w:w="3284"/>
          </w:tcPr>
          <w:p>
            <w:pPr>
              <w:spacing w:before="0" w:after="0" w:line="252" w:lineRule="auto"/>
            </w:pPr>
            <w:r>
              <w:rPr>
                <w:sz w:val="16"/>
              </w:rPr>
              <w:t>+ crushing by a demolition partner on our site</w:t>
            </w:r>
          </w:p>
        </w:tc>
        <w:tc>
          <w:tcPr>
            <w:tcW w:type="dxa" w:w="2065"/>
          </w:tcPr>
          <w:p>
            <w:pPr>
              <w:spacing w:before="0" w:after="0" w:line="252" w:lineRule="auto"/>
              <w:jc w:val="center"/>
            </w:pPr>
            <w:r>
              <w:rPr>
                <w:sz w:val="16"/>
              </w:rPr>
              <w:t>−5.42</w:t>
            </w:r>
          </w:p>
        </w:tc>
        <w:tc>
          <w:tcPr>
            <w:tcW w:type="dxa" w:w="678"/>
          </w:tcPr>
          <w:p>
            <w:pPr>
              <w:spacing w:before="0" w:after="0" w:line="252" w:lineRule="auto"/>
              <w:jc w:val="center"/>
            </w:pPr>
            <w:r>
              <w:rPr>
                <w:sz w:val="16"/>
              </w:rPr>
              <w:t>−12.9%</w:t>
            </w:r>
          </w:p>
        </w:tc>
        <w:tc>
          <w:tcPr>
            <w:tcW w:type="dxa" w:w="1057"/>
          </w:tcPr>
          <w:p>
            <w:pPr>
              <w:spacing w:before="0" w:after="0" w:line="252" w:lineRule="auto"/>
              <w:jc w:val="center"/>
            </w:pPr>
            <w:r>
              <w:rPr>
                <w:sz w:val="16"/>
              </w:rPr>
              <w:t>0.39</w:t>
            </w:r>
          </w:p>
        </w:tc>
        <w:tc>
          <w:tcPr>
            <w:tcW w:type="dxa" w:w="758"/>
          </w:tcPr>
          <w:p>
            <w:pPr>
              <w:spacing w:before="0" w:after="0" w:line="252" w:lineRule="auto"/>
              <w:jc w:val="center"/>
            </w:pPr>
            <w:r>
              <w:rPr>
                <w:sz w:val="16"/>
              </w:rPr>
              <w:t>7.50</w:t>
            </w:r>
          </w:p>
        </w:tc>
        <w:tc>
          <w:tcPr>
            <w:tcW w:type="dxa" w:w="598"/>
          </w:tcPr>
          <w:p>
            <w:pPr>
              <w:spacing w:before="0" w:after="0" w:line="252" w:lineRule="auto"/>
              <w:jc w:val="center"/>
            </w:pPr>
            <w:r>
              <w:rPr>
                <w:sz w:val="16"/>
              </w:rPr>
              <w:t>5.90</w:t>
            </w:r>
          </w:p>
        </w:tc>
        <w:tc>
          <w:tcPr>
            <w:tcW w:type="dxa" w:w="838"/>
          </w:tcPr>
          <w:p>
            <w:pPr>
              <w:spacing w:before="0" w:after="0" w:line="252" w:lineRule="auto"/>
              <w:jc w:val="center"/>
            </w:pPr>
            <w:r>
              <w:rPr>
                <w:sz w:val="16"/>
              </w:rPr>
              <w:t>1/4</w:t>
            </w:r>
          </w:p>
        </w:tc>
      </w:tr>
      <w:tr>
        <w:trPr>
          <w:cantSplit w:val="true"/>
        </w:trPr>
        <w:tc>
          <w:tcPr>
            <w:tcW w:type="dxa" w:w="358"/>
            <w:shd w:val="clear" w:color="auto" w:fill="F2F5F9"/>
          </w:tcPr>
          <w:p>
            <w:pPr>
              <w:spacing w:before="0" w:after="0" w:line="252" w:lineRule="auto"/>
            </w:pPr>
            <w:r>
              <w:rPr>
                <w:sz w:val="16"/>
              </w:rPr>
              <w:t>O3</w:t>
            </w:r>
          </w:p>
        </w:tc>
        <w:tc>
          <w:tcPr>
            <w:tcW w:type="dxa" w:w="3284"/>
            <w:shd w:val="clear" w:color="auto" w:fill="F2F5F9"/>
          </w:tcPr>
          <w:p>
            <w:pPr>
              <w:spacing w:before="0" w:after="0" w:line="252" w:lineRule="auto"/>
            </w:pPr>
            <w:r>
              <w:rPr>
                <w:b/>
                <w:sz w:val="16"/>
              </w:rPr>
              <w:t>Buy and convert an existing plant</w:t>
            </w:r>
          </w:p>
        </w:tc>
        <w:tc>
          <w:tcPr>
            <w:tcW w:type="dxa" w:w="2065"/>
            <w:shd w:val="clear" w:color="auto" w:fill="F2F5F9"/>
          </w:tcPr>
          <w:p>
            <w:pPr>
              <w:spacing w:before="0" w:after="0" w:line="252" w:lineRule="auto"/>
              <w:jc w:val="center"/>
            </w:pPr>
            <w:r>
              <w:rPr>
                <w:b/>
                <w:sz w:val="16"/>
              </w:rPr>
              <w:t>−3.54</w:t>
            </w:r>
          </w:p>
        </w:tc>
        <w:tc>
          <w:tcPr>
            <w:tcW w:type="dxa" w:w="678"/>
            <w:shd w:val="clear" w:color="auto" w:fill="F2F5F9"/>
          </w:tcPr>
          <w:p>
            <w:pPr>
              <w:spacing w:before="0" w:after="0" w:line="252" w:lineRule="auto"/>
              <w:jc w:val="center"/>
            </w:pPr>
            <w:r>
              <w:rPr>
                <w:sz w:val="16"/>
              </w:rPr>
              <w:t>−14.4%</w:t>
            </w:r>
          </w:p>
        </w:tc>
        <w:tc>
          <w:tcPr>
            <w:tcW w:type="dxa" w:w="1057"/>
            <w:shd w:val="clear" w:color="auto" w:fill="F2F5F9"/>
          </w:tcPr>
          <w:p>
            <w:pPr>
              <w:spacing w:before="0" w:after="0" w:line="252" w:lineRule="auto"/>
              <w:jc w:val="center"/>
            </w:pPr>
            <w:r>
              <w:rPr>
                <w:sz w:val="16"/>
              </w:rPr>
              <w:t>0.33</w:t>
            </w:r>
          </w:p>
        </w:tc>
        <w:tc>
          <w:tcPr>
            <w:tcW w:type="dxa" w:w="758"/>
            <w:shd w:val="clear" w:color="auto" w:fill="F2F5F9"/>
          </w:tcPr>
          <w:p>
            <w:pPr>
              <w:spacing w:before="0" w:after="0" w:line="252" w:lineRule="auto"/>
              <w:jc w:val="center"/>
            </w:pPr>
            <w:r>
              <w:rPr>
                <w:sz w:val="16"/>
              </w:rPr>
              <w:t>4.93</w:t>
            </w:r>
          </w:p>
        </w:tc>
        <w:tc>
          <w:tcPr>
            <w:tcW w:type="dxa" w:w="598"/>
            <w:shd w:val="clear" w:color="auto" w:fill="F2F5F9"/>
          </w:tcPr>
          <w:p>
            <w:pPr>
              <w:spacing w:before="0" w:after="0" w:line="252" w:lineRule="auto"/>
              <w:jc w:val="center"/>
            </w:pPr>
            <w:r>
              <w:rPr>
                <w:sz w:val="16"/>
              </w:rPr>
              <w:t>3.70</w:t>
            </w:r>
          </w:p>
        </w:tc>
        <w:tc>
          <w:tcPr>
            <w:tcW w:type="dxa" w:w="838"/>
            <w:shd w:val="clear" w:color="auto" w:fill="F2F5F9"/>
          </w:tcPr>
          <w:p>
            <w:pPr>
              <w:spacing w:before="0" w:after="0" w:line="252" w:lineRule="auto"/>
              <w:jc w:val="center"/>
            </w:pPr>
            <w:r>
              <w:rPr>
                <w:sz w:val="16"/>
              </w:rPr>
              <w:t>1/4</w:t>
            </w:r>
          </w:p>
        </w:tc>
      </w:tr>
      <w:tr>
        <w:trPr>
          <w:cantSplit w:val="true"/>
        </w:trPr>
        <w:tc>
          <w:tcPr>
            <w:tcW w:type="dxa" w:w="358"/>
          </w:tcPr>
          <w:p>
            <w:pPr>
              <w:spacing w:before="0" w:after="0" w:line="252" w:lineRule="auto"/>
            </w:pPr>
            <w:r>
              <w:rPr>
                <w:sz w:val="16"/>
              </w:rPr>
              <w:t>O4</w:t>
            </w:r>
          </w:p>
        </w:tc>
        <w:tc>
          <w:tcPr>
            <w:tcW w:type="dxa" w:w="3284"/>
          </w:tcPr>
          <w:p>
            <w:pPr>
              <w:spacing w:before="0" w:after="0" w:line="252" w:lineRule="auto"/>
            </w:pPr>
            <w:r>
              <w:rPr>
                <w:sz w:val="16"/>
              </w:rPr>
              <w:t>Framework / offtake contracts</w:t>
            </w:r>
          </w:p>
        </w:tc>
        <w:tc>
          <w:tcPr>
            <w:tcW w:type="dxa" w:w="2065"/>
          </w:tcPr>
          <w:p>
            <w:pPr>
              <w:spacing w:before="0" w:after="0" w:line="252" w:lineRule="auto"/>
              <w:jc w:val="center"/>
            </w:pPr>
            <w:r>
              <w:rPr>
                <w:sz w:val="16"/>
              </w:rPr>
              <w:t>−5.14</w:t>
            </w:r>
          </w:p>
        </w:tc>
        <w:tc>
          <w:tcPr>
            <w:tcW w:type="dxa" w:w="678"/>
          </w:tcPr>
          <w:p>
            <w:pPr>
              <w:spacing w:before="0" w:after="0" w:line="252" w:lineRule="auto"/>
              <w:jc w:val="center"/>
            </w:pPr>
            <w:r>
              <w:rPr>
                <w:sz w:val="16"/>
              </w:rPr>
              <w:t>−14.6%</w:t>
            </w:r>
          </w:p>
        </w:tc>
        <w:tc>
          <w:tcPr>
            <w:tcW w:type="dxa" w:w="1057"/>
          </w:tcPr>
          <w:p>
            <w:pPr>
              <w:spacing w:before="0" w:after="0" w:line="252" w:lineRule="auto"/>
              <w:jc w:val="center"/>
            </w:pPr>
            <w:r>
              <w:rPr>
                <w:sz w:val="16"/>
              </w:rPr>
              <w:t>0.25</w:t>
            </w:r>
          </w:p>
        </w:tc>
        <w:tc>
          <w:tcPr>
            <w:tcW w:type="dxa" w:w="758"/>
          </w:tcPr>
          <w:p>
            <w:pPr>
              <w:spacing w:before="0" w:after="0" w:line="252" w:lineRule="auto"/>
              <w:jc w:val="center"/>
            </w:pPr>
            <w:r>
              <w:rPr>
                <w:sz w:val="16"/>
              </w:rPr>
              <w:t>6.67</w:t>
            </w:r>
          </w:p>
        </w:tc>
        <w:tc>
          <w:tcPr>
            <w:tcW w:type="dxa" w:w="598"/>
          </w:tcPr>
          <w:p>
            <w:pPr>
              <w:spacing w:before="0" w:after="0" w:line="252" w:lineRule="auto"/>
              <w:jc w:val="center"/>
            </w:pPr>
            <w:r>
              <w:rPr>
                <w:sz w:val="16"/>
              </w:rPr>
              <w:t>5.50</w:t>
            </w:r>
          </w:p>
        </w:tc>
        <w:tc>
          <w:tcPr>
            <w:tcW w:type="dxa" w:w="838"/>
          </w:tcPr>
          <w:p>
            <w:pPr>
              <w:spacing w:before="0" w:after="0" w:line="252" w:lineRule="auto"/>
              <w:jc w:val="center"/>
            </w:pPr>
            <w:r>
              <w:rPr>
                <w:sz w:val="16"/>
              </w:rPr>
              <w:t>1/4</w:t>
            </w:r>
          </w:p>
        </w:tc>
      </w:tr>
      <w:tr>
        <w:trPr>
          <w:cantSplit w:val="true"/>
        </w:trPr>
        <w:tc>
          <w:tcPr>
            <w:tcW w:type="dxa" w:w="358"/>
            <w:shd w:val="clear" w:color="auto" w:fill="F2F5F9"/>
          </w:tcPr>
          <w:p>
            <w:pPr>
              <w:spacing w:before="0" w:after="0" w:line="252" w:lineRule="auto"/>
            </w:pPr>
            <w:r>
              <w:rPr>
                <w:sz w:val="16"/>
              </w:rPr>
              <w:t>O5</w:t>
            </w:r>
          </w:p>
        </w:tc>
        <w:tc>
          <w:tcPr>
            <w:tcW w:type="dxa" w:w="3284"/>
            <w:shd w:val="clear" w:color="auto" w:fill="F2F5F9"/>
          </w:tcPr>
          <w:p>
            <w:pPr>
              <w:spacing w:before="0" w:after="0" w:line="252" w:lineRule="auto"/>
            </w:pPr>
            <w:r>
              <w:rPr>
                <w:sz w:val="16"/>
              </w:rPr>
              <w:t>Lower-CO₂ binder product (from 2029)</w:t>
            </w:r>
          </w:p>
        </w:tc>
        <w:tc>
          <w:tcPr>
            <w:tcW w:type="dxa" w:w="2065"/>
            <w:shd w:val="clear" w:color="auto" w:fill="F2F5F9"/>
          </w:tcPr>
          <w:p>
            <w:pPr>
              <w:spacing w:before="0" w:after="0" w:line="252" w:lineRule="auto"/>
              <w:jc w:val="center"/>
            </w:pPr>
            <w:r>
              <w:rPr>
                <w:sz w:val="16"/>
              </w:rPr>
              <w:t>−5.86</w:t>
            </w:r>
          </w:p>
        </w:tc>
        <w:tc>
          <w:tcPr>
            <w:tcW w:type="dxa" w:w="678"/>
            <w:shd w:val="clear" w:color="auto" w:fill="F2F5F9"/>
          </w:tcPr>
          <w:p>
            <w:pPr>
              <w:spacing w:before="0" w:after="0" w:line="252" w:lineRule="auto"/>
              <w:jc w:val="center"/>
            </w:pPr>
            <w:r>
              <w:rPr>
                <w:sz w:val="16"/>
              </w:rPr>
              <w:t>−16.4%</w:t>
            </w:r>
          </w:p>
        </w:tc>
        <w:tc>
          <w:tcPr>
            <w:tcW w:type="dxa" w:w="1057"/>
            <w:shd w:val="clear" w:color="auto" w:fill="F2F5F9"/>
          </w:tcPr>
          <w:p>
            <w:pPr>
              <w:spacing w:before="0" w:after="0" w:line="252" w:lineRule="auto"/>
              <w:jc w:val="center"/>
            </w:pPr>
            <w:r>
              <w:rPr>
                <w:sz w:val="16"/>
              </w:rPr>
              <w:t>0.25</w:t>
            </w:r>
          </w:p>
        </w:tc>
        <w:tc>
          <w:tcPr>
            <w:tcW w:type="dxa" w:w="758"/>
            <w:shd w:val="clear" w:color="auto" w:fill="F2F5F9"/>
          </w:tcPr>
          <w:p>
            <w:pPr>
              <w:spacing w:before="0" w:after="0" w:line="252" w:lineRule="auto"/>
              <w:jc w:val="center"/>
            </w:pPr>
            <w:r>
              <w:rPr>
                <w:sz w:val="16"/>
              </w:rPr>
              <w:t>7.41</w:t>
            </w:r>
          </w:p>
        </w:tc>
        <w:tc>
          <w:tcPr>
            <w:tcW w:type="dxa" w:w="598"/>
            <w:shd w:val="clear" w:color="auto" w:fill="F2F5F9"/>
          </w:tcPr>
          <w:p>
            <w:pPr>
              <w:spacing w:before="0" w:after="0" w:line="252" w:lineRule="auto"/>
              <w:jc w:val="center"/>
            </w:pPr>
            <w:r>
              <w:rPr>
                <w:sz w:val="16"/>
              </w:rPr>
              <w:t>5.65</w:t>
            </w:r>
          </w:p>
        </w:tc>
        <w:tc>
          <w:tcPr>
            <w:tcW w:type="dxa" w:w="838"/>
            <w:shd w:val="clear" w:color="auto" w:fill="F2F5F9"/>
          </w:tcPr>
          <w:p>
            <w:pPr>
              <w:spacing w:before="0" w:after="0" w:line="252" w:lineRule="auto"/>
              <w:jc w:val="center"/>
            </w:pPr>
            <w:r>
              <w:rPr>
                <w:sz w:val="16"/>
              </w:rPr>
              <w:t>1/4</w:t>
            </w:r>
          </w:p>
        </w:tc>
      </w:tr>
      <w:tr>
        <w:trPr>
          <w:cantSplit w:val="true"/>
        </w:trPr>
        <w:tc>
          <w:tcPr>
            <w:tcW w:type="dxa" w:w="358"/>
          </w:tcPr>
          <w:p>
            <w:pPr>
              <w:spacing w:before="0" w:after="0" w:line="252" w:lineRule="auto"/>
            </w:pPr>
            <w:r>
              <w:rPr>
                <w:sz w:val="16"/>
              </w:rPr>
              <w:t>O6</w:t>
            </w:r>
          </w:p>
        </w:tc>
        <w:tc>
          <w:tcPr>
            <w:tcW w:type="dxa" w:w="3284"/>
          </w:tcPr>
          <w:p>
            <w:pPr>
              <w:spacing w:before="0" w:after="0" w:line="252" w:lineRule="auto"/>
            </w:pPr>
            <w:r>
              <w:rPr>
                <w:sz w:val="16"/>
              </w:rPr>
              <w:t>Asset-light licence + RCA service (no plant)</w:t>
            </w:r>
          </w:p>
        </w:tc>
        <w:tc>
          <w:tcPr>
            <w:tcW w:type="dxa" w:w="2065"/>
          </w:tcPr>
          <w:p>
            <w:pPr>
              <w:spacing w:before="0" w:after="0" w:line="252" w:lineRule="auto"/>
              <w:jc w:val="center"/>
            </w:pPr>
            <w:r>
              <w:rPr>
                <w:sz w:val="16"/>
              </w:rPr>
              <w:t>−2.51</w:t>
            </w:r>
          </w:p>
        </w:tc>
        <w:tc>
          <w:tcPr>
            <w:tcW w:type="dxa" w:w="678"/>
          </w:tcPr>
          <w:p>
            <w:pPr>
              <w:spacing w:before="0" w:after="0" w:line="252" w:lineRule="auto"/>
            </w:pPr>
            <w:r>
              <w:rPr>
                <w:sz w:val="16"/>
              </w:rPr>
              <w:t>n/a</w:t>
            </w:r>
          </w:p>
        </w:tc>
        <w:tc>
          <w:tcPr>
            <w:tcW w:type="dxa" w:w="1057"/>
          </w:tcPr>
          <w:p>
            <w:pPr>
              <w:spacing w:before="0" w:after="0" w:line="252" w:lineRule="auto"/>
              <w:jc w:val="center"/>
            </w:pPr>
            <w:r>
              <w:rPr>
                <w:sz w:val="16"/>
              </w:rPr>
              <w:t>−0.28 (2029)</w:t>
            </w:r>
          </w:p>
        </w:tc>
        <w:tc>
          <w:tcPr>
            <w:tcW w:type="dxa" w:w="758"/>
          </w:tcPr>
          <w:p>
            <w:pPr>
              <w:spacing w:before="0" w:after="0" w:line="252" w:lineRule="auto"/>
              <w:jc w:val="center"/>
            </w:pPr>
            <w:r>
              <w:rPr>
                <w:sz w:val="16"/>
              </w:rPr>
              <w:t>3.35</w:t>
            </w:r>
          </w:p>
        </w:tc>
        <w:tc>
          <w:tcPr>
            <w:tcW w:type="dxa" w:w="598"/>
          </w:tcPr>
          <w:p>
            <w:pPr>
              <w:spacing w:before="0" w:after="0" w:line="252" w:lineRule="auto"/>
              <w:jc w:val="center"/>
            </w:pPr>
            <w:r>
              <w:rPr>
                <w:sz w:val="16"/>
              </w:rPr>
              <w:t>0.20</w:t>
            </w:r>
          </w:p>
        </w:tc>
        <w:tc>
          <w:tcPr>
            <w:tcW w:type="dxa" w:w="838"/>
          </w:tcPr>
          <w:p>
            <w:pPr>
              <w:spacing w:before="0" w:after="0" w:line="252" w:lineRule="auto"/>
              <w:jc w:val="center"/>
            </w:pPr>
            <w:r>
              <w:rPr>
                <w:sz w:val="16"/>
              </w:rPr>
              <w:t>0/4</w:t>
            </w:r>
          </w:p>
        </w:tc>
      </w:tr>
      <w:tr>
        <w:trPr>
          <w:cantSplit w:val="true"/>
        </w:trPr>
        <w:tc>
          <w:tcPr>
            <w:tcW w:type="dxa" w:w="358"/>
            <w:shd w:val="clear" w:color="auto" w:fill="F2F5F9"/>
          </w:tcPr>
          <w:p>
            <w:pPr>
              <w:spacing w:before="0" w:after="0" w:line="252" w:lineRule="auto"/>
            </w:pPr>
            <w:r>
              <w:rPr>
                <w:sz w:val="16"/>
              </w:rPr>
              <w:t>O7</w:t>
            </w:r>
          </w:p>
        </w:tc>
        <w:tc>
          <w:tcPr>
            <w:tcW w:type="dxa" w:w="3284"/>
            <w:shd w:val="clear" w:color="auto" w:fill="F2F5F9"/>
          </w:tcPr>
          <w:p>
            <w:pPr>
              <w:spacing w:before="0" w:after="0" w:line="252" w:lineRule="auto"/>
            </w:pPr>
            <w:r>
              <w:rPr>
                <w:sz w:val="16"/>
              </w:rPr>
              <w:t>Maximum realistic subsidies</w:t>
            </w:r>
          </w:p>
        </w:tc>
        <w:tc>
          <w:tcPr>
            <w:tcW w:type="dxa" w:w="2065"/>
            <w:shd w:val="clear" w:color="auto" w:fill="F2F5F9"/>
          </w:tcPr>
          <w:p>
            <w:pPr>
              <w:spacing w:before="0" w:after="0" w:line="252" w:lineRule="auto"/>
              <w:jc w:val="center"/>
            </w:pPr>
            <w:r>
              <w:rPr>
                <w:sz w:val="16"/>
              </w:rPr>
              <w:t>−4.77</w:t>
            </w:r>
          </w:p>
        </w:tc>
        <w:tc>
          <w:tcPr>
            <w:tcW w:type="dxa" w:w="678"/>
            <w:shd w:val="clear" w:color="auto" w:fill="F2F5F9"/>
          </w:tcPr>
          <w:p>
            <w:pPr>
              <w:spacing w:before="0" w:after="0" w:line="252" w:lineRule="auto"/>
              <w:jc w:val="center"/>
            </w:pPr>
            <w:r>
              <w:rPr>
                <w:sz w:val="16"/>
              </w:rPr>
              <w:t>−13.0%</w:t>
            </w:r>
          </w:p>
        </w:tc>
        <w:tc>
          <w:tcPr>
            <w:tcW w:type="dxa" w:w="1057"/>
            <w:shd w:val="clear" w:color="auto" w:fill="F2F5F9"/>
          </w:tcPr>
          <w:p>
            <w:pPr>
              <w:spacing w:before="0" w:after="0" w:line="252" w:lineRule="auto"/>
              <w:jc w:val="center"/>
            </w:pPr>
            <w:r>
              <w:rPr>
                <w:sz w:val="16"/>
              </w:rPr>
              <w:t>0.32</w:t>
            </w:r>
          </w:p>
        </w:tc>
        <w:tc>
          <w:tcPr>
            <w:tcW w:type="dxa" w:w="758"/>
            <w:shd w:val="clear" w:color="auto" w:fill="F2F5F9"/>
          </w:tcPr>
          <w:p>
            <w:pPr>
              <w:spacing w:before="0" w:after="0" w:line="252" w:lineRule="auto"/>
              <w:jc w:val="center"/>
            </w:pPr>
            <w:r>
              <w:rPr>
                <w:sz w:val="16"/>
              </w:rPr>
              <w:t>6.49</w:t>
            </w:r>
          </w:p>
        </w:tc>
        <w:tc>
          <w:tcPr>
            <w:tcW w:type="dxa" w:w="598"/>
            <w:shd w:val="clear" w:color="auto" w:fill="F2F5F9"/>
          </w:tcPr>
          <w:p>
            <w:pPr>
              <w:spacing w:before="0" w:after="0" w:line="252" w:lineRule="auto"/>
              <w:jc w:val="center"/>
            </w:pPr>
            <w:r>
              <w:rPr>
                <w:sz w:val="16"/>
              </w:rPr>
              <w:t>5.50</w:t>
            </w:r>
          </w:p>
        </w:tc>
        <w:tc>
          <w:tcPr>
            <w:tcW w:type="dxa" w:w="838"/>
            <w:shd w:val="clear" w:color="auto" w:fill="F2F5F9"/>
          </w:tcPr>
          <w:p>
            <w:pPr>
              <w:spacing w:before="0" w:after="0" w:line="252" w:lineRule="auto"/>
              <w:jc w:val="center"/>
            </w:pPr>
            <w:r>
              <w:rPr>
                <w:sz w:val="16"/>
              </w:rPr>
              <w:t>1/4</w:t>
            </w:r>
          </w:p>
        </w:tc>
      </w:tr>
      <w:tr>
        <w:trPr>
          <w:cantSplit w:val="true"/>
        </w:trPr>
        <w:tc>
          <w:tcPr>
            <w:tcW w:type="dxa" w:w="358"/>
          </w:tcPr>
          <w:p>
            <w:pPr>
              <w:spacing w:before="0" w:after="0" w:line="252" w:lineRule="auto"/>
            </w:pPr>
            <w:r>
              <w:rPr>
                <w:sz w:val="16"/>
              </w:rPr>
              <w:t>O8</w:t>
            </w:r>
          </w:p>
        </w:tc>
        <w:tc>
          <w:tcPr>
            <w:tcW w:type="dxa" w:w="3284"/>
          </w:tcPr>
          <w:p>
            <w:pPr>
              <w:spacing w:before="0" w:after="0" w:line="252" w:lineRule="auto"/>
            </w:pPr>
            <w:r>
              <w:rPr>
                <w:sz w:val="16"/>
              </w:rPr>
              <w:t>Bigger plant, 100k m³/yr</w:t>
            </w:r>
          </w:p>
        </w:tc>
        <w:tc>
          <w:tcPr>
            <w:tcW w:type="dxa" w:w="2065"/>
          </w:tcPr>
          <w:p>
            <w:pPr>
              <w:spacing w:before="0" w:after="0" w:line="252" w:lineRule="auto"/>
              <w:jc w:val="center"/>
            </w:pPr>
            <w:r>
              <w:rPr>
                <w:sz w:val="16"/>
              </w:rPr>
              <w:t>−4.15</w:t>
            </w:r>
          </w:p>
        </w:tc>
        <w:tc>
          <w:tcPr>
            <w:tcW w:type="dxa" w:w="678"/>
          </w:tcPr>
          <w:p>
            <w:pPr>
              <w:spacing w:before="0" w:after="0" w:line="252" w:lineRule="auto"/>
              <w:jc w:val="center"/>
            </w:pPr>
            <w:r>
              <w:rPr>
                <w:sz w:val="16"/>
              </w:rPr>
              <w:t>−7.3%</w:t>
            </w:r>
          </w:p>
        </w:tc>
        <w:tc>
          <w:tcPr>
            <w:tcW w:type="dxa" w:w="1057"/>
          </w:tcPr>
          <w:p>
            <w:pPr>
              <w:spacing w:before="0" w:after="0" w:line="252" w:lineRule="auto"/>
              <w:jc w:val="center"/>
            </w:pPr>
            <w:r>
              <w:rPr>
                <w:sz w:val="16"/>
              </w:rPr>
              <w:t>0.70</w:t>
            </w:r>
          </w:p>
        </w:tc>
        <w:tc>
          <w:tcPr>
            <w:tcW w:type="dxa" w:w="758"/>
          </w:tcPr>
          <w:p>
            <w:pPr>
              <w:spacing w:before="0" w:after="0" w:line="252" w:lineRule="auto"/>
              <w:jc w:val="center"/>
            </w:pPr>
            <w:r>
              <w:rPr>
                <w:sz w:val="16"/>
              </w:rPr>
              <w:t>7.10</w:t>
            </w:r>
          </w:p>
        </w:tc>
        <w:tc>
          <w:tcPr>
            <w:tcW w:type="dxa" w:w="598"/>
          </w:tcPr>
          <w:p>
            <w:pPr>
              <w:spacing w:before="0" w:after="0" w:line="252" w:lineRule="auto"/>
              <w:jc w:val="center"/>
            </w:pPr>
            <w:r>
              <w:rPr>
                <w:sz w:val="16"/>
              </w:rPr>
              <w:t>5.50</w:t>
            </w:r>
          </w:p>
        </w:tc>
        <w:tc>
          <w:tcPr>
            <w:tcW w:type="dxa" w:w="838"/>
          </w:tcPr>
          <w:p>
            <w:pPr>
              <w:spacing w:before="0" w:after="0" w:line="252" w:lineRule="auto"/>
              <w:jc w:val="center"/>
            </w:pPr>
            <w:r>
              <w:rPr>
                <w:sz w:val="16"/>
              </w:rPr>
              <w:t>1/4</w:t>
            </w:r>
          </w:p>
        </w:tc>
      </w:tr>
      <w:tr>
        <w:trPr>
          <w:cantSplit w:val="true"/>
        </w:trPr>
        <w:tc>
          <w:tcPr>
            <w:tcW w:type="dxa" w:w="358"/>
            <w:shd w:val="clear" w:color="auto" w:fill="F2F5F9"/>
          </w:tcPr>
          <w:p>
            <w:pPr>
              <w:spacing w:before="0" w:after="0" w:line="252" w:lineRule="auto"/>
            </w:pPr>
            <w:r>
              <w:rPr>
                <w:sz w:val="16"/>
              </w:rPr>
              <w:t>O9</w:t>
            </w:r>
          </w:p>
        </w:tc>
        <w:tc>
          <w:tcPr>
            <w:tcW w:type="dxa" w:w="3284"/>
            <w:shd w:val="clear" w:color="auto" w:fill="F2F5F9"/>
          </w:tcPr>
          <w:p>
            <w:pPr>
              <w:spacing w:before="0" w:after="0" w:line="252" w:lineRule="auto"/>
            </w:pPr>
            <w:r>
              <w:rPr>
                <w:sz w:val="16"/>
              </w:rPr>
              <w:t>Urban site closer to demand (truck-fed)</w:t>
            </w:r>
          </w:p>
        </w:tc>
        <w:tc>
          <w:tcPr>
            <w:tcW w:type="dxa" w:w="2065"/>
            <w:shd w:val="clear" w:color="auto" w:fill="F2F5F9"/>
          </w:tcPr>
          <w:p>
            <w:pPr>
              <w:spacing w:before="0" w:after="0" w:line="252" w:lineRule="auto"/>
              <w:jc w:val="center"/>
            </w:pPr>
            <w:r>
              <w:rPr>
                <w:sz w:val="16"/>
              </w:rPr>
              <w:t>−6.32</w:t>
            </w:r>
          </w:p>
        </w:tc>
        <w:tc>
          <w:tcPr>
            <w:tcW w:type="dxa" w:w="678"/>
            <w:shd w:val="clear" w:color="auto" w:fill="F2F5F9"/>
          </w:tcPr>
          <w:p>
            <w:pPr>
              <w:spacing w:before="0" w:after="0" w:line="252" w:lineRule="auto"/>
              <w:jc w:val="center"/>
            </w:pPr>
            <w:r>
              <w:rPr>
                <w:sz w:val="16"/>
              </w:rPr>
              <w:t>−19.8%</w:t>
            </w:r>
          </w:p>
        </w:tc>
        <w:tc>
          <w:tcPr>
            <w:tcW w:type="dxa" w:w="1057"/>
            <w:shd w:val="clear" w:color="auto" w:fill="F2F5F9"/>
          </w:tcPr>
          <w:p>
            <w:pPr>
              <w:spacing w:before="0" w:after="0" w:line="252" w:lineRule="auto"/>
              <w:jc w:val="center"/>
            </w:pPr>
            <w:r>
              <w:rPr>
                <w:sz w:val="16"/>
              </w:rPr>
              <w:t>0.14</w:t>
            </w:r>
          </w:p>
        </w:tc>
        <w:tc>
          <w:tcPr>
            <w:tcW w:type="dxa" w:w="758"/>
            <w:shd w:val="clear" w:color="auto" w:fill="F2F5F9"/>
          </w:tcPr>
          <w:p>
            <w:pPr>
              <w:spacing w:before="0" w:after="0" w:line="252" w:lineRule="auto"/>
              <w:jc w:val="center"/>
            </w:pPr>
            <w:r>
              <w:rPr>
                <w:sz w:val="16"/>
              </w:rPr>
              <w:t>7.64</w:t>
            </w:r>
          </w:p>
        </w:tc>
        <w:tc>
          <w:tcPr>
            <w:tcW w:type="dxa" w:w="598"/>
            <w:shd w:val="clear" w:color="auto" w:fill="F2F5F9"/>
          </w:tcPr>
          <w:p>
            <w:pPr>
              <w:spacing w:before="0" w:after="0" w:line="252" w:lineRule="auto"/>
              <w:jc w:val="center"/>
            </w:pPr>
            <w:r>
              <w:rPr>
                <w:sz w:val="16"/>
              </w:rPr>
              <w:t>5.50</w:t>
            </w:r>
          </w:p>
        </w:tc>
        <w:tc>
          <w:tcPr>
            <w:tcW w:type="dxa" w:w="838"/>
            <w:shd w:val="clear" w:color="auto" w:fill="F2F5F9"/>
          </w:tcPr>
          <w:p>
            <w:pPr>
              <w:spacing w:before="0" w:after="0" w:line="252" w:lineRule="auto"/>
              <w:jc w:val="center"/>
            </w:pPr>
            <w:r>
              <w:rPr>
                <w:sz w:val="16"/>
              </w:rPr>
              <w:t>1/4</w:t>
            </w:r>
          </w:p>
        </w:tc>
      </w:tr>
      <w:tr>
        <w:trPr>
          <w:cantSplit w:val="true"/>
        </w:trPr>
        <w:tc>
          <w:tcPr>
            <w:tcW w:type="dxa" w:w="358"/>
          </w:tcPr>
          <w:p>
            <w:pPr>
              <w:spacing w:before="0" w:after="0" w:line="252" w:lineRule="auto"/>
            </w:pPr>
            <w:r>
              <w:rPr>
                <w:sz w:val="16"/>
              </w:rPr>
              <w:t>P1</w:t>
            </w:r>
          </w:p>
        </w:tc>
        <w:tc>
          <w:tcPr>
            <w:tcW w:type="dxa" w:w="3284"/>
          </w:tcPr>
          <w:p>
            <w:pPr>
              <w:spacing w:before="0" w:after="0" w:line="252" w:lineRule="auto"/>
            </w:pPr>
            <w:r>
              <w:rPr>
                <w:sz w:val="16"/>
              </w:rPr>
              <w:t>O3 + partner crushing + frameworks</w:t>
            </w:r>
          </w:p>
        </w:tc>
        <w:tc>
          <w:tcPr>
            <w:tcW w:type="dxa" w:w="2065"/>
          </w:tcPr>
          <w:p>
            <w:pPr>
              <w:spacing w:before="0" w:after="0" w:line="252" w:lineRule="auto"/>
              <w:jc w:val="center"/>
            </w:pPr>
            <w:r>
              <w:rPr>
                <w:sz w:val="16"/>
              </w:rPr>
              <w:t>−3.97</w:t>
            </w:r>
          </w:p>
        </w:tc>
        <w:tc>
          <w:tcPr>
            <w:tcW w:type="dxa" w:w="678"/>
          </w:tcPr>
          <w:p>
            <w:pPr>
              <w:spacing w:before="0" w:after="0" w:line="252" w:lineRule="auto"/>
              <w:jc w:val="center"/>
            </w:pPr>
            <w:r>
              <w:rPr>
                <w:sz w:val="16"/>
              </w:rPr>
              <w:t>−15.7%</w:t>
            </w:r>
          </w:p>
        </w:tc>
        <w:tc>
          <w:tcPr>
            <w:tcW w:type="dxa" w:w="1057"/>
          </w:tcPr>
          <w:p>
            <w:pPr>
              <w:spacing w:before="0" w:after="0" w:line="252" w:lineRule="auto"/>
              <w:jc w:val="center"/>
            </w:pPr>
            <w:r>
              <w:rPr>
                <w:sz w:val="16"/>
              </w:rPr>
              <w:t>0.32</w:t>
            </w:r>
          </w:p>
        </w:tc>
        <w:tc>
          <w:tcPr>
            <w:tcW w:type="dxa" w:w="758"/>
          </w:tcPr>
          <w:p>
            <w:pPr>
              <w:spacing w:before="0" w:after="0" w:line="252" w:lineRule="auto"/>
              <w:jc w:val="center"/>
            </w:pPr>
            <w:r>
              <w:rPr>
                <w:sz w:val="16"/>
              </w:rPr>
              <w:t>5.42</w:t>
            </w:r>
          </w:p>
        </w:tc>
        <w:tc>
          <w:tcPr>
            <w:tcW w:type="dxa" w:w="598"/>
          </w:tcPr>
          <w:p>
            <w:pPr>
              <w:spacing w:before="0" w:after="0" w:line="252" w:lineRule="auto"/>
              <w:jc w:val="center"/>
            </w:pPr>
            <w:r>
              <w:rPr>
                <w:sz w:val="16"/>
              </w:rPr>
              <w:t>4.10</w:t>
            </w:r>
          </w:p>
        </w:tc>
        <w:tc>
          <w:tcPr>
            <w:tcW w:type="dxa" w:w="838"/>
          </w:tcPr>
          <w:p>
            <w:pPr>
              <w:spacing w:before="0" w:after="0" w:line="252" w:lineRule="auto"/>
              <w:jc w:val="center"/>
            </w:pPr>
            <w:r>
              <w:rPr>
                <w:sz w:val="16"/>
              </w:rPr>
              <w:t>1/4</w:t>
            </w:r>
          </w:p>
        </w:tc>
      </w:tr>
      <w:tr>
        <w:trPr>
          <w:cantSplit w:val="true"/>
        </w:trPr>
        <w:tc>
          <w:tcPr>
            <w:tcW w:type="dxa" w:w="358"/>
            <w:shd w:val="clear" w:color="auto" w:fill="F2F5F9"/>
          </w:tcPr>
          <w:p>
            <w:pPr>
              <w:spacing w:before="0" w:after="0" w:line="252" w:lineRule="auto"/>
            </w:pPr>
            <w:r>
              <w:rPr>
                <w:b/>
                <w:sz w:val="16"/>
              </w:rPr>
              <w:t>P2</w:t>
            </w:r>
          </w:p>
        </w:tc>
        <w:tc>
          <w:tcPr>
            <w:tcW w:type="dxa" w:w="3284"/>
            <w:shd w:val="clear" w:color="auto" w:fill="F2F5F9"/>
          </w:tcPr>
          <w:p>
            <w:pPr>
              <w:spacing w:before="0" w:after="0" w:line="252" w:lineRule="auto"/>
            </w:pPr>
            <w:r>
              <w:rPr>
                <w:b/>
                <w:sz w:val="16"/>
              </w:rPr>
              <w:t>P1 + scale to 90k m³/yr (+€1.0M expansion)</w:t>
            </w:r>
          </w:p>
        </w:tc>
        <w:tc>
          <w:tcPr>
            <w:tcW w:type="dxa" w:w="2065"/>
            <w:shd w:val="clear" w:color="auto" w:fill="F2F5F9"/>
          </w:tcPr>
          <w:p>
            <w:pPr>
              <w:spacing w:before="0" w:after="0" w:line="252" w:lineRule="auto"/>
            </w:pPr>
            <w:r>
              <w:rPr>
                <w:b/>
                <w:sz w:val="16"/>
              </w:rPr>
              <w:t>−4.01</w:t>
            </w:r>
            <w:r>
              <w:rPr>
                <w:sz w:val="16"/>
              </w:rPr>
              <w:t xml:space="preserve"> (range −6.77 to −1.42)</w:t>
            </w:r>
          </w:p>
        </w:tc>
        <w:tc>
          <w:tcPr>
            <w:tcW w:type="dxa" w:w="678"/>
            <w:shd w:val="clear" w:color="auto" w:fill="F2F5F9"/>
          </w:tcPr>
          <w:p>
            <w:pPr>
              <w:spacing w:before="0" w:after="0" w:line="252" w:lineRule="auto"/>
              <w:jc w:val="center"/>
            </w:pPr>
            <w:r>
              <w:rPr>
                <w:sz w:val="16"/>
              </w:rPr>
              <w:t>−10.6%</w:t>
            </w:r>
          </w:p>
        </w:tc>
        <w:tc>
          <w:tcPr>
            <w:tcW w:type="dxa" w:w="1057"/>
            <w:shd w:val="clear" w:color="auto" w:fill="F2F5F9"/>
          </w:tcPr>
          <w:p>
            <w:pPr>
              <w:spacing w:before="0" w:after="0" w:line="252" w:lineRule="auto"/>
              <w:jc w:val="center"/>
            </w:pPr>
            <w:r>
              <w:rPr>
                <w:sz w:val="16"/>
              </w:rPr>
              <w:t>0.59</w:t>
            </w:r>
          </w:p>
        </w:tc>
        <w:tc>
          <w:tcPr>
            <w:tcW w:type="dxa" w:w="758"/>
            <w:shd w:val="clear" w:color="auto" w:fill="F2F5F9"/>
          </w:tcPr>
          <w:p>
            <w:pPr>
              <w:spacing w:before="0" w:after="0" w:line="252" w:lineRule="auto"/>
              <w:jc w:val="center"/>
            </w:pPr>
            <w:r>
              <w:rPr>
                <w:sz w:val="16"/>
              </w:rPr>
              <w:t>6.37</w:t>
            </w:r>
          </w:p>
        </w:tc>
        <w:tc>
          <w:tcPr>
            <w:tcW w:type="dxa" w:w="598"/>
            <w:shd w:val="clear" w:color="auto" w:fill="F2F5F9"/>
          </w:tcPr>
          <w:p>
            <w:pPr>
              <w:spacing w:before="0" w:after="0" w:line="252" w:lineRule="auto"/>
              <w:jc w:val="center"/>
            </w:pPr>
            <w:r>
              <w:rPr>
                <w:sz w:val="16"/>
              </w:rPr>
              <w:t>5.10</w:t>
            </w:r>
          </w:p>
        </w:tc>
        <w:tc>
          <w:tcPr>
            <w:tcW w:type="dxa" w:w="838"/>
            <w:shd w:val="clear" w:color="auto" w:fill="F2F5F9"/>
          </w:tcPr>
          <w:p>
            <w:pPr>
              <w:spacing w:before="0" w:after="0" w:line="252" w:lineRule="auto"/>
              <w:jc w:val="center"/>
            </w:pPr>
            <w:r>
              <w:rPr>
                <w:sz w:val="16"/>
              </w:rPr>
              <w:t>1/4</w:t>
            </w:r>
          </w:p>
        </w:tc>
      </w:tr>
    </w:tbl>
    <w:p>
      <w:pPr>
        <w:spacing w:before="0" w:after="40" w:line="240" w:lineRule="auto"/>
      </w:pPr>
    </w:p>
    <w:p>
      <w:r>
        <w:rPr>
          <w:color w:val="6B6B6B"/>
          <w:sz w:val="17"/>
        </w:rPr>
        <w:t>[ESTIMATE, `results_options.json`]</w:t>
      </w:r>
      <w:r>
        <w:t xml:space="preserve">. Payback is not reached for any option. </w:t>
      </w:r>
      <w:r>
        <w:rPr>
          <w:b/>
        </w:rPr>
        <w:t>No option passes criterion 4 (0 of 6 drivers). Every option is NOT VIABLE; none is borderline.</w:t>
      </w:r>
      <w:r>
        <w:t xml:space="preserve"> O6 has the least negative NPV only because it invests almost nothing; its EBITDA never turns positive.</w:t>
      </w:r>
    </w:p>
    <w:p>
      <w:pPr>
        <w:keepNext/>
        <w:spacing w:before="120" w:after="40" w:line="240" w:lineRule="auto"/>
        <w:jc w:val="center"/>
      </w:pPr>
      <w:r>
        <w:drawing>
          <wp:inline xmlns:a="http://schemas.openxmlformats.org/drawingml/2006/main" xmlns:pic="http://schemas.openxmlformats.org/drawingml/2006/picture">
            <wp:extent cx="5940000" cy="2995790"/>
            <wp:docPr id="7" name="Picture 7"/>
            <wp:cNvGraphicFramePr>
              <a:graphicFrameLocks noChangeAspect="1"/>
            </wp:cNvGraphicFramePr>
            <a:graphic>
              <a:graphicData uri="http://schemas.openxmlformats.org/drawingml/2006/picture">
                <pic:pic>
                  <pic:nvPicPr>
                    <pic:cNvPr id="0" name="options_npv.png"/>
                    <pic:cNvPicPr/>
                  </pic:nvPicPr>
                  <pic:blipFill>
                    <a:blip r:embed="rId17"/>
                    <a:stretch>
                      <a:fillRect/>
                    </a:stretch>
                  </pic:blipFill>
                  <pic:spPr>
                    <a:xfrm>
                      <a:off x="0" y="0"/>
                      <a:ext cx="5940000" cy="2995790"/>
                    </a:xfrm>
                    <a:prstGeom prst="rect"/>
                  </pic:spPr>
                </pic:pic>
              </a:graphicData>
            </a:graphic>
          </wp:inline>
        </w:drawing>
      </w:r>
    </w:p>
    <w:p>
      <w:pPr>
        <w:spacing w:before="0" w:after="200" w:line="264" w:lineRule="auto"/>
      </w:pPr>
      <w:r>
        <w:rPr>
          <w:i/>
          <w:color w:val="6B6B6B"/>
          <w:sz w:val="18"/>
        </w:rPr>
        <w:t>Figure 7: NPV per option. The P2 line shows the stacked downside-to-upside range.</w:t>
      </w:r>
    </w:p>
    <w:p>
      <w:pPr>
        <w:pStyle w:val="Heading2"/>
      </w:pPr>
      <w:r>
        <w:t>8.3 The closest route, P2, as a range</w:t>
      </w:r>
    </w:p>
    <w:p>
      <w:r>
        <w:t>P2 combines favourable inputs: an acquired plant, 90,000 m³/yr (2.7× an average Dutch plant), two framework contracts and a long rubble contract. It is a scenario of favourable inputs, not a likely case.</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878"/>
        <w:gridCol w:w="5466"/>
        <w:gridCol w:w="793"/>
        <w:gridCol w:w="708"/>
        <w:gridCol w:w="998"/>
        <w:gridCol w:w="793"/>
      </w:tblGrid>
      <w:tr>
        <w:trPr>
          <w:cantSplit w:val="true"/>
          <w:tblHeader w:val="true"/>
        </w:trPr>
        <w:tc>
          <w:tcPr>
            <w:tcW w:type="dxa" w:w="878"/>
            <w:shd w:val="clear" w:color="auto" w:fill="1F3A5F"/>
          </w:tcPr>
          <w:p>
            <w:pPr>
              <w:spacing w:before="0" w:after="0" w:line="252" w:lineRule="auto"/>
            </w:pPr>
            <w:r>
              <w:rPr>
                <w:b/>
                <w:color w:val="FFFFFF"/>
                <w:sz w:val="17"/>
              </w:rPr>
              <w:t>Stack</w:t>
            </w:r>
          </w:p>
        </w:tc>
        <w:tc>
          <w:tcPr>
            <w:tcW w:type="dxa" w:w="5466"/>
            <w:shd w:val="clear" w:color="auto" w:fill="1F3A5F"/>
          </w:tcPr>
          <w:p>
            <w:pPr>
              <w:spacing w:before="0" w:after="0" w:line="252" w:lineRule="auto"/>
            </w:pPr>
            <w:r>
              <w:rPr>
                <w:b/>
                <w:color w:val="FFFFFF"/>
                <w:sz w:val="17"/>
              </w:rPr>
              <w:t>Inputs changed vs P2 base</w:t>
            </w:r>
          </w:p>
        </w:tc>
        <w:tc>
          <w:tcPr>
            <w:tcW w:type="dxa" w:w="793"/>
            <w:shd w:val="clear" w:color="auto" w:fill="1F3A5F"/>
          </w:tcPr>
          <w:p>
            <w:pPr>
              <w:spacing w:before="0" w:after="0" w:line="252" w:lineRule="auto"/>
            </w:pPr>
            <w:r>
              <w:rPr>
                <w:b/>
                <w:color w:val="FFFFFF"/>
                <w:sz w:val="17"/>
              </w:rPr>
              <w:t>NPV</w:t>
            </w:r>
          </w:p>
        </w:tc>
        <w:tc>
          <w:tcPr>
            <w:tcW w:type="dxa" w:w="708"/>
            <w:shd w:val="clear" w:color="auto" w:fill="1F3A5F"/>
          </w:tcPr>
          <w:p>
            <w:pPr>
              <w:spacing w:before="0" w:after="0" w:line="252" w:lineRule="auto"/>
            </w:pPr>
            <w:r>
              <w:rPr>
                <w:b/>
                <w:color w:val="FFFFFF"/>
                <w:sz w:val="17"/>
              </w:rPr>
              <w:t>IRR</w:t>
            </w:r>
          </w:p>
        </w:tc>
        <w:tc>
          <w:tcPr>
            <w:tcW w:type="dxa" w:w="998"/>
            <w:shd w:val="clear" w:color="auto" w:fill="1F3A5F"/>
          </w:tcPr>
          <w:p>
            <w:pPr>
              <w:spacing w:before="0" w:after="0" w:line="252" w:lineRule="auto"/>
            </w:pPr>
            <w:r>
              <w:rPr>
                <w:b/>
                <w:color w:val="FFFFFF"/>
                <w:sz w:val="17"/>
              </w:rPr>
              <w:t>Payback</w:t>
            </w:r>
          </w:p>
        </w:tc>
        <w:tc>
          <w:tcPr>
            <w:tcW w:type="dxa" w:w="793"/>
            <w:shd w:val="clear" w:color="auto" w:fill="1F3A5F"/>
          </w:tcPr>
          <w:p>
            <w:pPr>
              <w:spacing w:before="0" w:after="0" w:line="252" w:lineRule="auto"/>
            </w:pPr>
            <w:r>
              <w:rPr>
                <w:b/>
                <w:color w:val="FFFFFF"/>
                <w:sz w:val="17"/>
              </w:rPr>
              <w:t>Funding</w:t>
            </w:r>
          </w:p>
        </w:tc>
      </w:tr>
      <w:tr>
        <w:trPr>
          <w:cantSplit w:val="true"/>
        </w:trPr>
        <w:tc>
          <w:tcPr>
            <w:tcW w:type="dxa" w:w="878"/>
          </w:tcPr>
          <w:p>
            <w:pPr>
              <w:spacing w:before="0" w:after="0" w:line="252" w:lineRule="auto"/>
            </w:pPr>
            <w:r>
              <w:rPr>
                <w:sz w:val="17"/>
              </w:rPr>
              <w:t>Downside</w:t>
            </w:r>
          </w:p>
        </w:tc>
        <w:tc>
          <w:tcPr>
            <w:tcW w:type="dxa" w:w="5466"/>
          </w:tcPr>
          <w:p>
            <w:pPr>
              <w:spacing w:before="0" w:after="0" w:line="252" w:lineRule="auto"/>
            </w:pPr>
            <w:r>
              <w:rPr>
                <w:sz w:val="17"/>
              </w:rPr>
              <w:t>gate fee €0/t, steel 0.5%, washing €4/t, expansion €2.0M, public premium 0%, 8 m³ loads</w:t>
            </w:r>
          </w:p>
        </w:tc>
        <w:tc>
          <w:tcPr>
            <w:tcW w:type="dxa" w:w="793"/>
          </w:tcPr>
          <w:p>
            <w:pPr>
              <w:spacing w:before="0" w:after="0" w:line="252" w:lineRule="auto"/>
              <w:jc w:val="center"/>
            </w:pPr>
            <w:r>
              <w:rPr>
                <w:b/>
                <w:sz w:val="17"/>
              </w:rPr>
              <w:t>−€6.77M</w:t>
            </w:r>
          </w:p>
        </w:tc>
        <w:tc>
          <w:tcPr>
            <w:tcW w:type="dxa" w:w="708"/>
          </w:tcPr>
          <w:p>
            <w:pPr>
              <w:spacing w:before="0" w:after="0" w:line="252" w:lineRule="auto"/>
              <w:jc w:val="center"/>
            </w:pPr>
            <w:r>
              <w:rPr>
                <w:sz w:val="17"/>
              </w:rPr>
              <w:t>−25.9%</w:t>
            </w:r>
          </w:p>
        </w:tc>
        <w:tc>
          <w:tcPr>
            <w:tcW w:type="dxa" w:w="998"/>
          </w:tcPr>
          <w:p>
            <w:pPr>
              <w:spacing w:before="0" w:after="0" w:line="252" w:lineRule="auto"/>
            </w:pPr>
            <w:r>
              <w:rPr>
                <w:sz w:val="17"/>
              </w:rPr>
              <w:t>not reached</w:t>
            </w:r>
          </w:p>
        </w:tc>
        <w:tc>
          <w:tcPr>
            <w:tcW w:type="dxa" w:w="793"/>
          </w:tcPr>
          <w:p>
            <w:pPr>
              <w:spacing w:before="0" w:after="0" w:line="252" w:lineRule="auto"/>
              <w:jc w:val="center"/>
            </w:pPr>
            <w:r>
              <w:rPr>
                <w:sz w:val="17"/>
              </w:rPr>
              <w:t>€7.91M</w:t>
            </w:r>
          </w:p>
        </w:tc>
      </w:tr>
      <w:tr>
        <w:trPr>
          <w:cantSplit w:val="true"/>
        </w:trPr>
        <w:tc>
          <w:tcPr>
            <w:tcW w:type="dxa" w:w="878"/>
            <w:shd w:val="clear" w:color="auto" w:fill="F2F5F9"/>
          </w:tcPr>
          <w:p>
            <w:pPr>
              <w:spacing w:before="0" w:after="0" w:line="252" w:lineRule="auto"/>
            </w:pPr>
            <w:r>
              <w:rPr>
                <w:b/>
                <w:sz w:val="17"/>
              </w:rPr>
              <w:t>Base</w:t>
            </w:r>
          </w:p>
        </w:tc>
        <w:tc>
          <w:tcPr>
            <w:tcW w:type="dxa" w:w="5466"/>
            <w:shd w:val="clear" w:color="auto" w:fill="F2F5F9"/>
          </w:tcPr>
          <w:p>
            <w:pPr>
              <w:spacing w:before="0" w:after="0" w:line="252" w:lineRule="auto"/>
            </w:pPr>
            <w:r>
              <w:rPr>
                <w:sz w:val="17"/>
              </w:rPr>
              <w:t>–</w:t>
            </w:r>
          </w:p>
        </w:tc>
        <w:tc>
          <w:tcPr>
            <w:tcW w:type="dxa" w:w="793"/>
            <w:shd w:val="clear" w:color="auto" w:fill="F2F5F9"/>
          </w:tcPr>
          <w:p>
            <w:pPr>
              <w:spacing w:before="0" w:after="0" w:line="252" w:lineRule="auto"/>
              <w:jc w:val="center"/>
            </w:pPr>
            <w:r>
              <w:rPr>
                <w:b/>
                <w:sz w:val="17"/>
              </w:rPr>
              <w:t>−€4.01M</w:t>
            </w:r>
          </w:p>
        </w:tc>
        <w:tc>
          <w:tcPr>
            <w:tcW w:type="dxa" w:w="708"/>
            <w:shd w:val="clear" w:color="auto" w:fill="F2F5F9"/>
          </w:tcPr>
          <w:p>
            <w:pPr>
              <w:spacing w:before="0" w:after="0" w:line="252" w:lineRule="auto"/>
              <w:jc w:val="center"/>
            </w:pPr>
            <w:r>
              <w:rPr>
                <w:sz w:val="17"/>
              </w:rPr>
              <w:t>−10.6%</w:t>
            </w:r>
          </w:p>
        </w:tc>
        <w:tc>
          <w:tcPr>
            <w:tcW w:type="dxa" w:w="998"/>
            <w:shd w:val="clear" w:color="auto" w:fill="F2F5F9"/>
          </w:tcPr>
          <w:p>
            <w:pPr>
              <w:spacing w:before="0" w:after="0" w:line="252" w:lineRule="auto"/>
            </w:pPr>
            <w:r>
              <w:rPr>
                <w:sz w:val="17"/>
              </w:rPr>
              <w:t>not reached</w:t>
            </w:r>
          </w:p>
        </w:tc>
        <w:tc>
          <w:tcPr>
            <w:tcW w:type="dxa" w:w="793"/>
            <w:shd w:val="clear" w:color="auto" w:fill="F2F5F9"/>
          </w:tcPr>
          <w:p>
            <w:pPr>
              <w:spacing w:before="0" w:after="0" w:line="252" w:lineRule="auto"/>
              <w:jc w:val="center"/>
            </w:pPr>
            <w:r>
              <w:rPr>
                <w:sz w:val="17"/>
              </w:rPr>
              <w:t>€6.37M</w:t>
            </w:r>
          </w:p>
        </w:tc>
      </w:tr>
      <w:tr>
        <w:trPr>
          <w:cantSplit w:val="true"/>
        </w:trPr>
        <w:tc>
          <w:tcPr>
            <w:tcW w:type="dxa" w:w="878"/>
          </w:tcPr>
          <w:p>
            <w:pPr>
              <w:spacing w:before="0" w:after="0" w:line="252" w:lineRule="auto"/>
            </w:pPr>
            <w:r>
              <w:rPr>
                <w:sz w:val="17"/>
              </w:rPr>
              <w:t>Upside</w:t>
            </w:r>
          </w:p>
        </w:tc>
        <w:tc>
          <w:tcPr>
            <w:tcW w:type="dxa" w:w="5466"/>
          </w:tcPr>
          <w:p>
            <w:pPr>
              <w:spacing w:before="0" w:after="0" w:line="252" w:lineRule="auto"/>
            </w:pPr>
            <w:r>
              <w:rPr>
                <w:sz w:val="17"/>
              </w:rPr>
              <w:t>gate fee €5/t, steel 3% kept by us, washing €2/t, expansion €0.5M, public premium 3%, 10 m³ loads</w:t>
            </w:r>
          </w:p>
        </w:tc>
        <w:tc>
          <w:tcPr>
            <w:tcW w:type="dxa" w:w="793"/>
          </w:tcPr>
          <w:p>
            <w:pPr>
              <w:spacing w:before="0" w:after="0" w:line="252" w:lineRule="auto"/>
              <w:jc w:val="center"/>
            </w:pPr>
            <w:r>
              <w:rPr>
                <w:b/>
                <w:sz w:val="17"/>
              </w:rPr>
              <w:t>−€1.42M</w:t>
            </w:r>
          </w:p>
        </w:tc>
        <w:tc>
          <w:tcPr>
            <w:tcW w:type="dxa" w:w="708"/>
          </w:tcPr>
          <w:p>
            <w:pPr>
              <w:spacing w:before="0" w:after="0" w:line="252" w:lineRule="auto"/>
              <w:jc w:val="center"/>
            </w:pPr>
            <w:r>
              <w:rPr>
                <w:sz w:val="17"/>
              </w:rPr>
              <w:t>1.9%</w:t>
            </w:r>
          </w:p>
        </w:tc>
        <w:tc>
          <w:tcPr>
            <w:tcW w:type="dxa" w:w="998"/>
          </w:tcPr>
          <w:p>
            <w:pPr>
              <w:spacing w:before="0" w:after="0" w:line="252" w:lineRule="auto"/>
              <w:jc w:val="center"/>
            </w:pPr>
            <w:r>
              <w:rPr>
                <w:sz w:val="17"/>
              </w:rPr>
              <w:t>9.9 years</w:t>
            </w:r>
          </w:p>
        </w:tc>
        <w:tc>
          <w:tcPr>
            <w:tcW w:type="dxa" w:w="793"/>
          </w:tcPr>
          <w:p>
            <w:pPr>
              <w:spacing w:before="0" w:after="0" w:line="252" w:lineRule="auto"/>
              <w:jc w:val="center"/>
            </w:pPr>
            <w:r>
              <w:rPr>
                <w:sz w:val="17"/>
              </w:rPr>
              <w:t>€5.49M</w:t>
            </w:r>
          </w:p>
        </w:tc>
      </w:tr>
    </w:tbl>
    <w:p>
      <w:pPr>
        <w:spacing w:before="0" w:after="40" w:line="240" w:lineRule="auto"/>
      </w:pPr>
    </w:p>
    <w:p>
      <w:r>
        <w:rPr>
          <w:color w:val="6B6B6B"/>
          <w:sz w:val="17"/>
        </w:rPr>
        <w:t>[ESTIMATE, model; A-FIX-12]</w:t>
      </w:r>
      <w:r>
        <w:t xml:space="preserve">. </w:t>
      </w:r>
      <w:r>
        <w:rPr>
          <w:b/>
        </w:rPr>
        <w:t>Even the upside stack stays below zero.</w:t>
      </w:r>
      <w:r>
        <w:t xml:space="preserve"> P2 reaches NPV = 0 only with a gate fee of </w:t>
      </w:r>
      <w:r>
        <w:rPr>
          <w:b/>
        </w:rPr>
        <w:t>€29.7/t</w:t>
      </w:r>
      <w:r>
        <w:t xml:space="preserve"> on its base terms (€15.2/t if every other input is at its upside; €45.3/t at the downside). The bulk market accepts clean concrete rubble at </w:t>
      </w:r>
      <w:r>
        <w:rPr>
          <w:b/>
        </w:rPr>
        <w:t>€0–1/t</w:t>
      </w:r>
      <w:r>
        <w:t xml:space="preserve"> and charges extra for reinforced rubble </w:t>
      </w:r>
      <w:r>
        <w:rPr>
          <w:color w:val="6B6B6B"/>
          <w:sz w:val="17"/>
        </w:rPr>
        <w:t>[VERIFIED, MKT-20]</w:t>
      </w:r>
      <w:r>
        <w:t>.</w:t>
      </w:r>
    </w:p>
    <w:p>
      <w:pPr>
        <w:pStyle w:val="Heading2"/>
      </w:pPr>
      <w:r>
        <w:t>8.4 What the business depends on</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5154"/>
        <w:gridCol w:w="2784"/>
        <w:gridCol w:w="1698"/>
      </w:tblGrid>
      <w:tr>
        <w:trPr>
          <w:cantSplit w:val="true"/>
          <w:tblHeader w:val="true"/>
        </w:trPr>
        <w:tc>
          <w:tcPr>
            <w:tcW w:type="dxa" w:w="5154"/>
            <w:shd w:val="clear" w:color="auto" w:fill="1F3A5F"/>
          </w:tcPr>
          <w:p>
            <w:pPr>
              <w:spacing w:before="0" w:after="0" w:line="252" w:lineRule="auto"/>
            </w:pPr>
            <w:r>
              <w:rPr>
                <w:b/>
                <w:color w:val="FFFFFF"/>
                <w:sz w:val="18"/>
              </w:rPr>
              <w:t>Condition</w:t>
            </w:r>
          </w:p>
        </w:tc>
        <w:tc>
          <w:tcPr>
            <w:tcW w:type="dxa" w:w="2785"/>
            <w:shd w:val="clear" w:color="auto" w:fill="1F3A5F"/>
          </w:tcPr>
          <w:p>
            <w:pPr>
              <w:spacing w:before="0" w:after="0" w:line="252" w:lineRule="auto"/>
            </w:pPr>
            <w:r>
              <w:rPr>
                <w:b/>
                <w:color w:val="FFFFFF"/>
                <w:sz w:val="18"/>
              </w:rPr>
              <w:t>Base (O0)</w:t>
            </w:r>
          </w:p>
        </w:tc>
        <w:tc>
          <w:tcPr>
            <w:tcW w:type="dxa" w:w="1699"/>
            <w:shd w:val="clear" w:color="auto" w:fill="1F3A5F"/>
          </w:tcPr>
          <w:p>
            <w:pPr>
              <w:spacing w:before="0" w:after="0" w:line="252" w:lineRule="auto"/>
            </w:pPr>
            <w:r>
              <w:rPr>
                <w:b/>
                <w:color w:val="FFFFFF"/>
                <w:sz w:val="18"/>
              </w:rPr>
              <w:t>P2</w:t>
            </w:r>
          </w:p>
        </w:tc>
      </w:tr>
      <w:tr>
        <w:trPr>
          <w:cantSplit w:val="true"/>
        </w:trPr>
        <w:tc>
          <w:tcPr>
            <w:tcW w:type="dxa" w:w="5154"/>
          </w:tcPr>
          <w:p>
            <w:pPr>
              <w:spacing w:before="0" w:after="0" w:line="252" w:lineRule="auto"/>
            </w:pPr>
            <w:r>
              <w:rPr>
                <w:sz w:val="18"/>
              </w:rPr>
              <w:t>Average concrete price for NPV = 0 (today €135/m³)</w:t>
            </w:r>
          </w:p>
        </w:tc>
        <w:tc>
          <w:tcPr>
            <w:tcW w:type="dxa" w:w="2785"/>
          </w:tcPr>
          <w:p>
            <w:pPr>
              <w:spacing w:before="0" w:after="0" w:line="252" w:lineRule="auto"/>
              <w:jc w:val="center"/>
            </w:pPr>
            <w:r>
              <w:rPr>
                <w:sz w:val="18"/>
              </w:rPr>
              <w:t>€154.0/m³</w:t>
            </w:r>
          </w:p>
        </w:tc>
        <w:tc>
          <w:tcPr>
            <w:tcW w:type="dxa" w:w="1699"/>
          </w:tcPr>
          <w:p>
            <w:pPr>
              <w:spacing w:before="0" w:after="0" w:line="252" w:lineRule="auto"/>
              <w:jc w:val="center"/>
            </w:pPr>
            <w:r>
              <w:rPr>
                <w:sz w:val="18"/>
              </w:rPr>
              <w:t>€146.7/m³</w:t>
            </w:r>
          </w:p>
        </w:tc>
      </w:tr>
      <w:tr>
        <w:trPr>
          <w:cantSplit w:val="true"/>
        </w:trPr>
        <w:tc>
          <w:tcPr>
            <w:tcW w:type="dxa" w:w="5154"/>
            <w:shd w:val="clear" w:color="auto" w:fill="F2F5F9"/>
          </w:tcPr>
          <w:p>
            <w:pPr>
              <w:spacing w:before="0" w:after="0" w:line="252" w:lineRule="auto"/>
            </w:pPr>
            <w:r>
              <w:rPr>
                <w:sz w:val="18"/>
              </w:rPr>
              <w:t>Steady volume for NPV = 0</w:t>
            </w:r>
          </w:p>
        </w:tc>
        <w:tc>
          <w:tcPr>
            <w:tcW w:type="dxa" w:w="2785"/>
            <w:shd w:val="clear" w:color="auto" w:fill="F2F5F9"/>
          </w:tcPr>
          <w:p>
            <w:pPr>
              <w:spacing w:before="0" w:after="0" w:line="252" w:lineRule="auto"/>
              <w:jc w:val="center"/>
            </w:pPr>
            <w:r>
              <w:rPr>
                <w:sz w:val="18"/>
              </w:rPr>
              <w:t>134k m³/yr</w:t>
            </w:r>
          </w:p>
        </w:tc>
        <w:tc>
          <w:tcPr>
            <w:tcW w:type="dxa" w:w="1699"/>
            <w:shd w:val="clear" w:color="auto" w:fill="F2F5F9"/>
          </w:tcPr>
          <w:p>
            <w:pPr>
              <w:spacing w:before="0" w:after="0" w:line="252" w:lineRule="auto"/>
              <w:jc w:val="center"/>
            </w:pPr>
            <w:r>
              <w:rPr>
                <w:sz w:val="18"/>
              </w:rPr>
              <w:t>147k m³/yr</w:t>
            </w:r>
          </w:p>
        </w:tc>
      </w:tr>
      <w:tr>
        <w:trPr>
          <w:cantSplit w:val="true"/>
        </w:trPr>
        <w:tc>
          <w:tcPr>
            <w:tcW w:type="dxa" w:w="5154"/>
          </w:tcPr>
          <w:p>
            <w:pPr>
              <w:spacing w:before="0" w:after="0" w:line="252" w:lineRule="auto"/>
            </w:pPr>
            <w:r>
              <w:rPr>
                <w:sz w:val="18"/>
              </w:rPr>
              <w:t>Public green premium for NPV = 0 (base 1.5%)</w:t>
            </w:r>
          </w:p>
        </w:tc>
        <w:tc>
          <w:tcPr>
            <w:tcW w:type="dxa" w:w="2785"/>
          </w:tcPr>
          <w:p>
            <w:pPr>
              <w:spacing w:before="0" w:after="0" w:line="252" w:lineRule="auto"/>
              <w:jc w:val="center"/>
            </w:pPr>
            <w:r>
              <w:rPr>
                <w:sz w:val="18"/>
              </w:rPr>
              <w:t>~59%</w:t>
            </w:r>
          </w:p>
        </w:tc>
        <w:tc>
          <w:tcPr>
            <w:tcW w:type="dxa" w:w="1699"/>
          </w:tcPr>
          <w:p>
            <w:pPr>
              <w:spacing w:before="0" w:after="0" w:line="252" w:lineRule="auto"/>
              <w:jc w:val="center"/>
            </w:pPr>
            <w:r>
              <w:rPr>
                <w:sz w:val="18"/>
              </w:rPr>
              <w:t>37%</w:t>
            </w:r>
          </w:p>
        </w:tc>
      </w:tr>
      <w:tr>
        <w:trPr>
          <w:cantSplit w:val="true"/>
        </w:trPr>
        <w:tc>
          <w:tcPr>
            <w:tcW w:type="dxa" w:w="5154"/>
            <w:shd w:val="clear" w:color="auto" w:fill="F2F5F9"/>
          </w:tcPr>
          <w:p>
            <w:pPr>
              <w:spacing w:before="0" w:after="0" w:line="252" w:lineRule="auto"/>
            </w:pPr>
            <w:r>
              <w:rPr>
                <w:sz w:val="18"/>
              </w:rPr>
              <w:t>MKI value per circular m³ for NPV = 0</w:t>
            </w:r>
          </w:p>
        </w:tc>
        <w:tc>
          <w:tcPr>
            <w:tcW w:type="dxa" w:w="2785"/>
            <w:shd w:val="clear" w:color="auto" w:fill="F2F5F9"/>
          </w:tcPr>
          <w:p>
            <w:pPr>
              <w:spacing w:before="0" w:after="0" w:line="252" w:lineRule="auto"/>
              <w:jc w:val="center"/>
            </w:pPr>
            <w:r>
              <w:rPr>
                <w:sz w:val="18"/>
              </w:rPr>
              <w:t>€31.8</w:t>
            </w:r>
          </w:p>
        </w:tc>
        <w:tc>
          <w:tcPr>
            <w:tcW w:type="dxa" w:w="1699"/>
            <w:shd w:val="clear" w:color="auto" w:fill="F2F5F9"/>
          </w:tcPr>
          <w:p>
            <w:pPr>
              <w:spacing w:before="0" w:after="0" w:line="252" w:lineRule="auto"/>
              <w:jc w:val="center"/>
            </w:pPr>
            <w:r>
              <w:rPr>
                <w:sz w:val="18"/>
              </w:rPr>
              <w:t>€19.5</w:t>
            </w:r>
          </w:p>
        </w:tc>
      </w:tr>
      <w:tr>
        <w:trPr>
          <w:cantSplit w:val="true"/>
        </w:trPr>
        <w:tc>
          <w:tcPr>
            <w:tcW w:type="dxa" w:w="5154"/>
          </w:tcPr>
          <w:p>
            <w:pPr>
              <w:spacing w:before="0" w:after="0" w:line="252" w:lineRule="auto"/>
            </w:pPr>
            <w:r>
              <w:rPr>
                <w:sz w:val="18"/>
              </w:rPr>
              <w:t>Gate fee for NPV = 0</w:t>
            </w:r>
          </w:p>
        </w:tc>
        <w:tc>
          <w:tcPr>
            <w:tcW w:type="dxa" w:w="2785"/>
          </w:tcPr>
          <w:p>
            <w:pPr>
              <w:spacing w:before="0" w:after="0" w:line="252" w:lineRule="auto"/>
            </w:pPr>
            <w:r>
              <w:rPr>
                <w:sz w:val="18"/>
              </w:rPr>
              <w:t>n/a (no crushing)</w:t>
            </w:r>
          </w:p>
        </w:tc>
        <w:tc>
          <w:tcPr>
            <w:tcW w:type="dxa" w:w="1699"/>
          </w:tcPr>
          <w:p>
            <w:pPr>
              <w:spacing w:before="0" w:after="0" w:line="252" w:lineRule="auto"/>
              <w:jc w:val="center"/>
            </w:pPr>
            <w:r>
              <w:rPr>
                <w:sz w:val="18"/>
              </w:rPr>
              <w:t>€29.7/t</w:t>
            </w:r>
          </w:p>
        </w:tc>
      </w:tr>
      <w:tr>
        <w:trPr>
          <w:cantSplit w:val="true"/>
        </w:trPr>
        <w:tc>
          <w:tcPr>
            <w:tcW w:type="dxa" w:w="5154"/>
            <w:shd w:val="clear" w:color="auto" w:fill="F2F5F9"/>
          </w:tcPr>
          <w:p>
            <w:pPr>
              <w:spacing w:before="0" w:after="0" w:line="252" w:lineRule="auto"/>
            </w:pPr>
            <w:r>
              <w:rPr>
                <w:sz w:val="18"/>
              </w:rPr>
              <w:t>A levy on primary aggregates</w:t>
            </w:r>
          </w:p>
        </w:tc>
        <w:tc>
          <w:tcPr>
            <w:tcW w:type="dxa" w:w="2785"/>
            <w:shd w:val="clear" w:color="auto" w:fill="F2F5F9"/>
          </w:tcPr>
          <w:p>
            <w:pPr>
              <w:spacing w:before="0" w:after="0" w:line="252" w:lineRule="auto"/>
            </w:pPr>
            <w:r>
              <w:rPr>
                <w:sz w:val="18"/>
              </w:rPr>
              <w:t>does not help at any level</w:t>
            </w:r>
          </w:p>
        </w:tc>
        <w:tc>
          <w:tcPr>
            <w:tcW w:type="dxa" w:w="1699"/>
            <w:shd w:val="clear" w:color="auto" w:fill="F2F5F9"/>
          </w:tcPr>
          <w:p>
            <w:pPr>
              <w:spacing w:before="0" w:after="0" w:line="252" w:lineRule="auto"/>
            </w:pPr>
            <w:r>
              <w:rPr>
                <w:sz w:val="18"/>
              </w:rPr>
              <w:t>does not help</w:t>
            </w:r>
          </w:p>
        </w:tc>
      </w:tr>
      <w:tr>
        <w:trPr>
          <w:cantSplit w:val="true"/>
        </w:trPr>
        <w:tc>
          <w:tcPr>
            <w:tcW w:type="dxa" w:w="5154"/>
          </w:tcPr>
          <w:p>
            <w:pPr>
              <w:spacing w:before="0" w:after="0" w:line="252" w:lineRule="auto"/>
            </w:pPr>
            <w:r>
              <w:rPr>
                <w:sz w:val="18"/>
              </w:rPr>
              <w:t>Faster ETS phase-out (high carbon path)</w:t>
            </w:r>
          </w:p>
        </w:tc>
        <w:tc>
          <w:tcPr>
            <w:tcW w:type="dxa" w:w="2785"/>
          </w:tcPr>
          <w:p>
            <w:pPr>
              <w:spacing w:before="0" w:after="0" w:line="252" w:lineRule="auto"/>
              <w:jc w:val="center"/>
            </w:pPr>
            <w:r>
              <w:rPr>
                <w:sz w:val="18"/>
              </w:rPr>
              <w:t>−€5.60M (hurts)</w:t>
            </w:r>
          </w:p>
        </w:tc>
        <w:tc>
          <w:tcPr>
            <w:tcW w:type="dxa" w:w="1699"/>
          </w:tcPr>
          <w:p>
            <w:pPr>
              <w:spacing w:before="0" w:after="0" w:line="252" w:lineRule="auto"/>
              <w:jc w:val="center"/>
            </w:pPr>
            <w:r>
              <w:rPr>
                <w:sz w:val="18"/>
              </w:rPr>
              <w:t>−€4.30M (hurts)</w:t>
            </w:r>
          </w:p>
        </w:tc>
      </w:tr>
    </w:tbl>
    <w:p>
      <w:pPr>
        <w:spacing w:before="0" w:after="40" w:line="240" w:lineRule="auto"/>
      </w:pPr>
    </w:p>
    <w:p>
      <w:r>
        <w:rPr>
          <w:color w:val="6B6B6B"/>
          <w:sz w:val="17"/>
        </w:rPr>
        <w:t>[ESTIMATE, viability_options.md §6]</w:t>
      </w:r>
      <w:r>
        <w:t xml:space="preserve">. </w:t>
      </w:r>
      <w:r>
        <w:rPr>
          <w:b/>
        </w:rPr>
        <w:t>None of the needed conditions is a "green" factor.</w:t>
      </w:r>
      <w:r>
        <w:t xml:space="preserve"> What would matter: (a) much higher gate fees for clean rubble; (b) low prices for existing plants; (c) a clearly higher selling price or volume. None of these is in sight on present evidence. A levy on primary aggregates does not help because our mixes still use 1.25–1.9 t of primary sand and gravel per m³.</w:t>
      </w:r>
    </w:p>
    <w:p>
      <w:r>
        <w:br w:type="page"/>
      </w:r>
    </w:p>
    <w:p>
      <w:pPr>
        <w:pStyle w:val="Heading1"/>
      </w:pPr>
      <w:r>
        <w:t>9. Selling points and go-to-market</w:t>
      </w:r>
    </w:p>
    <w:p>
      <w:r>
        <w:t xml:space="preserve">This section describes how the closest route (P2) would be sold. </w:t>
      </w:r>
      <w:r>
        <w:rPr>
          <w:b/>
        </w:rPr>
        <w:t>It is a plan for what a due-diligence phase would test, not an investment plan.</w:t>
      </w:r>
    </w:p>
    <w:p>
      <w:pPr>
        <w:pStyle w:val="Heading2"/>
      </w:pPr>
      <w:r>
        <w:t>9.1 Honest core message</w:t>
      </w:r>
    </w:p>
    <w:p>
      <w:pPr>
        <w:pStyle w:val="ListBullet"/>
      </w:pPr>
      <w:r>
        <w:t xml:space="preserve">Our circular mix is </w:t>
      </w:r>
      <w:r>
        <w:rPr>
          <w:b/>
        </w:rPr>
        <w:t>cheaper to make</w:t>
      </w:r>
      <w:r>
        <w:t xml:space="preserve"> than the Dutch standard (−€2.5/m³) and has </w:t>
      </w:r>
      <w:r>
        <w:rPr>
          <w:b/>
        </w:rPr>
        <w:t>31% recycled content</w:t>
      </w:r>
      <w:r>
        <w:t xml:space="preserve"> (621 kg gravel saved per m³).</w:t>
      </w:r>
    </w:p>
    <w:p>
      <w:pPr>
        <w:pStyle w:val="ListBullet"/>
      </w:pPr>
      <w:r>
        <w:t xml:space="preserve">Its </w:t>
      </w:r>
      <w:r>
        <w:rPr>
          <w:b/>
        </w:rPr>
        <w:t>CO₂ is about the same</w:t>
      </w:r>
      <w:r>
        <w:t xml:space="preserve"> as the Dutch CEM III/B standard. The big CO₂ gap exists only against CEM I, which is rare in Dutch ready-mix.</w:t>
      </w:r>
    </w:p>
    <w:p>
      <w:pPr>
        <w:pStyle w:val="ListBullet"/>
      </w:pPr>
      <w:r>
        <w:t xml:space="preserve">So we would sell </w:t>
      </w:r>
      <w:r>
        <w:rPr>
          <w:b/>
        </w:rPr>
        <w:t>"circular at the standard price, with documented recycled content"</w:t>
      </w:r>
      <w:r>
        <w:t xml:space="preserve">, not "low-CO₂ at a premium". Incumbents charge +€3.30 to +€5.50/m³ for 30–50% recycled content </w:t>
      </w:r>
      <w:r>
        <w:rPr>
          <w:color w:val="6B6B6B"/>
          <w:sz w:val="17"/>
        </w:rPr>
        <w:t>[VERIFIED, MKT-25]</w:t>
      </w:r>
      <w:r>
        <w:t>.</w:t>
      </w:r>
    </w:p>
    <w:p>
      <w:pPr>
        <w:pStyle w:val="Heading2"/>
      </w:pPr>
      <w:r>
        <w:t>9.2 Selling points per segment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548"/>
        <w:gridCol w:w="3767"/>
        <w:gridCol w:w="3321"/>
      </w:tblGrid>
      <w:tr>
        <w:trPr>
          <w:cantSplit w:val="true"/>
          <w:tblHeader w:val="true"/>
        </w:trPr>
        <w:tc>
          <w:tcPr>
            <w:tcW w:type="dxa" w:w="2549"/>
            <w:shd w:val="clear" w:color="auto" w:fill="1F3A5F"/>
          </w:tcPr>
          <w:p>
            <w:pPr>
              <w:spacing w:before="0" w:after="0" w:line="252" w:lineRule="auto"/>
            </w:pPr>
            <w:r>
              <w:rPr>
                <w:b/>
                <w:color w:val="FFFFFF"/>
                <w:sz w:val="18"/>
              </w:rPr>
              <w:t>Segment</w:t>
            </w:r>
          </w:p>
        </w:tc>
        <w:tc>
          <w:tcPr>
            <w:tcW w:type="dxa" w:w="3767"/>
            <w:shd w:val="clear" w:color="auto" w:fill="1F3A5F"/>
          </w:tcPr>
          <w:p>
            <w:pPr>
              <w:spacing w:before="0" w:after="0" w:line="252" w:lineRule="auto"/>
            </w:pPr>
            <w:r>
              <w:rPr>
                <w:b/>
                <w:color w:val="FFFFFF"/>
                <w:sz w:val="18"/>
              </w:rPr>
              <w:t>Selling point</w:t>
            </w:r>
          </w:p>
        </w:tc>
        <w:tc>
          <w:tcPr>
            <w:tcW w:type="dxa" w:w="3322"/>
            <w:shd w:val="clear" w:color="auto" w:fill="1F3A5F"/>
          </w:tcPr>
          <w:p>
            <w:pPr>
              <w:spacing w:before="0" w:after="0" w:line="252" w:lineRule="auto"/>
            </w:pPr>
            <w:r>
              <w:rPr>
                <w:b/>
                <w:color w:val="FFFFFF"/>
                <w:sz w:val="18"/>
              </w:rPr>
              <w:t>Honest limit</w:t>
            </w:r>
          </w:p>
        </w:tc>
      </w:tr>
      <w:tr>
        <w:trPr>
          <w:cantSplit w:val="true"/>
        </w:trPr>
        <w:tc>
          <w:tcPr>
            <w:tcW w:type="dxa" w:w="2549"/>
          </w:tcPr>
          <w:p>
            <w:pPr>
              <w:spacing w:before="0" w:after="0" w:line="252" w:lineRule="auto"/>
            </w:pPr>
            <w:r>
              <w:rPr>
                <w:b/>
                <w:sz w:val="18"/>
              </w:rPr>
              <w:t>Mid-size GWW contractors</w:t>
            </w:r>
            <w:r>
              <w:rPr>
                <w:sz w:val="18"/>
              </w:rPr>
              <w:t xml:space="preserve"> (public maintenance and renewal work)</w:t>
            </w:r>
          </w:p>
        </w:tc>
        <w:tc>
          <w:tcPr>
            <w:tcW w:type="dxa" w:w="3767"/>
          </w:tcPr>
          <w:p>
            <w:pPr>
              <w:spacing w:before="0" w:after="0" w:line="252" w:lineRule="auto"/>
            </w:pPr>
            <w:r>
              <w:rPr>
                <w:sz w:val="18"/>
              </w:rPr>
              <w:t>Product-specific EPD and MKI statement per project; meets MKI ceilings under the coming GWW decree; framework volume</w:t>
            </w:r>
          </w:p>
        </w:tc>
        <w:tc>
          <w:tcPr>
            <w:tcW w:type="dxa" w:w="3322"/>
          </w:tcPr>
          <w:p>
            <w:pPr>
              <w:spacing w:before="0" w:after="0" w:line="252" w:lineRule="auto"/>
            </w:pPr>
            <w:r>
              <w:rPr>
                <w:sz w:val="18"/>
              </w:rPr>
              <w:t>Meets the ceiling, not the front-runner value. vs a CEM III/B rival the tender advantage is only €0.2–0.5/m³</w:t>
            </w:r>
          </w:p>
        </w:tc>
      </w:tr>
      <w:tr>
        <w:trPr>
          <w:cantSplit w:val="true"/>
        </w:trPr>
        <w:tc>
          <w:tcPr>
            <w:tcW w:type="dxa" w:w="2549"/>
            <w:shd w:val="clear" w:color="auto" w:fill="F2F5F9"/>
          </w:tcPr>
          <w:p>
            <w:pPr>
              <w:spacing w:before="0" w:after="0" w:line="252" w:lineRule="auto"/>
            </w:pPr>
            <w:r>
              <w:rPr>
                <w:b/>
                <w:sz w:val="18"/>
              </w:rPr>
              <w:t>Municipalities, province, water boards</w:t>
            </w:r>
          </w:p>
        </w:tc>
        <w:tc>
          <w:tcPr>
            <w:tcW w:type="dxa" w:w="3767"/>
            <w:shd w:val="clear" w:color="auto" w:fill="F2F5F9"/>
          </w:tcPr>
          <w:p>
            <w:pPr>
              <w:spacing w:before="0" w:after="0" w:line="252" w:lineRule="auto"/>
            </w:pPr>
            <w:r>
              <w:rPr>
                <w:sz w:val="18"/>
              </w:rPr>
              <w:t>Must set MKI ceilings from ~2028; ready-made specs; 50% RCA allowed in unreinforced (X0) work</w:t>
            </w:r>
          </w:p>
        </w:tc>
        <w:tc>
          <w:tcPr>
            <w:tcW w:type="dxa" w:w="3322"/>
            <w:shd w:val="clear" w:color="auto" w:fill="F2F5F9"/>
          </w:tcPr>
          <w:p>
            <w:pPr>
              <w:spacing w:before="0" w:after="0" w:line="252" w:lineRule="auto"/>
            </w:pPr>
            <w:r>
              <w:rPr>
                <w:sz w:val="18"/>
              </w:rPr>
              <w:t>Help is paperwork and certainty, not a premium; they buy mostly on price</w:t>
            </w:r>
          </w:p>
        </w:tc>
      </w:tr>
      <w:tr>
        <w:trPr>
          <w:cantSplit w:val="true"/>
        </w:trPr>
        <w:tc>
          <w:tcPr>
            <w:tcW w:type="dxa" w:w="2549"/>
          </w:tcPr>
          <w:p>
            <w:pPr>
              <w:spacing w:before="0" w:after="0" w:line="252" w:lineRule="auto"/>
            </w:pPr>
            <w:r>
              <w:rPr>
                <w:b/>
                <w:sz w:val="18"/>
              </w:rPr>
              <w:t>Housing corporations</w:t>
            </w:r>
          </w:p>
        </w:tc>
        <w:tc>
          <w:tcPr>
            <w:tcW w:type="dxa" w:w="3767"/>
          </w:tcPr>
          <w:p>
            <w:pPr>
              <w:spacing w:before="0" w:after="0" w:line="252" w:lineRule="auto"/>
            </w:pPr>
            <w:r>
              <w:rPr>
                <w:sz w:val="18"/>
              </w:rPr>
              <w:t>Long building programmes → 3–5-year frameworks; recycled-content reporting for own targets</w:t>
            </w:r>
          </w:p>
        </w:tc>
        <w:tc>
          <w:tcPr>
            <w:tcW w:type="dxa" w:w="3322"/>
          </w:tcPr>
          <w:p>
            <w:pPr>
              <w:spacing w:before="0" w:after="0" w:line="252" w:lineRule="auto"/>
            </w:pPr>
            <w:r>
              <w:rPr>
                <w:sz w:val="18"/>
              </w:rPr>
              <w:t>No real CO₂ gain vs standard; MPG gives no pull for homes before ~2030</w:t>
            </w:r>
          </w:p>
        </w:tc>
      </w:tr>
      <w:tr>
        <w:trPr>
          <w:cantSplit w:val="true"/>
        </w:trPr>
        <w:tc>
          <w:tcPr>
            <w:tcW w:type="dxa" w:w="2549"/>
            <w:shd w:val="clear" w:color="auto" w:fill="F2F5F9"/>
          </w:tcPr>
          <w:p>
            <w:pPr>
              <w:spacing w:before="0" w:after="0" w:line="252" w:lineRule="auto"/>
            </w:pPr>
            <w:r>
              <w:rPr>
                <w:b/>
                <w:sz w:val="18"/>
              </w:rPr>
              <w:t>Developers</w:t>
            </w:r>
            <w:r>
              <w:rPr>
                <w:sz w:val="18"/>
              </w:rPr>
              <w:t xml:space="preserve"> (later)</w:t>
            </w:r>
          </w:p>
        </w:tc>
        <w:tc>
          <w:tcPr>
            <w:tcW w:type="dxa" w:w="3767"/>
            <w:shd w:val="clear" w:color="auto" w:fill="F2F5F9"/>
          </w:tcPr>
          <w:p>
            <w:pPr>
              <w:spacing w:before="0" w:after="0" w:line="252" w:lineRule="auto"/>
            </w:pPr>
            <w:r>
              <w:rPr>
                <w:sz w:val="18"/>
              </w:rPr>
              <w:t>Life-cycle CO₂ disclosure from 2028</w:t>
            </w:r>
          </w:p>
        </w:tc>
        <w:tc>
          <w:tcPr>
            <w:tcW w:type="dxa" w:w="3322"/>
            <w:shd w:val="clear" w:color="auto" w:fill="F2F5F9"/>
          </w:tcPr>
          <w:p>
            <w:pPr>
              <w:spacing w:before="0" w:after="0" w:line="252" w:lineRule="auto"/>
            </w:pPr>
            <w:r>
              <w:rPr>
                <w:sz w:val="18"/>
              </w:rPr>
              <w:t>Cash premium ≈ 0%; not a first segment</w:t>
            </w:r>
          </w:p>
        </w:tc>
      </w:tr>
      <w:tr>
        <w:trPr>
          <w:cantSplit w:val="true"/>
        </w:trPr>
        <w:tc>
          <w:tcPr>
            <w:tcW w:type="dxa" w:w="2549"/>
          </w:tcPr>
          <w:p>
            <w:pPr>
              <w:spacing w:before="0" w:after="0" w:line="252" w:lineRule="auto"/>
            </w:pPr>
            <w:r>
              <w:rPr>
                <w:b/>
                <w:sz w:val="18"/>
              </w:rPr>
              <w:t>Demolition firms</w:t>
            </w:r>
            <w:r>
              <w:rPr>
                <w:sz w:val="18"/>
              </w:rPr>
              <w:t xml:space="preserve"> (suppliers)</w:t>
            </w:r>
          </w:p>
        </w:tc>
        <w:tc>
          <w:tcPr>
            <w:tcW w:type="dxa" w:w="3767"/>
          </w:tcPr>
          <w:p>
            <w:pPr>
              <w:spacing w:before="0" w:after="0" w:line="252" w:lineRule="auto"/>
            </w:pPr>
            <w:r>
              <w:rPr>
                <w:sz w:val="18"/>
              </w:rPr>
              <w:t>A 7–10-year outlet for 40.5 kt/yr of rubble as road-base use is capped; paid crushing work</w:t>
            </w:r>
          </w:p>
        </w:tc>
        <w:tc>
          <w:tcPr>
            <w:tcW w:type="dxa" w:w="3322"/>
          </w:tcPr>
          <w:p>
            <w:pPr>
              <w:spacing w:before="0" w:after="0" w:line="252" w:lineRule="auto"/>
            </w:pPr>
            <w:r>
              <w:rPr>
                <w:sz w:val="18"/>
              </w:rPr>
              <w:t>They can take clean rubble elsewhere at ~€0/t; the gate fee P2 needs (~€30/t) is far above the market</w:t>
            </w:r>
          </w:p>
        </w:tc>
      </w:tr>
      <w:tr>
        <w:trPr>
          <w:cantSplit w:val="true"/>
        </w:trPr>
        <w:tc>
          <w:tcPr>
            <w:tcW w:type="dxa" w:w="2549"/>
            <w:shd w:val="clear" w:color="auto" w:fill="F2F5F9"/>
          </w:tcPr>
          <w:p>
            <w:pPr>
              <w:spacing w:before="0" w:after="0" w:line="252" w:lineRule="auto"/>
            </w:pPr>
            <w:r>
              <w:rPr>
                <w:b/>
                <w:sz w:val="18"/>
              </w:rPr>
              <w:t>Owners of small ready-mix plants</w:t>
            </w:r>
            <w:r>
              <w:rPr>
                <w:sz w:val="18"/>
              </w:rPr>
              <w:t xml:space="preserve"> (sellers)</w:t>
            </w:r>
          </w:p>
        </w:tc>
        <w:tc>
          <w:tcPr>
            <w:tcW w:type="dxa" w:w="3767"/>
            <w:shd w:val="clear" w:color="auto" w:fill="F2F5F9"/>
          </w:tcPr>
          <w:p>
            <w:pPr>
              <w:spacing w:before="0" w:after="0" w:line="252" w:lineRule="auto"/>
            </w:pPr>
            <w:r>
              <w:rPr>
                <w:sz w:val="18"/>
              </w:rPr>
              <w:t>An exit in a shrinking market; staff and name kept</w:t>
            </w:r>
          </w:p>
        </w:tc>
        <w:tc>
          <w:tcPr>
            <w:tcW w:type="dxa" w:w="3322"/>
            <w:shd w:val="clear" w:color="auto" w:fill="F2F5F9"/>
          </w:tcPr>
          <w:p>
            <w:pPr>
              <w:spacing w:before="0" w:after="0" w:line="252" w:lineRule="auto"/>
            </w:pPr>
            <w:r>
              <w:rPr>
                <w:sz w:val="18"/>
              </w:rPr>
              <w:t>No Dutch transaction prices found; €2.5M buys about a 35k m³ plant</w:t>
            </w:r>
          </w:p>
        </w:tc>
      </w:tr>
    </w:tbl>
    <w:p>
      <w:pPr>
        <w:spacing w:before="0" w:after="40" w:line="240" w:lineRule="auto"/>
      </w:pPr>
    </w:p>
    <w:p>
      <w:r>
        <w:t>[market.md §6; value_proposition.md §1].</w:t>
      </w:r>
    </w:p>
    <w:p>
      <w:pPr>
        <w:pStyle w:val="Heading2"/>
      </w:pPr>
      <w:r>
        <w:t>9.3 Honest weak points</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88"/>
        <w:gridCol w:w="2326"/>
        <w:gridCol w:w="3999"/>
        <w:gridCol w:w="3023"/>
      </w:tblGrid>
      <w:tr>
        <w:trPr>
          <w:cantSplit w:val="true"/>
          <w:tblHeader w:val="true"/>
        </w:trPr>
        <w:tc>
          <w:tcPr>
            <w:tcW w:type="dxa" w:w="288"/>
            <w:shd w:val="clear" w:color="auto" w:fill="1F3A5F"/>
          </w:tcPr>
          <w:p>
            <w:pPr>
              <w:spacing w:before="0" w:after="0" w:line="252" w:lineRule="auto"/>
            </w:pPr>
            <w:r>
              <w:rPr>
                <w:b/>
                <w:color w:val="FFFFFF"/>
                <w:sz w:val="18"/>
              </w:rPr>
              <w:t>#</w:t>
            </w:r>
          </w:p>
        </w:tc>
        <w:tc>
          <w:tcPr>
            <w:tcW w:type="dxa" w:w="2326"/>
            <w:shd w:val="clear" w:color="auto" w:fill="1F3A5F"/>
          </w:tcPr>
          <w:p>
            <w:pPr>
              <w:spacing w:before="0" w:after="0" w:line="252" w:lineRule="auto"/>
            </w:pPr>
            <w:r>
              <w:rPr>
                <w:b/>
                <w:color w:val="FFFFFF"/>
                <w:sz w:val="18"/>
              </w:rPr>
              <w:t>Weak point</w:t>
            </w:r>
          </w:p>
        </w:tc>
        <w:tc>
          <w:tcPr>
            <w:tcW w:type="dxa" w:w="3999"/>
            <w:shd w:val="clear" w:color="auto" w:fill="1F3A5F"/>
          </w:tcPr>
          <w:p>
            <w:pPr>
              <w:spacing w:before="0" w:after="0" w:line="252" w:lineRule="auto"/>
            </w:pPr>
            <w:r>
              <w:rPr>
                <w:b/>
                <w:color w:val="FFFFFF"/>
                <w:sz w:val="18"/>
              </w:rPr>
              <w:t>Our answer</w:t>
            </w:r>
          </w:p>
        </w:tc>
        <w:tc>
          <w:tcPr>
            <w:tcW w:type="dxa" w:w="3023"/>
            <w:shd w:val="clear" w:color="auto" w:fill="1F3A5F"/>
          </w:tcPr>
          <w:p>
            <w:pPr>
              <w:spacing w:before="0" w:after="0" w:line="252" w:lineRule="auto"/>
            </w:pPr>
            <w:r>
              <w:rPr>
                <w:b/>
                <w:color w:val="FFFFFF"/>
                <w:sz w:val="18"/>
              </w:rPr>
              <w:t>What remains</w:t>
            </w:r>
          </w:p>
        </w:tc>
      </w:tr>
      <w:tr>
        <w:trPr>
          <w:cantSplit w:val="true"/>
        </w:trPr>
        <w:tc>
          <w:tcPr>
            <w:tcW w:type="dxa" w:w="288"/>
          </w:tcPr>
          <w:p>
            <w:pPr>
              <w:spacing w:before="0" w:after="0" w:line="252" w:lineRule="auto"/>
            </w:pPr>
            <w:r>
              <w:rPr>
                <w:sz w:val="18"/>
              </w:rPr>
              <w:t>1</w:t>
            </w:r>
          </w:p>
        </w:tc>
        <w:tc>
          <w:tcPr>
            <w:tcW w:type="dxa" w:w="2326"/>
          </w:tcPr>
          <w:p>
            <w:pPr>
              <w:spacing w:before="0" w:after="0" w:line="252" w:lineRule="auto"/>
            </w:pPr>
            <w:r>
              <w:rPr>
                <w:sz w:val="18"/>
              </w:rPr>
              <w:t>The economics do not work</w:t>
            </w:r>
          </w:p>
        </w:tc>
        <w:tc>
          <w:tcPr>
            <w:tcW w:type="dxa" w:w="3999"/>
          </w:tcPr>
          <w:p>
            <w:pPr>
              <w:spacing w:before="0" w:after="0" w:line="252" w:lineRule="auto"/>
            </w:pPr>
            <w:r>
              <w:rPr>
                <w:sz w:val="18"/>
              </w:rPr>
              <w:t>Small diligence phase with hard gates</w:t>
            </w:r>
          </w:p>
        </w:tc>
        <w:tc>
          <w:tcPr>
            <w:tcW w:type="dxa" w:w="3023"/>
          </w:tcPr>
          <w:p>
            <w:pPr>
              <w:spacing w:before="0" w:after="0" w:line="252" w:lineRule="auto"/>
            </w:pPr>
            <w:r>
              <w:rPr>
                <w:sz w:val="18"/>
              </w:rPr>
              <w:t>Even at target terms (plant €2.0M, gate fee €10/t) P2 NPV is −€2.24M</w:t>
            </w:r>
          </w:p>
        </w:tc>
      </w:tr>
      <w:tr>
        <w:trPr>
          <w:cantSplit w:val="true"/>
        </w:trPr>
        <w:tc>
          <w:tcPr>
            <w:tcW w:type="dxa" w:w="288"/>
            <w:shd w:val="clear" w:color="auto" w:fill="F2F5F9"/>
          </w:tcPr>
          <w:p>
            <w:pPr>
              <w:spacing w:before="0" w:after="0" w:line="252" w:lineRule="auto"/>
            </w:pPr>
            <w:r>
              <w:rPr>
                <w:sz w:val="18"/>
              </w:rPr>
              <w:t>2</w:t>
            </w:r>
          </w:p>
        </w:tc>
        <w:tc>
          <w:tcPr>
            <w:tcW w:type="dxa" w:w="2326"/>
            <w:shd w:val="clear" w:color="auto" w:fill="F2F5F9"/>
          </w:tcPr>
          <w:p>
            <w:pPr>
              <w:spacing w:before="0" w:after="0" w:line="252" w:lineRule="auto"/>
            </w:pPr>
            <w:r>
              <w:rPr>
                <w:sz w:val="18"/>
              </w:rPr>
              <w:t>Buyers buy on price</w:t>
            </w:r>
          </w:p>
        </w:tc>
        <w:tc>
          <w:tcPr>
            <w:tcW w:type="dxa" w:w="3999"/>
            <w:shd w:val="clear" w:color="auto" w:fill="F2F5F9"/>
          </w:tcPr>
          <w:p>
            <w:pPr>
              <w:spacing w:before="0" w:after="0" w:line="252" w:lineRule="auto"/>
            </w:pPr>
            <w:r>
              <w:rPr>
                <w:sz w:val="18"/>
              </w:rPr>
              <w:t>Price parity on private work</w:t>
            </w:r>
          </w:p>
        </w:tc>
        <w:tc>
          <w:tcPr>
            <w:tcW w:type="dxa" w:w="3023"/>
            <w:shd w:val="clear" w:color="auto" w:fill="F2F5F9"/>
          </w:tcPr>
          <w:p>
            <w:pPr>
              <w:spacing w:before="0" w:after="0" w:line="252" w:lineRule="auto"/>
            </w:pPr>
            <w:r>
              <w:rPr>
                <w:sz w:val="18"/>
              </w:rPr>
              <w:t>Full parity costs P2 only −€0.19M; the premium is not the problem</w:t>
            </w:r>
          </w:p>
        </w:tc>
      </w:tr>
      <w:tr>
        <w:trPr>
          <w:cantSplit w:val="true"/>
        </w:trPr>
        <w:tc>
          <w:tcPr>
            <w:tcW w:type="dxa" w:w="288"/>
          </w:tcPr>
          <w:p>
            <w:pPr>
              <w:spacing w:before="0" w:after="0" w:line="252" w:lineRule="auto"/>
            </w:pPr>
            <w:r>
              <w:rPr>
                <w:sz w:val="18"/>
              </w:rPr>
              <w:t>3</w:t>
            </w:r>
          </w:p>
        </w:tc>
        <w:tc>
          <w:tcPr>
            <w:tcW w:type="dxa" w:w="2326"/>
          </w:tcPr>
          <w:p>
            <w:pPr>
              <w:spacing w:before="0" w:after="0" w:line="252" w:lineRule="auto"/>
            </w:pPr>
            <w:r>
              <w:rPr>
                <w:sz w:val="18"/>
              </w:rPr>
              <w:t>Little CO₂ advantage vs CEM III/B</w:t>
            </w:r>
          </w:p>
        </w:tc>
        <w:tc>
          <w:tcPr>
            <w:tcW w:type="dxa" w:w="3999"/>
          </w:tcPr>
          <w:p>
            <w:pPr>
              <w:spacing w:before="0" w:after="0" w:line="252" w:lineRule="auto"/>
            </w:pPr>
            <w:r>
              <w:rPr>
                <w:sz w:val="18"/>
              </w:rPr>
              <w:t>Do not claim low-CO₂; sell recycled content; add a lower-CO₂ binder when certified</w:t>
            </w:r>
          </w:p>
        </w:tc>
        <w:tc>
          <w:tcPr>
            <w:tcW w:type="dxa" w:w="3023"/>
          </w:tcPr>
          <w:p>
            <w:pPr>
              <w:spacing w:before="0" w:after="0" w:line="252" w:lineRule="auto"/>
            </w:pPr>
            <w:r>
              <w:rPr>
                <w:sz w:val="18"/>
              </w:rPr>
              <w:t>The binder option loses money (O5: −€0.53M vs base)</w:t>
            </w:r>
          </w:p>
        </w:tc>
      </w:tr>
      <w:tr>
        <w:trPr>
          <w:cantSplit w:val="true"/>
        </w:trPr>
        <w:tc>
          <w:tcPr>
            <w:tcW w:type="dxa" w:w="288"/>
            <w:shd w:val="clear" w:color="auto" w:fill="F2F5F9"/>
          </w:tcPr>
          <w:p>
            <w:pPr>
              <w:spacing w:before="0" w:after="0" w:line="252" w:lineRule="auto"/>
            </w:pPr>
            <w:r>
              <w:rPr>
                <w:sz w:val="18"/>
              </w:rPr>
              <w:t>4</w:t>
            </w:r>
          </w:p>
        </w:tc>
        <w:tc>
          <w:tcPr>
            <w:tcW w:type="dxa" w:w="2326"/>
            <w:shd w:val="clear" w:color="auto" w:fill="F2F5F9"/>
          </w:tcPr>
          <w:p>
            <w:pPr>
              <w:spacing w:before="0" w:after="0" w:line="252" w:lineRule="auto"/>
            </w:pPr>
            <w:r>
              <w:rPr>
                <w:sz w:val="18"/>
              </w:rPr>
              <w:t>Incumbents sell green lines at small surcharges</w:t>
            </w:r>
          </w:p>
        </w:tc>
        <w:tc>
          <w:tcPr>
            <w:tcW w:type="dxa" w:w="3999"/>
            <w:shd w:val="clear" w:color="auto" w:fill="F2F5F9"/>
          </w:tcPr>
          <w:p>
            <w:pPr>
              <w:spacing w:before="0" w:after="0" w:line="252" w:lineRule="auto"/>
            </w:pPr>
            <w:r>
              <w:rPr>
                <w:sz w:val="18"/>
              </w:rPr>
              <w:t>Parity price undercuts their surcharge by €3–5.50/m³</w:t>
            </w:r>
          </w:p>
        </w:tc>
        <w:tc>
          <w:tcPr>
            <w:tcW w:type="dxa" w:w="3023"/>
            <w:shd w:val="clear" w:color="auto" w:fill="F2F5F9"/>
          </w:tcPr>
          <w:p>
            <w:pPr>
              <w:spacing w:before="0" w:after="0" w:line="252" w:lineRule="auto"/>
            </w:pPr>
            <w:r>
              <w:rPr>
                <w:sz w:val="18"/>
              </w:rPr>
              <w:t>They can drop the surcharge any day</w:t>
            </w:r>
          </w:p>
        </w:tc>
      </w:tr>
      <w:tr>
        <w:trPr>
          <w:cantSplit w:val="true"/>
        </w:trPr>
        <w:tc>
          <w:tcPr>
            <w:tcW w:type="dxa" w:w="288"/>
          </w:tcPr>
          <w:p>
            <w:pPr>
              <w:spacing w:before="0" w:after="0" w:line="252" w:lineRule="auto"/>
            </w:pPr>
            <w:r>
              <w:rPr>
                <w:sz w:val="18"/>
              </w:rPr>
              <w:t>5</w:t>
            </w:r>
          </w:p>
        </w:tc>
        <w:tc>
          <w:tcPr>
            <w:tcW w:type="dxa" w:w="2326"/>
          </w:tcPr>
          <w:p>
            <w:pPr>
              <w:spacing w:before="0" w:after="0" w:line="252" w:lineRule="auto"/>
            </w:pPr>
            <w:r>
              <w:rPr>
                <w:sz w:val="18"/>
              </w:rPr>
              <w:t>SL Materials (€100M) and everox (in our region)</w:t>
            </w:r>
          </w:p>
        </w:tc>
        <w:tc>
          <w:tcPr>
            <w:tcW w:type="dxa" w:w="3999"/>
          </w:tcPr>
          <w:p>
            <w:pPr>
              <w:spacing w:before="0" w:after="0" w:line="252" w:lineRule="auto"/>
            </w:pPr>
            <w:r>
              <w:rPr>
                <w:sz w:val="18"/>
              </w:rPr>
              <w:t>Stay on volume work; consider them as suppliers of binder or recycled sand</w:t>
            </w:r>
          </w:p>
        </w:tc>
        <w:tc>
          <w:tcPr>
            <w:tcW w:type="dxa" w:w="3023"/>
          </w:tcPr>
          <w:p>
            <w:pPr>
              <w:spacing w:before="0" w:after="0" w:line="252" w:lineRule="auto"/>
            </w:pPr>
            <w:r>
              <w:rPr>
                <w:sz w:val="18"/>
              </w:rPr>
              <w:t>If SL Materials opens near Rotterdam, our claim looks ordinary</w:t>
            </w:r>
          </w:p>
        </w:tc>
      </w:tr>
      <w:tr>
        <w:trPr>
          <w:cantSplit w:val="true"/>
        </w:trPr>
        <w:tc>
          <w:tcPr>
            <w:tcW w:type="dxa" w:w="288"/>
            <w:shd w:val="clear" w:color="auto" w:fill="F2F5F9"/>
          </w:tcPr>
          <w:p>
            <w:pPr>
              <w:spacing w:before="0" w:after="0" w:line="252" w:lineRule="auto"/>
            </w:pPr>
            <w:r>
              <w:rPr>
                <w:sz w:val="18"/>
              </w:rPr>
              <w:t>6</w:t>
            </w:r>
          </w:p>
        </w:tc>
        <w:tc>
          <w:tcPr>
            <w:tcW w:type="dxa" w:w="2326"/>
            <w:shd w:val="clear" w:color="auto" w:fill="F2F5F9"/>
          </w:tcPr>
          <w:p>
            <w:pPr>
              <w:spacing w:before="0" w:after="0" w:line="252" w:lineRule="auto"/>
            </w:pPr>
            <w:r>
              <w:rPr>
                <w:sz w:val="18"/>
              </w:rPr>
              <w:t>Quality perception and liability</w:t>
            </w:r>
          </w:p>
        </w:tc>
        <w:tc>
          <w:tcPr>
            <w:tcW w:type="dxa" w:w="3999"/>
            <w:shd w:val="clear" w:color="auto" w:fill="F2F5F9"/>
          </w:tcPr>
          <w:p>
            <w:pPr>
              <w:spacing w:before="0" w:after="0" w:line="252" w:lineRule="auto"/>
            </w:pPr>
            <w:r>
              <w:rPr>
                <w:sz w:val="18"/>
              </w:rPr>
              <w:t>Start with unreinforced/inside work; lot testing; publish test data</w:t>
            </w:r>
          </w:p>
        </w:tc>
        <w:tc>
          <w:tcPr>
            <w:tcW w:type="dxa" w:w="3023"/>
            <w:shd w:val="clear" w:color="auto" w:fill="F2F5F9"/>
          </w:tcPr>
          <w:p>
            <w:pPr>
              <w:spacing w:before="0" w:after="0" w:line="252" w:lineRule="auto"/>
            </w:pPr>
            <w:r>
              <w:rPr>
                <w:sz w:val="18"/>
              </w:rPr>
              <w:t>&gt;30% RCA outdoors needs client acceptance per project</w:t>
            </w:r>
          </w:p>
        </w:tc>
      </w:tr>
      <w:tr>
        <w:trPr>
          <w:cantSplit w:val="true"/>
        </w:trPr>
        <w:tc>
          <w:tcPr>
            <w:tcW w:type="dxa" w:w="288"/>
          </w:tcPr>
          <w:p>
            <w:pPr>
              <w:spacing w:before="0" w:after="0" w:line="252" w:lineRule="auto"/>
            </w:pPr>
            <w:r>
              <w:rPr>
                <w:sz w:val="18"/>
              </w:rPr>
              <w:t>7</w:t>
            </w:r>
          </w:p>
        </w:tc>
        <w:tc>
          <w:tcPr>
            <w:tcW w:type="dxa" w:w="2326"/>
          </w:tcPr>
          <w:p>
            <w:pPr>
              <w:spacing w:before="0" w:after="0" w:line="252" w:lineRule="auto"/>
            </w:pPr>
            <w:r>
              <w:rPr>
                <w:sz w:val="18"/>
              </w:rPr>
              <w:t>Slag supply for CEM III/B after ~2030</w:t>
            </w:r>
          </w:p>
        </w:tc>
        <w:tc>
          <w:tcPr>
            <w:tcW w:type="dxa" w:w="3999"/>
          </w:tcPr>
          <w:p>
            <w:pPr>
              <w:spacing w:before="0" w:after="0" w:line="252" w:lineRule="auto"/>
            </w:pPr>
            <w:r>
              <w:rPr>
                <w:sz w:val="18"/>
              </w:rPr>
              <w:t>Multi-year cement contract; binder trials; price indexation</w:t>
            </w:r>
          </w:p>
        </w:tc>
        <w:tc>
          <w:tcPr>
            <w:tcW w:type="dxa" w:w="3023"/>
          </w:tcPr>
          <w:p>
            <w:pPr>
              <w:spacing w:before="0" w:after="0" w:line="252" w:lineRule="auto"/>
            </w:pPr>
            <w:r>
              <w:rPr>
                <w:sz w:val="18"/>
              </w:rPr>
              <w:t>Cement + ETS stress gives P2 −€7.30M</w:t>
            </w:r>
          </w:p>
        </w:tc>
      </w:tr>
      <w:tr>
        <w:trPr>
          <w:cantSplit w:val="true"/>
        </w:trPr>
        <w:tc>
          <w:tcPr>
            <w:tcW w:type="dxa" w:w="288"/>
            <w:shd w:val="clear" w:color="auto" w:fill="F2F5F9"/>
          </w:tcPr>
          <w:p>
            <w:pPr>
              <w:spacing w:before="0" w:after="0" w:line="252" w:lineRule="auto"/>
            </w:pPr>
            <w:r>
              <w:rPr>
                <w:sz w:val="18"/>
              </w:rPr>
              <w:t>8</w:t>
            </w:r>
          </w:p>
        </w:tc>
        <w:tc>
          <w:tcPr>
            <w:tcW w:type="dxa" w:w="2326"/>
            <w:shd w:val="clear" w:color="auto" w:fill="F2F5F9"/>
          </w:tcPr>
          <w:p>
            <w:pPr>
              <w:spacing w:before="0" w:after="0" w:line="252" w:lineRule="auto"/>
              <w:jc w:val="center"/>
            </w:pPr>
            <w:r>
              <w:rPr>
                <w:sz w:val="18"/>
              </w:rPr>
              <w:t>90k m³ is a big plant</w:t>
            </w:r>
          </w:p>
        </w:tc>
        <w:tc>
          <w:tcPr>
            <w:tcW w:type="dxa" w:w="3999"/>
            <w:shd w:val="clear" w:color="auto" w:fill="F2F5F9"/>
          </w:tcPr>
          <w:p>
            <w:pPr>
              <w:spacing w:before="0" w:after="0" w:line="252" w:lineRule="auto"/>
            </w:pPr>
            <w:r>
              <w:rPr>
                <w:sz w:val="18"/>
              </w:rPr>
              <w:t>Sign frameworks before buying (gate C)</w:t>
            </w:r>
          </w:p>
        </w:tc>
        <w:tc>
          <w:tcPr>
            <w:tcW w:type="dxa" w:w="3023"/>
            <w:shd w:val="clear" w:color="auto" w:fill="F2F5F9"/>
          </w:tcPr>
          <w:p>
            <w:pPr>
              <w:spacing w:before="0" w:after="0" w:line="252" w:lineRule="auto"/>
            </w:pPr>
            <w:r>
              <w:rPr>
                <w:sz w:val="18"/>
              </w:rPr>
              <w:t>At 80k m³ P2 NPV is −€4.88M</w:t>
            </w:r>
          </w:p>
        </w:tc>
      </w:tr>
    </w:tbl>
    <w:p>
      <w:pPr>
        <w:spacing w:before="0" w:after="40" w:line="240" w:lineRule="auto"/>
      </w:pPr>
    </w:p>
    <w:p>
      <w:r>
        <w:t>[value_proposition.md §2; model runs R-01 to R-20].</w:t>
      </w:r>
    </w:p>
    <w:p>
      <w:pPr>
        <w:pStyle w:val="Heading2"/>
      </w:pPr>
      <w:r>
        <w:t>9.4 Business Model Canvas (P2 concept, year 2030)</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666"/>
        <w:gridCol w:w="7970"/>
      </w:tblGrid>
      <w:tr>
        <w:trPr>
          <w:cantSplit w:val="true"/>
          <w:tblHeader w:val="true"/>
        </w:trPr>
        <w:tc>
          <w:tcPr>
            <w:tcW w:type="dxa" w:w="1667"/>
            <w:shd w:val="clear" w:color="auto" w:fill="1F3A5F"/>
          </w:tcPr>
          <w:p>
            <w:pPr>
              <w:spacing w:before="0" w:after="0" w:line="252" w:lineRule="auto"/>
            </w:pPr>
            <w:r>
              <w:rPr>
                <w:b/>
                <w:color w:val="FFFFFF"/>
                <w:sz w:val="18"/>
              </w:rPr>
              <w:t>Block</w:t>
            </w:r>
          </w:p>
        </w:tc>
        <w:tc>
          <w:tcPr>
            <w:tcW w:type="dxa" w:w="7971"/>
            <w:shd w:val="clear" w:color="auto" w:fill="1F3A5F"/>
          </w:tcPr>
          <w:p>
            <w:pPr>
              <w:spacing w:before="0" w:after="0" w:line="252" w:lineRule="auto"/>
            </w:pPr>
            <w:r>
              <w:rPr>
                <w:b/>
                <w:color w:val="FFFFFF"/>
                <w:sz w:val="18"/>
              </w:rPr>
              <w:t>Content</w:t>
            </w:r>
          </w:p>
        </w:tc>
      </w:tr>
      <w:tr>
        <w:trPr>
          <w:cantSplit w:val="true"/>
        </w:trPr>
        <w:tc>
          <w:tcPr>
            <w:tcW w:type="dxa" w:w="1667"/>
          </w:tcPr>
          <w:p>
            <w:pPr>
              <w:spacing w:before="0" w:after="0" w:line="252" w:lineRule="auto"/>
            </w:pPr>
            <w:r>
              <w:rPr>
                <w:sz w:val="18"/>
              </w:rPr>
              <w:t>Customer segments</w:t>
            </w:r>
          </w:p>
        </w:tc>
        <w:tc>
          <w:tcPr>
            <w:tcW w:type="dxa" w:w="7971"/>
          </w:tcPr>
          <w:p>
            <w:pPr>
              <w:spacing w:before="0" w:after="0" w:line="252" w:lineRule="auto"/>
            </w:pPr>
            <w:r>
              <w:rPr>
                <w:sz w:val="18"/>
              </w:rPr>
              <w:t>Mid-size GWW contractors; municipalities/province/water boards (as spec-setters); housing corporations. Supply side: demolition firms (they pay a gate fee)</w:t>
            </w:r>
          </w:p>
        </w:tc>
      </w:tr>
      <w:tr>
        <w:trPr>
          <w:cantSplit w:val="true"/>
        </w:trPr>
        <w:tc>
          <w:tcPr>
            <w:tcW w:type="dxa" w:w="1667"/>
            <w:shd w:val="clear" w:color="auto" w:fill="F2F5F9"/>
          </w:tcPr>
          <w:p>
            <w:pPr>
              <w:spacing w:before="0" w:after="0" w:line="252" w:lineRule="auto"/>
            </w:pPr>
            <w:r>
              <w:rPr>
                <w:sz w:val="18"/>
              </w:rPr>
              <w:t>Value propositions</w:t>
            </w:r>
          </w:p>
        </w:tc>
        <w:tc>
          <w:tcPr>
            <w:tcW w:type="dxa" w:w="7971"/>
            <w:shd w:val="clear" w:color="auto" w:fill="F2F5F9"/>
          </w:tcPr>
          <w:p>
            <w:pPr>
              <w:spacing w:before="0" w:after="0" w:line="252" w:lineRule="auto"/>
            </w:pPr>
            <w:r>
              <w:rPr>
                <w:sz w:val="18"/>
              </w:rPr>
              <w:t>Certified circular ready-mix at the standard CEM III/B price; EPD and MKI statement per project; reserved framework volume. For partners: rubble outlet + paid crushing; for a seller: a cash exit</w:t>
            </w:r>
          </w:p>
        </w:tc>
      </w:tr>
      <w:tr>
        <w:trPr>
          <w:cantSplit w:val="true"/>
        </w:trPr>
        <w:tc>
          <w:tcPr>
            <w:tcW w:type="dxa" w:w="1667"/>
          </w:tcPr>
          <w:p>
            <w:pPr>
              <w:spacing w:before="0" w:after="0" w:line="252" w:lineRule="auto"/>
            </w:pPr>
            <w:r>
              <w:rPr>
                <w:sz w:val="18"/>
              </w:rPr>
              <w:t>Channels</w:t>
            </w:r>
          </w:p>
        </w:tc>
        <w:tc>
          <w:tcPr>
            <w:tcW w:type="dxa" w:w="7971"/>
          </w:tcPr>
          <w:p>
            <w:pPr>
              <w:spacing w:before="0" w:after="0" w:line="252" w:lineRule="auto"/>
            </w:pPr>
            <w:r>
              <w:rPr>
                <w:sz w:val="18"/>
              </w:rPr>
              <w:t>Direct sales to contractors' buyers and concrete technologists; public framework tenders; Betonakkoord coalitions and circular deals</w:t>
            </w:r>
          </w:p>
        </w:tc>
      </w:tr>
      <w:tr>
        <w:trPr>
          <w:cantSplit w:val="true"/>
        </w:trPr>
        <w:tc>
          <w:tcPr>
            <w:tcW w:type="dxa" w:w="1667"/>
            <w:shd w:val="clear" w:color="auto" w:fill="F2F5F9"/>
          </w:tcPr>
          <w:p>
            <w:pPr>
              <w:spacing w:before="0" w:after="0" w:line="252" w:lineRule="auto"/>
            </w:pPr>
            <w:r>
              <w:rPr>
                <w:sz w:val="18"/>
              </w:rPr>
              <w:t>Customer relationships</w:t>
            </w:r>
          </w:p>
        </w:tc>
        <w:tc>
          <w:tcPr>
            <w:tcW w:type="dxa" w:w="7971"/>
            <w:shd w:val="clear" w:color="auto" w:fill="F2F5F9"/>
          </w:tcPr>
          <w:p>
            <w:pPr>
              <w:spacing w:before="0" w:after="0" w:line="252" w:lineRule="auto"/>
            </w:pPr>
            <w:r>
              <w:rPr>
                <w:sz w:val="18"/>
              </w:rPr>
              <w:t>Multi-year frameworks with a price formula; technical support in building teams; monthly MKI and recycled-content report</w:t>
            </w:r>
          </w:p>
        </w:tc>
      </w:tr>
      <w:tr>
        <w:trPr>
          <w:cantSplit w:val="true"/>
        </w:trPr>
        <w:tc>
          <w:tcPr>
            <w:tcW w:type="dxa" w:w="1667"/>
          </w:tcPr>
          <w:p>
            <w:pPr>
              <w:spacing w:before="0" w:after="0" w:line="252" w:lineRule="auto"/>
            </w:pPr>
            <w:r>
              <w:rPr>
                <w:sz w:val="18"/>
              </w:rPr>
              <w:t>Revenue streams</w:t>
            </w:r>
          </w:p>
        </w:tc>
        <w:tc>
          <w:tcPr>
            <w:tcW w:type="dxa" w:w="7971"/>
          </w:tcPr>
          <w:p>
            <w:pPr>
              <w:spacing w:before="0" w:after="0" w:line="252" w:lineRule="auto"/>
            </w:pPr>
            <w:r>
              <w:rPr>
                <w:sz w:val="18"/>
              </w:rPr>
              <w:t xml:space="preserve">Concrete ≈ €12.26M/yr (90k m³ × ~€136.2); gate fees €0.04M; steel scrap €0.03M; crusher sand €0.05M. Total ≈ </w:t>
            </w:r>
            <w:r>
              <w:rPr>
                <w:b/>
                <w:sz w:val="18"/>
              </w:rPr>
              <w:t>€12.38M</w:t>
            </w:r>
          </w:p>
        </w:tc>
      </w:tr>
      <w:tr>
        <w:trPr>
          <w:cantSplit w:val="true"/>
        </w:trPr>
        <w:tc>
          <w:tcPr>
            <w:tcW w:type="dxa" w:w="1667"/>
            <w:shd w:val="clear" w:color="auto" w:fill="F2F5F9"/>
          </w:tcPr>
          <w:p>
            <w:pPr>
              <w:spacing w:before="0" w:after="0" w:line="252" w:lineRule="auto"/>
            </w:pPr>
            <w:r>
              <w:rPr>
                <w:sz w:val="18"/>
              </w:rPr>
              <w:t>Key resources</w:t>
            </w:r>
          </w:p>
        </w:tc>
        <w:tc>
          <w:tcPr>
            <w:tcW w:type="dxa" w:w="7971"/>
            <w:shd w:val="clear" w:color="auto" w:fill="F2F5F9"/>
          </w:tcPr>
          <w:p>
            <w:pPr>
              <w:spacing w:before="0" w:after="0" w:line="252" w:lineRule="auto"/>
            </w:pPr>
            <w:r>
              <w:rPr>
                <w:sz w:val="18"/>
              </w:rPr>
              <w:t>Permitted waterside plant with ≥1 ha extra space; KOMO/CSC certificates, BRL 2506; product EPDs; rubble and framework contracts; existing plant staff</w:t>
            </w:r>
          </w:p>
        </w:tc>
      </w:tr>
      <w:tr>
        <w:trPr>
          <w:cantSplit w:val="true"/>
        </w:trPr>
        <w:tc>
          <w:tcPr>
            <w:tcW w:type="dxa" w:w="1667"/>
          </w:tcPr>
          <w:p>
            <w:pPr>
              <w:spacing w:before="0" w:after="0" w:line="252" w:lineRule="auto"/>
            </w:pPr>
            <w:r>
              <w:rPr>
                <w:sz w:val="18"/>
              </w:rPr>
              <w:t>Key activities</w:t>
            </w:r>
          </w:p>
        </w:tc>
        <w:tc>
          <w:tcPr>
            <w:tcW w:type="dxa" w:w="7971"/>
          </w:tcPr>
          <w:p>
            <w:pPr>
              <w:spacing w:before="0" w:after="0" w:line="252" w:lineRule="auto"/>
            </w:pPr>
            <w:r>
              <w:rPr>
                <w:sz w:val="18"/>
              </w:rPr>
              <w:t>Buy, convert (€0.8M) and expand (+€1.0M) the plant; certified mix design and lot testing; campaign crushing by the partner; dispatch (average 22.7 km); binder trials</w:t>
            </w:r>
          </w:p>
        </w:tc>
      </w:tr>
      <w:tr>
        <w:trPr>
          <w:cantSplit w:val="true"/>
        </w:trPr>
        <w:tc>
          <w:tcPr>
            <w:tcW w:type="dxa" w:w="1667"/>
            <w:shd w:val="clear" w:color="auto" w:fill="F2F5F9"/>
          </w:tcPr>
          <w:p>
            <w:pPr>
              <w:spacing w:before="0" w:after="0" w:line="252" w:lineRule="auto"/>
            </w:pPr>
            <w:r>
              <w:rPr>
                <w:sz w:val="18"/>
              </w:rPr>
              <w:t>Key partners</w:t>
            </w:r>
          </w:p>
        </w:tc>
        <w:tc>
          <w:tcPr>
            <w:tcW w:type="dxa" w:w="7971"/>
            <w:shd w:val="clear" w:color="auto" w:fill="F2F5F9"/>
          </w:tcPr>
          <w:p>
            <w:pPr>
              <w:spacing w:before="0" w:after="0" w:line="252" w:lineRule="auto"/>
            </w:pPr>
            <w:r>
              <w:rPr>
                <w:sz w:val="18"/>
              </w:rPr>
              <w:t>Demolition firm; plant seller; cement supplier; truck-mixer hauliers; certification body and LCA consultant; bank and impact investors; province (permit)</w:t>
            </w:r>
          </w:p>
        </w:tc>
      </w:tr>
      <w:tr>
        <w:trPr>
          <w:cantSplit w:val="true"/>
        </w:trPr>
        <w:tc>
          <w:tcPr>
            <w:tcW w:type="dxa" w:w="1667"/>
          </w:tcPr>
          <w:p>
            <w:pPr>
              <w:spacing w:before="0" w:after="0" w:line="252" w:lineRule="auto"/>
            </w:pPr>
            <w:r>
              <w:rPr>
                <w:sz w:val="18"/>
              </w:rPr>
              <w:t>Cost structure</w:t>
            </w:r>
          </w:p>
        </w:tc>
        <w:tc>
          <w:tcPr>
            <w:tcW w:type="dxa" w:w="7971"/>
          </w:tcPr>
          <w:p>
            <w:pPr>
              <w:spacing w:before="0" w:after="0" w:line="252" w:lineRule="auto"/>
            </w:pPr>
            <w:r>
              <w:rPr>
                <w:sz w:val="18"/>
              </w:rPr>
              <w:t xml:space="preserve">Materials ≈ €85–90/m³; delivery ≈ €22.6/m³; staff, lease, maintenance, SG&amp;A; crushing costs ≈ €0.6M/yr against an RCA credit of €0.58M. Capex </w:t>
            </w:r>
            <w:r>
              <w:rPr>
                <w:b/>
                <w:sz w:val="18"/>
              </w:rPr>
              <w:t>€5.1M</w:t>
            </w:r>
            <w:r>
              <w:rPr>
                <w:sz w:val="18"/>
              </w:rPr>
              <w:t xml:space="preserve">; funding need </w:t>
            </w:r>
            <w:r>
              <w:rPr>
                <w:b/>
                <w:sz w:val="18"/>
              </w:rPr>
              <w:t>€6.37M</w:t>
            </w:r>
            <w:r>
              <w:rPr>
                <w:sz w:val="18"/>
              </w:rPr>
              <w:t xml:space="preserve">; EBITDA 2030 </w:t>
            </w:r>
            <w:r>
              <w:rPr>
                <w:b/>
                <w:sz w:val="18"/>
              </w:rPr>
              <w:t>€0.59M (4.7%)</w:t>
            </w:r>
          </w:p>
        </w:tc>
      </w:tr>
    </w:tbl>
    <w:p>
      <w:pPr>
        <w:spacing w:before="0" w:after="40" w:line="240" w:lineRule="auto"/>
      </w:pPr>
    </w:p>
    <w:p>
      <w:r>
        <w:rPr>
          <w:color w:val="6B6B6B"/>
          <w:sz w:val="17"/>
        </w:rPr>
        <w:t>[ESTIMATE, value_proposition.md §3; model P2]</w:t>
      </w:r>
      <w:r>
        <w:t>.</w:t>
      </w:r>
    </w:p>
    <w:p>
      <w:pPr>
        <w:pStyle w:val="Heading2"/>
      </w:pPr>
      <w:r>
        <w:t>9.5 Pricing</w:t>
      </w:r>
    </w:p>
    <w:p>
      <w:pPr>
        <w:pStyle w:val="ListBullet"/>
      </w:pPr>
      <w:r>
        <w:rPr>
          <w:b/>
        </w:rPr>
        <w:t>Concrete:</w:t>
      </w:r>
      <w:r>
        <w:t xml:space="preserve"> parity on private work; at most ~3% (≈€4/m³) on public or MKI-scored circular work, always below incumbents' circular surcharge. Framework discount capped at about −€1/m³ on all volume. Each €1/m³ on the average price is worth about </w:t>
      </w:r>
      <w:r>
        <w:rPr>
          <w:b/>
        </w:rPr>
        <w:t>€0.36M NPV</w:t>
      </w:r>
      <w:r>
        <w:t xml:space="preserve"> in P2 </w:t>
      </w:r>
      <w:r>
        <w:rPr>
          <w:color w:val="6B6B6B"/>
          <w:sz w:val="17"/>
        </w:rPr>
        <w:t>[ESTIMATE]</w:t>
      </w:r>
      <w:r>
        <w:t>.</w:t>
      </w:r>
    </w:p>
    <w:p>
      <w:pPr>
        <w:pStyle w:val="ListBullet"/>
      </w:pPr>
      <w:r>
        <w:rPr>
          <w:b/>
        </w:rPr>
        <w:t>Contract clauses:</w:t>
      </w:r>
      <w:r>
        <w:t xml:space="preserve"> 100% binder-cost indexation; delivery zones (+€0.5/m³ per km beyond ~22–25 km); under-load surcharge below 9 m³.</w:t>
      </w:r>
    </w:p>
    <w:p>
      <w:pPr>
        <w:pStyle w:val="ListBullet"/>
      </w:pPr>
      <w:r>
        <w:rPr>
          <w:b/>
        </w:rPr>
        <w:t>Gate fee (supply side):</w:t>
      </w:r>
      <w:r>
        <w:t xml:space="preserve"> a hard gate. Each €1/t of gate fee is worth about €0.15M NPV in P2 </w:t>
      </w:r>
      <w:r>
        <w:rPr>
          <w:color w:val="6B6B6B"/>
          <w:sz w:val="17"/>
        </w:rPr>
        <w:t>[ESTIMATE]</w:t>
      </w:r>
      <w:r>
        <w:t>. Steel-scrap ownership must be agreed in writing.</w:t>
      </w:r>
    </w:p>
    <w:p>
      <w:pPr>
        <w:pStyle w:val="Heading2"/>
      </w:pPr>
      <w:r>
        <w:t>9.6 Roadmap with go/no-go gates</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233"/>
        <w:gridCol w:w="3101"/>
        <w:gridCol w:w="3625"/>
        <w:gridCol w:w="1677"/>
      </w:tblGrid>
      <w:tr>
        <w:trPr>
          <w:cantSplit w:val="true"/>
          <w:tblHeader w:val="true"/>
        </w:trPr>
        <w:tc>
          <w:tcPr>
            <w:tcW w:type="dxa" w:w="1233"/>
            <w:shd w:val="clear" w:color="auto" w:fill="1F3A5F"/>
          </w:tcPr>
          <w:p>
            <w:pPr>
              <w:spacing w:before="0" w:after="0" w:line="252" w:lineRule="auto"/>
            </w:pPr>
            <w:r>
              <w:rPr>
                <w:b/>
                <w:color w:val="FFFFFF"/>
                <w:sz w:val="18"/>
              </w:rPr>
              <w:t>When</w:t>
            </w:r>
          </w:p>
        </w:tc>
        <w:tc>
          <w:tcPr>
            <w:tcW w:type="dxa" w:w="3101"/>
            <w:shd w:val="clear" w:color="auto" w:fill="1F3A5F"/>
          </w:tcPr>
          <w:p>
            <w:pPr>
              <w:spacing w:before="0" w:after="0" w:line="252" w:lineRule="auto"/>
            </w:pPr>
            <w:r>
              <w:rPr>
                <w:b/>
                <w:color w:val="FFFFFF"/>
                <w:sz w:val="18"/>
              </w:rPr>
              <w:t>Step</w:t>
            </w:r>
          </w:p>
        </w:tc>
        <w:tc>
          <w:tcPr>
            <w:tcW w:type="dxa" w:w="3625"/>
            <w:shd w:val="clear" w:color="auto" w:fill="1F3A5F"/>
          </w:tcPr>
          <w:p>
            <w:pPr>
              <w:spacing w:before="0" w:after="0" w:line="252" w:lineRule="auto"/>
            </w:pPr>
            <w:r>
              <w:rPr>
                <w:b/>
                <w:color w:val="FFFFFF"/>
                <w:sz w:val="18"/>
              </w:rPr>
              <w:t>Gate (pass test)</w:t>
            </w:r>
          </w:p>
        </w:tc>
        <w:tc>
          <w:tcPr>
            <w:tcW w:type="dxa" w:w="1678"/>
            <w:shd w:val="clear" w:color="auto" w:fill="1F3A5F"/>
          </w:tcPr>
          <w:p>
            <w:pPr>
              <w:spacing w:before="0" w:after="0" w:line="252" w:lineRule="auto"/>
            </w:pPr>
            <w:r>
              <w:rPr>
                <w:b/>
                <w:color w:val="FFFFFF"/>
                <w:sz w:val="18"/>
              </w:rPr>
              <w:t>If it fails</w:t>
            </w:r>
          </w:p>
        </w:tc>
      </w:tr>
      <w:tr>
        <w:trPr>
          <w:cantSplit w:val="true"/>
        </w:trPr>
        <w:tc>
          <w:tcPr>
            <w:tcW w:type="dxa" w:w="1233"/>
          </w:tcPr>
          <w:p>
            <w:pPr>
              <w:spacing w:before="0" w:after="0" w:line="252" w:lineRule="auto"/>
            </w:pPr>
            <w:r>
              <w:rPr>
                <w:sz w:val="18"/>
              </w:rPr>
              <w:t>Q4 2026 – Q1 2027</w:t>
            </w:r>
          </w:p>
        </w:tc>
        <w:tc>
          <w:tcPr>
            <w:tcW w:type="dxa" w:w="3101"/>
          </w:tcPr>
          <w:p>
            <w:pPr>
              <w:spacing w:before="0" w:after="0" w:line="252" w:lineRule="auto"/>
            </w:pPr>
            <w:r>
              <w:rPr>
                <w:b/>
                <w:sz w:val="18"/>
              </w:rPr>
              <w:t>Due diligence (€50–100k):</w:t>
            </w:r>
            <w:r>
              <w:rPr>
                <w:sz w:val="18"/>
              </w:rPr>
              <w:t xml:space="preserve"> screen waterside plants in Zuid-Holland; talk to 2–3 demolition firms and 3–4 anchor customers; get an expansion quote</w:t>
            </w:r>
          </w:p>
        </w:tc>
        <w:tc>
          <w:tcPr>
            <w:tcW w:type="dxa" w:w="3625"/>
          </w:tcPr>
          <w:p>
            <w:pPr>
              <w:spacing w:before="0" w:after="0" w:line="252" w:lineRule="auto"/>
            </w:pPr>
            <w:r>
              <w:rPr>
                <w:b/>
                <w:sz w:val="18"/>
              </w:rPr>
              <w:t>Gate A — plant:</w:t>
            </w:r>
            <w:r>
              <w:rPr>
                <w:sz w:val="18"/>
              </w:rPr>
              <w:t xml:space="preserve"> signed letter of intent at </w:t>
            </w:r>
            <w:r>
              <w:rPr>
                <w:b/>
                <w:sz w:val="18"/>
              </w:rPr>
              <w:t>≤ €2.5M</w:t>
            </w:r>
            <w:r>
              <w:rPr>
                <w:sz w:val="18"/>
              </w:rPr>
              <w:t xml:space="preserve"> (target ≤ €2.0M), ≥1 ha extra space, rubble intake possible under the permit, expansion to 90k m³ ≤ €1.0M</w:t>
            </w:r>
          </w:p>
        </w:tc>
        <w:tc>
          <w:tcPr>
            <w:tcW w:type="dxa" w:w="1678"/>
          </w:tcPr>
          <w:p>
            <w:pPr>
              <w:spacing w:before="0" w:after="0" w:line="252" w:lineRule="auto"/>
            </w:pPr>
            <w:r>
              <w:rPr>
                <w:sz w:val="18"/>
              </w:rPr>
              <w:t xml:space="preserve">Price €3.0M → P2 NPV −€4.53M. </w:t>
            </w:r>
            <w:r>
              <w:rPr>
                <w:b/>
                <w:sz w:val="18"/>
              </w:rPr>
              <w:t>Stop.</w:t>
            </w:r>
          </w:p>
        </w:tc>
      </w:tr>
      <w:tr>
        <w:trPr>
          <w:cantSplit w:val="true"/>
        </w:trPr>
        <w:tc>
          <w:tcPr>
            <w:tcW w:type="dxa" w:w="1233"/>
            <w:shd w:val="clear" w:color="auto" w:fill="F2F5F9"/>
          </w:tcPr>
          <w:p>
            <w:pPr>
              <w:spacing w:before="0" w:after="0" w:line="252" w:lineRule="auto"/>
            </w:pPr>
            <w:r>
              <w:rPr>
                <w:sz w:val="18"/>
              </w:rPr>
              <w:t>Q1 – Q2 2027</w:t>
            </w:r>
          </w:p>
        </w:tc>
        <w:tc>
          <w:tcPr>
            <w:tcW w:type="dxa" w:w="3101"/>
            <w:shd w:val="clear" w:color="auto" w:fill="F2F5F9"/>
          </w:tcPr>
          <w:p>
            <w:pPr>
              <w:spacing w:before="0" w:after="0" w:line="252" w:lineRule="auto"/>
            </w:pPr>
            <w:r>
              <w:rPr>
                <w:sz w:val="18"/>
              </w:rPr>
              <w:t>Test rubble and crushing terms</w:t>
            </w:r>
          </w:p>
        </w:tc>
        <w:tc>
          <w:tcPr>
            <w:tcW w:type="dxa" w:w="3625"/>
            <w:shd w:val="clear" w:color="auto" w:fill="F2F5F9"/>
          </w:tcPr>
          <w:p>
            <w:pPr>
              <w:spacing w:before="0" w:after="0" w:line="252" w:lineRule="auto"/>
            </w:pPr>
            <w:r>
              <w:rPr>
                <w:b/>
                <w:sz w:val="18"/>
              </w:rPr>
              <w:t>Gate B — rubble (hard gate):</w:t>
            </w:r>
            <w:r>
              <w:rPr>
                <w:sz w:val="18"/>
              </w:rPr>
              <w:t xml:space="preserve"> 7–10-year contract with a gate fee and steel split that bring P2 to NPV ≥ 0 (≈ €30/t on base terms; ≈ €15/t only if all other inputs are at their upside); crushing ≤ €7.5/t</w:t>
            </w:r>
          </w:p>
        </w:tc>
        <w:tc>
          <w:tcPr>
            <w:tcW w:type="dxa" w:w="1678"/>
            <w:shd w:val="clear" w:color="auto" w:fill="F2F5F9"/>
          </w:tcPr>
          <w:p>
            <w:pPr>
              <w:spacing w:before="0" w:after="0" w:line="252" w:lineRule="auto"/>
            </w:pPr>
            <w:r>
              <w:rPr>
                <w:sz w:val="18"/>
              </w:rPr>
              <w:t xml:space="preserve">Today's bulk evidence is €0–1/t. </w:t>
            </w:r>
            <w:r>
              <w:rPr>
                <w:b/>
                <w:sz w:val="18"/>
              </w:rPr>
              <w:t>Stop.</w:t>
            </w:r>
          </w:p>
        </w:tc>
      </w:tr>
      <w:tr>
        <w:trPr>
          <w:cantSplit w:val="true"/>
        </w:trPr>
        <w:tc>
          <w:tcPr>
            <w:tcW w:type="dxa" w:w="1233"/>
          </w:tcPr>
          <w:p>
            <w:pPr>
              <w:spacing w:before="0" w:after="0" w:line="252" w:lineRule="auto"/>
            </w:pPr>
            <w:r>
              <w:rPr>
                <w:sz w:val="18"/>
              </w:rPr>
              <w:t>Q1 – Q2 2027</w:t>
            </w:r>
          </w:p>
        </w:tc>
        <w:tc>
          <w:tcPr>
            <w:tcW w:type="dxa" w:w="3101"/>
          </w:tcPr>
          <w:p>
            <w:pPr>
              <w:spacing w:before="0" w:after="0" w:line="252" w:lineRule="auto"/>
            </w:pPr>
            <w:r>
              <w:rPr>
                <w:sz w:val="18"/>
              </w:rPr>
              <w:t>Test demand</w:t>
            </w:r>
          </w:p>
        </w:tc>
        <w:tc>
          <w:tcPr>
            <w:tcW w:type="dxa" w:w="3625"/>
          </w:tcPr>
          <w:p>
            <w:pPr>
              <w:spacing w:before="0" w:after="0" w:line="252" w:lineRule="auto"/>
            </w:pPr>
            <w:r>
              <w:rPr>
                <w:b/>
                <w:sz w:val="18"/>
              </w:rPr>
              <w:t>Gate C — volume:</w:t>
            </w:r>
            <w:r>
              <w:rPr>
                <w:sz w:val="18"/>
              </w:rPr>
              <w:t xml:space="preserve"> signed frameworks for </w:t>
            </w:r>
            <w:r>
              <w:rPr>
                <w:b/>
                <w:sz w:val="18"/>
              </w:rPr>
              <w:t>≥ 40k m³/yr</w:t>
            </w:r>
          </w:p>
        </w:tc>
        <w:tc>
          <w:tcPr>
            <w:tcW w:type="dxa" w:w="1678"/>
          </w:tcPr>
          <w:p>
            <w:pPr>
              <w:spacing w:before="0" w:after="0" w:line="252" w:lineRule="auto"/>
            </w:pPr>
            <w:r>
              <w:rPr>
                <w:sz w:val="18"/>
              </w:rPr>
              <w:t xml:space="preserve">80k → −€4.88M. </w:t>
            </w:r>
            <w:r>
              <w:rPr>
                <w:b/>
                <w:sz w:val="18"/>
              </w:rPr>
              <w:t>Stop.</w:t>
            </w:r>
          </w:p>
        </w:tc>
      </w:tr>
      <w:tr>
        <w:trPr>
          <w:cantSplit w:val="true"/>
        </w:trPr>
        <w:tc>
          <w:tcPr>
            <w:tcW w:type="dxa" w:w="1233"/>
            <w:shd w:val="clear" w:color="auto" w:fill="F2F5F9"/>
          </w:tcPr>
          <w:p>
            <w:pPr>
              <w:spacing w:before="0" w:after="0" w:line="252" w:lineRule="auto"/>
            </w:pPr>
            <w:r>
              <w:rPr>
                <w:sz w:val="18"/>
              </w:rPr>
              <w:t>Q2 2027</w:t>
            </w:r>
          </w:p>
        </w:tc>
        <w:tc>
          <w:tcPr>
            <w:tcW w:type="dxa" w:w="3101"/>
            <w:shd w:val="clear" w:color="auto" w:fill="F2F5F9"/>
          </w:tcPr>
          <w:p>
            <w:pPr>
              <w:spacing w:before="0" w:after="0" w:line="252" w:lineRule="auto"/>
            </w:pPr>
            <w:r>
              <w:rPr>
                <w:sz w:val="18"/>
              </w:rPr>
              <w:t>Decision</w:t>
            </w:r>
          </w:p>
        </w:tc>
        <w:tc>
          <w:tcPr>
            <w:tcW w:type="dxa" w:w="3625"/>
            <w:shd w:val="clear" w:color="auto" w:fill="F2F5F9"/>
          </w:tcPr>
          <w:p>
            <w:pPr>
              <w:spacing w:before="0" w:after="0" w:line="252" w:lineRule="auto"/>
            </w:pPr>
            <w:r>
              <w:rPr>
                <w:sz w:val="18"/>
              </w:rPr>
              <w:t xml:space="preserve">Invest only if A + B + C are signed </w:t>
            </w:r>
            <w:r>
              <w:rPr>
                <w:b/>
                <w:sz w:val="18"/>
              </w:rPr>
              <w:t>and</w:t>
            </w:r>
            <w:r>
              <w:rPr>
                <w:sz w:val="18"/>
              </w:rPr>
              <w:t xml:space="preserve"> the model, re-run with the signed terms, passes all plan criteria</w:t>
            </w:r>
          </w:p>
        </w:tc>
        <w:tc>
          <w:tcPr>
            <w:tcW w:type="dxa" w:w="1678"/>
            <w:shd w:val="clear" w:color="auto" w:fill="F2F5F9"/>
          </w:tcPr>
          <w:p>
            <w:pPr>
              <w:spacing w:before="0" w:after="0" w:line="252" w:lineRule="auto"/>
            </w:pPr>
            <w:r>
              <w:rPr>
                <w:b/>
                <w:sz w:val="18"/>
              </w:rPr>
              <w:t>Do not invest.</w:t>
            </w:r>
            <w:r>
              <w:rPr>
                <w:sz w:val="18"/>
              </w:rPr>
              <w:t xml:space="preserve"> Only the diligence budget is lost</w:t>
            </w:r>
          </w:p>
        </w:tc>
      </w:tr>
      <w:tr>
        <w:trPr>
          <w:cantSplit w:val="true"/>
        </w:trPr>
        <w:tc>
          <w:tcPr>
            <w:tcW w:type="dxa" w:w="1233"/>
          </w:tcPr>
          <w:p>
            <w:pPr>
              <w:spacing w:before="0" w:after="0" w:line="252" w:lineRule="auto"/>
            </w:pPr>
            <w:r>
              <w:rPr>
                <w:sz w:val="18"/>
              </w:rPr>
              <w:t>H2 2027 (only if invested)</w:t>
            </w:r>
          </w:p>
        </w:tc>
        <w:tc>
          <w:tcPr>
            <w:tcW w:type="dxa" w:w="3101"/>
          </w:tcPr>
          <w:p>
            <w:pPr>
              <w:spacing w:before="0" w:after="0" w:line="252" w:lineRule="auto"/>
            </w:pPr>
            <w:r>
              <w:rPr>
                <w:sz w:val="18"/>
              </w:rPr>
              <w:t>Buy, convert and expand the plant; certify circular mixes; file the crushing permit</w:t>
            </w:r>
          </w:p>
        </w:tc>
        <w:tc>
          <w:tcPr>
            <w:tcW w:type="dxa" w:w="3625"/>
          </w:tcPr>
          <w:p>
            <w:pPr>
              <w:spacing w:before="0" w:after="0" w:line="252" w:lineRule="auto"/>
            </w:pPr>
            <w:r>
              <w:rPr>
                <w:sz w:val="18"/>
              </w:rPr>
              <w:t>Circular mixes certified; first framework deliveries signed for 2028</w:t>
            </w:r>
          </w:p>
        </w:tc>
        <w:tc>
          <w:tcPr>
            <w:tcW w:type="dxa" w:w="1678"/>
          </w:tcPr>
          <w:p>
            <w:pPr>
              <w:spacing w:before="0" w:after="0" w:line="252" w:lineRule="auto"/>
            </w:pPr>
            <w:r>
              <w:rPr>
                <w:sz w:val="18"/>
              </w:rPr>
              <w:t>Delay → re-check NPV</w:t>
            </w:r>
          </w:p>
        </w:tc>
      </w:tr>
      <w:tr>
        <w:trPr>
          <w:cantSplit w:val="true"/>
        </w:trPr>
        <w:tc>
          <w:tcPr>
            <w:tcW w:type="dxa" w:w="1233"/>
            <w:shd w:val="clear" w:color="auto" w:fill="F2F5F9"/>
          </w:tcPr>
          <w:p>
            <w:pPr>
              <w:spacing w:before="0" w:after="0" w:line="252" w:lineRule="auto"/>
            </w:pPr>
            <w:r>
              <w:rPr>
                <w:sz w:val="18"/>
              </w:rPr>
              <w:t>2028</w:t>
            </w:r>
          </w:p>
        </w:tc>
        <w:tc>
          <w:tcPr>
            <w:tcW w:type="dxa" w:w="3101"/>
            <w:shd w:val="clear" w:color="auto" w:fill="F2F5F9"/>
          </w:tcPr>
          <w:p>
            <w:pPr>
              <w:spacing w:before="0" w:after="0" w:line="252" w:lineRule="auto"/>
            </w:pPr>
            <w:r>
              <w:rPr>
                <w:sz w:val="18"/>
              </w:rPr>
              <w:t>First sales year (49.5k m³); GWW decree expected; start binder trials</w:t>
            </w:r>
          </w:p>
        </w:tc>
        <w:tc>
          <w:tcPr>
            <w:tcW w:type="dxa" w:w="3625"/>
            <w:shd w:val="clear" w:color="auto" w:fill="F2F5F9"/>
          </w:tcPr>
          <w:p>
            <w:pPr>
              <w:spacing w:before="0" w:after="0" w:line="252" w:lineRule="auto"/>
            </w:pPr>
            <w:r>
              <w:rPr>
                <w:b/>
                <w:sz w:val="18"/>
              </w:rPr>
              <w:t>Gate D (end 2028):</w:t>
            </w:r>
            <w:r>
              <w:rPr>
                <w:sz w:val="18"/>
              </w:rPr>
              <w:t xml:space="preserve"> ≥75k m³ run-rate; crushing permit granted</w:t>
            </w:r>
          </w:p>
        </w:tc>
        <w:tc>
          <w:tcPr>
            <w:tcW w:type="dxa" w:w="1678"/>
            <w:shd w:val="clear" w:color="auto" w:fill="F2F5F9"/>
          </w:tcPr>
          <w:p>
            <w:pPr>
              <w:spacing w:before="0" w:after="0" w:line="252" w:lineRule="auto"/>
            </w:pPr>
            <w:r>
              <w:rPr>
                <w:sz w:val="18"/>
              </w:rPr>
              <w:t>Keep buying RCA; no extra site spend</w:t>
            </w:r>
          </w:p>
        </w:tc>
      </w:tr>
      <w:tr>
        <w:trPr>
          <w:cantSplit w:val="true"/>
        </w:trPr>
        <w:tc>
          <w:tcPr>
            <w:tcW w:type="dxa" w:w="1233"/>
          </w:tcPr>
          <w:p>
            <w:pPr>
              <w:spacing w:before="0" w:after="0" w:line="252" w:lineRule="auto"/>
            </w:pPr>
            <w:r>
              <w:rPr>
                <w:sz w:val="18"/>
              </w:rPr>
              <w:t>2029–2030</w:t>
            </w:r>
          </w:p>
        </w:tc>
        <w:tc>
          <w:tcPr>
            <w:tcW w:type="dxa" w:w="3101"/>
          </w:tcPr>
          <w:p>
            <w:pPr>
              <w:spacing w:before="0" w:after="0" w:line="252" w:lineRule="auto"/>
            </w:pPr>
            <w:r>
              <w:rPr>
                <w:sz w:val="18"/>
              </w:rPr>
              <w:t>Crushing starts 2029; 90k m³ from 2030</w:t>
            </w:r>
          </w:p>
        </w:tc>
        <w:tc>
          <w:tcPr>
            <w:tcW w:type="dxa" w:w="3625"/>
          </w:tcPr>
          <w:p>
            <w:pPr>
              <w:spacing w:before="0" w:after="0" w:line="252" w:lineRule="auto"/>
            </w:pPr>
            <w:r>
              <w:rPr>
                <w:b/>
                <w:sz w:val="18"/>
              </w:rPr>
              <w:t>Gate E (end 2030):</w:t>
            </w:r>
            <w:r>
              <w:rPr>
                <w:sz w:val="18"/>
              </w:rPr>
              <w:t xml:space="preserve"> EBITDA ≥ €0.6M; decide on lower-CO₂ binder</w:t>
            </w:r>
          </w:p>
        </w:tc>
        <w:tc>
          <w:tcPr>
            <w:tcW w:type="dxa" w:w="1678"/>
          </w:tcPr>
          <w:p>
            <w:pPr>
              <w:spacing w:before="0" w:after="0" w:line="252" w:lineRule="auto"/>
            </w:pPr>
            <w:r>
              <w:rPr>
                <w:sz w:val="18"/>
              </w:rPr>
              <w:t>Renegotiate gate fee or steel split</w:t>
            </w:r>
          </w:p>
        </w:tc>
      </w:tr>
    </w:tbl>
    <w:p>
      <w:pPr>
        <w:spacing w:before="0" w:after="40" w:line="240" w:lineRule="auto"/>
      </w:pPr>
    </w:p>
    <w:p>
      <w:r>
        <w:t xml:space="preserve">[value_proposition.md §6]. </w:t>
      </w:r>
      <w:r>
        <w:rPr>
          <w:b/>
        </w:rPr>
        <w:t>On present evidence gate B is expected to fail.</w:t>
      </w:r>
      <w:r>
        <w:t xml:space="preserve"> The asset-light licence (O6) is not a rescue: it also loses money (NPV −€2.51M). At most it is a capped pilot (≤ €0.5M over 2 years).</w:t>
      </w:r>
    </w:p>
    <w:p>
      <w:r>
        <w:br w:type="page"/>
      </w:r>
    </w:p>
    <w:p>
      <w:pPr>
        <w:pStyle w:val="Heading1"/>
      </w:pPr>
      <w:r>
        <w:t>10. Risks and mitigation</w:t>
      </w:r>
    </w:p>
    <w:p>
      <w:r>
        <w:t>Likelihood (L) and impact (I): H = high, M = medium, L = low. NPV effects are from the model, one input at a time, on the base case unless stated.</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453"/>
        <w:gridCol w:w="2731"/>
        <w:gridCol w:w="283"/>
        <w:gridCol w:w="283"/>
        <w:gridCol w:w="2155"/>
        <w:gridCol w:w="3731"/>
      </w:tblGrid>
      <w:tr>
        <w:trPr>
          <w:cantSplit w:val="true"/>
          <w:tblHeader w:val="true"/>
        </w:trPr>
        <w:tc>
          <w:tcPr>
            <w:tcW w:type="dxa" w:w="453"/>
            <w:shd w:val="clear" w:color="auto" w:fill="1F3A5F"/>
          </w:tcPr>
          <w:p>
            <w:pPr>
              <w:spacing w:before="0" w:after="0" w:line="252" w:lineRule="auto"/>
            </w:pPr>
            <w:r>
              <w:rPr>
                <w:b/>
                <w:color w:val="FFFFFF"/>
                <w:sz w:val="17"/>
              </w:rPr>
              <w:t>#</w:t>
            </w:r>
          </w:p>
        </w:tc>
        <w:tc>
          <w:tcPr>
            <w:tcW w:type="dxa" w:w="2731"/>
            <w:shd w:val="clear" w:color="auto" w:fill="1F3A5F"/>
          </w:tcPr>
          <w:p>
            <w:pPr>
              <w:spacing w:before="0" w:after="0" w:line="252" w:lineRule="auto"/>
            </w:pPr>
            <w:r>
              <w:rPr>
                <w:b/>
                <w:color w:val="FFFFFF"/>
                <w:sz w:val="17"/>
              </w:rPr>
              <w:t>Risk</w:t>
            </w:r>
          </w:p>
        </w:tc>
        <w:tc>
          <w:tcPr>
            <w:tcW w:type="dxa" w:w="283"/>
            <w:shd w:val="clear" w:color="auto" w:fill="1F3A5F"/>
          </w:tcPr>
          <w:p>
            <w:pPr>
              <w:spacing w:before="0" w:after="0" w:line="252" w:lineRule="auto"/>
            </w:pPr>
            <w:r>
              <w:rPr>
                <w:b/>
                <w:color w:val="FFFFFF"/>
                <w:sz w:val="17"/>
              </w:rPr>
              <w:t>L</w:t>
            </w:r>
          </w:p>
        </w:tc>
        <w:tc>
          <w:tcPr>
            <w:tcW w:type="dxa" w:w="283"/>
            <w:shd w:val="clear" w:color="auto" w:fill="1F3A5F"/>
          </w:tcPr>
          <w:p>
            <w:pPr>
              <w:spacing w:before="0" w:after="0" w:line="252" w:lineRule="auto"/>
            </w:pPr>
            <w:r>
              <w:rPr>
                <w:b/>
                <w:color w:val="FFFFFF"/>
                <w:sz w:val="17"/>
              </w:rPr>
              <w:t>I</w:t>
            </w:r>
          </w:p>
        </w:tc>
        <w:tc>
          <w:tcPr>
            <w:tcW w:type="dxa" w:w="2155"/>
            <w:shd w:val="clear" w:color="auto" w:fill="1F3A5F"/>
          </w:tcPr>
          <w:p>
            <w:pPr>
              <w:spacing w:before="0" w:after="0" w:line="252" w:lineRule="auto"/>
            </w:pPr>
            <w:r>
              <w:rPr>
                <w:b/>
                <w:color w:val="FFFFFF"/>
                <w:sz w:val="17"/>
              </w:rPr>
              <w:t>Size (evidence)</w:t>
            </w:r>
          </w:p>
        </w:tc>
        <w:tc>
          <w:tcPr>
            <w:tcW w:type="dxa" w:w="3731"/>
            <w:shd w:val="clear" w:color="auto" w:fill="1F3A5F"/>
          </w:tcPr>
          <w:p>
            <w:pPr>
              <w:spacing w:before="0" w:after="0" w:line="252" w:lineRule="auto"/>
            </w:pPr>
            <w:r>
              <w:rPr>
                <w:b/>
                <w:color w:val="FFFFFF"/>
                <w:sz w:val="17"/>
              </w:rPr>
              <w:t>Mitigation</w:t>
            </w:r>
          </w:p>
        </w:tc>
      </w:tr>
      <w:tr>
        <w:trPr>
          <w:cantSplit w:val="true"/>
        </w:trPr>
        <w:tc>
          <w:tcPr>
            <w:tcW w:type="dxa" w:w="453"/>
          </w:tcPr>
          <w:p>
            <w:pPr>
              <w:spacing w:before="0" w:after="0" w:line="252" w:lineRule="auto"/>
            </w:pPr>
            <w:r>
              <w:rPr>
                <w:sz w:val="17"/>
              </w:rPr>
              <w:t>R1</w:t>
            </w:r>
          </w:p>
        </w:tc>
        <w:tc>
          <w:tcPr>
            <w:tcW w:type="dxa" w:w="2731"/>
          </w:tcPr>
          <w:p>
            <w:pPr>
              <w:spacing w:before="0" w:after="0" w:line="252" w:lineRule="auto"/>
            </w:pPr>
            <w:r>
              <w:rPr>
                <w:sz w:val="17"/>
              </w:rPr>
              <w:t>Average selling price below €135/m³</w:t>
            </w:r>
          </w:p>
        </w:tc>
        <w:tc>
          <w:tcPr>
            <w:tcW w:type="dxa" w:w="283"/>
          </w:tcPr>
          <w:p>
            <w:pPr>
              <w:spacing w:before="0" w:after="0" w:line="252" w:lineRule="auto"/>
            </w:pPr>
            <w:r>
              <w:rPr>
                <w:sz w:val="17"/>
              </w:rPr>
              <w:t>H</w:t>
            </w:r>
          </w:p>
        </w:tc>
        <w:tc>
          <w:tcPr>
            <w:tcW w:type="dxa" w:w="283"/>
          </w:tcPr>
          <w:p>
            <w:pPr>
              <w:spacing w:before="0" w:after="0" w:line="252" w:lineRule="auto"/>
            </w:pPr>
            <w:r>
              <w:rPr>
                <w:sz w:val="17"/>
              </w:rPr>
              <w:t>H</w:t>
            </w:r>
          </w:p>
        </w:tc>
        <w:tc>
          <w:tcPr>
            <w:tcW w:type="dxa" w:w="2155"/>
          </w:tcPr>
          <w:p>
            <w:pPr>
              <w:spacing w:before="0" w:after="0" w:line="252" w:lineRule="auto"/>
            </w:pPr>
            <w:r>
              <w:rPr>
                <w:sz w:val="17"/>
              </w:rPr>
              <w:t>€130/m³ → NPV −€7.1M; €115 → −€12.4M</w:t>
            </w:r>
          </w:p>
        </w:tc>
        <w:tc>
          <w:tcPr>
            <w:tcW w:type="dxa" w:w="3731"/>
          </w:tcPr>
          <w:p>
            <w:pPr>
              <w:spacing w:before="0" w:after="0" w:line="252" w:lineRule="auto"/>
            </w:pPr>
            <w:r>
              <w:rPr>
                <w:sz w:val="17"/>
              </w:rPr>
              <w:t>Verify real project prices with 2–3 contractor buyers before any commitment; price discipline; delivery zones</w:t>
            </w:r>
          </w:p>
        </w:tc>
      </w:tr>
      <w:tr>
        <w:trPr>
          <w:cantSplit w:val="true"/>
        </w:trPr>
        <w:tc>
          <w:tcPr>
            <w:tcW w:type="dxa" w:w="453"/>
            <w:shd w:val="clear" w:color="auto" w:fill="F2F5F9"/>
          </w:tcPr>
          <w:p>
            <w:pPr>
              <w:spacing w:before="0" w:after="0" w:line="252" w:lineRule="auto"/>
            </w:pPr>
            <w:r>
              <w:rPr>
                <w:sz w:val="17"/>
              </w:rPr>
              <w:t>R2</w:t>
            </w:r>
          </w:p>
        </w:tc>
        <w:tc>
          <w:tcPr>
            <w:tcW w:type="dxa" w:w="2731"/>
            <w:shd w:val="clear" w:color="auto" w:fill="F2F5F9"/>
          </w:tcPr>
          <w:p>
            <w:pPr>
              <w:spacing w:before="0" w:after="0" w:line="252" w:lineRule="auto"/>
            </w:pPr>
            <w:r>
              <w:rPr>
                <w:sz w:val="17"/>
              </w:rPr>
              <w:t>Volume below plan (70k = 2× average plant)</w:t>
            </w:r>
          </w:p>
        </w:tc>
        <w:tc>
          <w:tcPr>
            <w:tcW w:type="dxa" w:w="283"/>
            <w:shd w:val="clear" w:color="auto" w:fill="F2F5F9"/>
          </w:tcPr>
          <w:p>
            <w:pPr>
              <w:spacing w:before="0" w:after="0" w:line="252" w:lineRule="auto"/>
            </w:pPr>
            <w:r>
              <w:rPr>
                <w:sz w:val="17"/>
              </w:rPr>
              <w:t>H</w:t>
            </w:r>
          </w:p>
        </w:tc>
        <w:tc>
          <w:tcPr>
            <w:tcW w:type="dxa" w:w="283"/>
            <w:shd w:val="clear" w:color="auto" w:fill="F2F5F9"/>
          </w:tcPr>
          <w:p>
            <w:pPr>
              <w:spacing w:before="0" w:after="0" w:line="252" w:lineRule="auto"/>
            </w:pPr>
            <w:r>
              <w:rPr>
                <w:sz w:val="17"/>
              </w:rPr>
              <w:t>H</w:t>
            </w:r>
          </w:p>
        </w:tc>
        <w:tc>
          <w:tcPr>
            <w:tcW w:type="dxa" w:w="2155"/>
            <w:shd w:val="clear" w:color="auto" w:fill="F2F5F9"/>
          </w:tcPr>
          <w:p>
            <w:pPr>
              <w:spacing w:before="0" w:after="0" w:line="252" w:lineRule="auto"/>
            </w:pPr>
            <w:r>
              <w:rPr>
                <w:sz w:val="17"/>
              </w:rPr>
              <w:t>50k m³ → −€7.5M; 60k → −€6.4M</w:t>
            </w:r>
          </w:p>
        </w:tc>
        <w:tc>
          <w:tcPr>
            <w:tcW w:type="dxa" w:w="3731"/>
            <w:shd w:val="clear" w:color="auto" w:fill="F2F5F9"/>
          </w:tcPr>
          <w:p>
            <w:pPr>
              <w:spacing w:before="0" w:after="0" w:line="252" w:lineRule="auto"/>
            </w:pPr>
            <w:r>
              <w:rPr>
                <w:sz w:val="17"/>
              </w:rPr>
              <w:t>Signed frameworks ≥ 40k m³/yr before buying (gate C); buy a plant with a customer book</w:t>
            </w:r>
          </w:p>
        </w:tc>
      </w:tr>
      <w:tr>
        <w:trPr>
          <w:cantSplit w:val="true"/>
        </w:trPr>
        <w:tc>
          <w:tcPr>
            <w:tcW w:type="dxa" w:w="453"/>
          </w:tcPr>
          <w:p>
            <w:pPr>
              <w:spacing w:before="0" w:after="0" w:line="252" w:lineRule="auto"/>
            </w:pPr>
            <w:r>
              <w:rPr>
                <w:sz w:val="17"/>
              </w:rPr>
              <w:t>R3</w:t>
            </w:r>
          </w:p>
        </w:tc>
        <w:tc>
          <w:tcPr>
            <w:tcW w:type="dxa" w:w="2731"/>
          </w:tcPr>
          <w:p>
            <w:pPr>
              <w:spacing w:before="0" w:after="0" w:line="252" w:lineRule="auto"/>
            </w:pPr>
            <w:r>
              <w:rPr>
                <w:sz w:val="17"/>
              </w:rPr>
              <w:t>Rubble terms: gate fee and steel split (integrated route)</w:t>
            </w:r>
          </w:p>
        </w:tc>
        <w:tc>
          <w:tcPr>
            <w:tcW w:type="dxa" w:w="283"/>
          </w:tcPr>
          <w:p>
            <w:pPr>
              <w:spacing w:before="0" w:after="0" w:line="252" w:lineRule="auto"/>
            </w:pPr>
            <w:r>
              <w:rPr>
                <w:sz w:val="17"/>
              </w:rPr>
              <w:t>H</w:t>
            </w:r>
          </w:p>
        </w:tc>
        <w:tc>
          <w:tcPr>
            <w:tcW w:type="dxa" w:w="283"/>
          </w:tcPr>
          <w:p>
            <w:pPr>
              <w:spacing w:before="0" w:after="0" w:line="252" w:lineRule="auto"/>
            </w:pPr>
            <w:r>
              <w:rPr>
                <w:sz w:val="17"/>
              </w:rPr>
              <w:t>H</w:t>
            </w:r>
          </w:p>
        </w:tc>
        <w:tc>
          <w:tcPr>
            <w:tcW w:type="dxa" w:w="2155"/>
          </w:tcPr>
          <w:p>
            <w:pPr>
              <w:spacing w:before="0" w:after="0" w:line="252" w:lineRule="auto"/>
            </w:pPr>
            <w:r>
              <w:rPr>
                <w:sz w:val="17"/>
              </w:rPr>
              <w:t>P2 needs ≈ €30/t; market €0–1/t</w:t>
            </w:r>
          </w:p>
        </w:tc>
        <w:tc>
          <w:tcPr>
            <w:tcW w:type="dxa" w:w="3731"/>
          </w:tcPr>
          <w:p>
            <w:pPr>
              <w:spacing w:before="0" w:after="0" w:line="252" w:lineRule="auto"/>
            </w:pPr>
            <w:r>
              <w:rPr>
                <w:sz w:val="17"/>
              </w:rPr>
              <w:t>Hard gate B; walk away if not signed</w:t>
            </w:r>
          </w:p>
        </w:tc>
      </w:tr>
      <w:tr>
        <w:trPr>
          <w:cantSplit w:val="true"/>
        </w:trPr>
        <w:tc>
          <w:tcPr>
            <w:tcW w:type="dxa" w:w="453"/>
            <w:shd w:val="clear" w:color="auto" w:fill="F2F5F9"/>
          </w:tcPr>
          <w:p>
            <w:pPr>
              <w:spacing w:before="0" w:after="0" w:line="252" w:lineRule="auto"/>
            </w:pPr>
            <w:r>
              <w:rPr>
                <w:sz w:val="17"/>
              </w:rPr>
              <w:t>R4</w:t>
            </w:r>
          </w:p>
        </w:tc>
        <w:tc>
          <w:tcPr>
            <w:tcW w:type="dxa" w:w="2731"/>
            <w:shd w:val="clear" w:color="auto" w:fill="F2F5F9"/>
          </w:tcPr>
          <w:p>
            <w:pPr>
              <w:spacing w:before="0" w:after="0" w:line="252" w:lineRule="auto"/>
            </w:pPr>
            <w:r>
              <w:rPr>
                <w:sz w:val="17"/>
              </w:rPr>
              <w:t>Delivery cost and distance (part loads, waiting time)</w:t>
            </w:r>
          </w:p>
        </w:tc>
        <w:tc>
          <w:tcPr>
            <w:tcW w:type="dxa" w:w="283"/>
            <w:shd w:val="clear" w:color="auto" w:fill="F2F5F9"/>
          </w:tcPr>
          <w:p>
            <w:pPr>
              <w:spacing w:before="0" w:after="0" w:line="252" w:lineRule="auto"/>
            </w:pPr>
            <w:r>
              <w:rPr>
                <w:sz w:val="17"/>
              </w:rPr>
              <w:t>M</w:t>
            </w:r>
          </w:p>
        </w:tc>
        <w:tc>
          <w:tcPr>
            <w:tcW w:type="dxa" w:w="283"/>
            <w:shd w:val="clear" w:color="auto" w:fill="F2F5F9"/>
          </w:tcPr>
          <w:p>
            <w:pPr>
              <w:spacing w:before="0" w:after="0" w:line="252" w:lineRule="auto"/>
            </w:pPr>
            <w:r>
              <w:rPr>
                <w:sz w:val="17"/>
              </w:rPr>
              <w:t>H</w:t>
            </w:r>
          </w:p>
        </w:tc>
        <w:tc>
          <w:tcPr>
            <w:tcW w:type="dxa" w:w="2155"/>
            <w:shd w:val="clear" w:color="auto" w:fill="F2F5F9"/>
          </w:tcPr>
          <w:p>
            <w:pPr>
              <w:spacing w:before="0" w:after="0" w:line="252" w:lineRule="auto"/>
            </w:pPr>
            <w:r>
              <w:rPr>
                <w:sz w:val="17"/>
              </w:rPr>
              <w:t>35 km → −€8.4M; 8 m³ loads → −€6.3M</w:t>
            </w:r>
          </w:p>
        </w:tc>
        <w:tc>
          <w:tcPr>
            <w:tcW w:type="dxa" w:w="3731"/>
            <w:shd w:val="clear" w:color="auto" w:fill="F2F5F9"/>
          </w:tcPr>
          <w:p>
            <w:pPr>
              <w:spacing w:before="0" w:after="0" w:line="252" w:lineRule="auto"/>
            </w:pPr>
            <w:r>
              <w:rPr>
                <w:sz w:val="17"/>
              </w:rPr>
              <w:t>Waterside site close to demand; zone pricing; under-load surcharge</w:t>
            </w:r>
          </w:p>
        </w:tc>
      </w:tr>
      <w:tr>
        <w:trPr>
          <w:cantSplit w:val="true"/>
        </w:trPr>
        <w:tc>
          <w:tcPr>
            <w:tcW w:type="dxa" w:w="453"/>
          </w:tcPr>
          <w:p>
            <w:pPr>
              <w:spacing w:before="0" w:after="0" w:line="252" w:lineRule="auto"/>
            </w:pPr>
            <w:r>
              <w:rPr>
                <w:sz w:val="17"/>
              </w:rPr>
              <w:t>R5</w:t>
            </w:r>
          </w:p>
        </w:tc>
        <w:tc>
          <w:tcPr>
            <w:tcW w:type="dxa" w:w="2731"/>
          </w:tcPr>
          <w:p>
            <w:pPr>
              <w:spacing w:before="0" w:after="0" w:line="252" w:lineRule="auto"/>
            </w:pPr>
            <w:r>
              <w:rPr>
                <w:sz w:val="17"/>
              </w:rPr>
              <w:t>Cement price and slag scarcity after ~2030</w:t>
            </w:r>
          </w:p>
        </w:tc>
        <w:tc>
          <w:tcPr>
            <w:tcW w:type="dxa" w:w="283"/>
          </w:tcPr>
          <w:p>
            <w:pPr>
              <w:spacing w:before="0" w:after="0" w:line="252" w:lineRule="auto"/>
            </w:pPr>
            <w:r>
              <w:rPr>
                <w:sz w:val="17"/>
              </w:rPr>
              <w:t>M</w:t>
            </w:r>
          </w:p>
        </w:tc>
        <w:tc>
          <w:tcPr>
            <w:tcW w:type="dxa" w:w="283"/>
          </w:tcPr>
          <w:p>
            <w:pPr>
              <w:spacing w:before="0" w:after="0" w:line="252" w:lineRule="auto"/>
            </w:pPr>
            <w:r>
              <w:rPr>
                <w:sz w:val="17"/>
              </w:rPr>
              <w:t>H</w:t>
            </w:r>
          </w:p>
        </w:tc>
        <w:tc>
          <w:tcPr>
            <w:tcW w:type="dxa" w:w="2155"/>
          </w:tcPr>
          <w:p>
            <w:pPr>
              <w:spacing w:before="0" w:after="0" w:line="252" w:lineRule="auto"/>
            </w:pPr>
            <w:r>
              <w:rPr>
                <w:sz w:val="17"/>
              </w:rPr>
              <w:t>€130/t + high carbon path → −€7.9M</w:t>
            </w:r>
          </w:p>
        </w:tc>
        <w:tc>
          <w:tcPr>
            <w:tcW w:type="dxa" w:w="3731"/>
          </w:tcPr>
          <w:p>
            <w:pPr>
              <w:spacing w:before="0" w:after="0" w:line="252" w:lineRule="auto"/>
            </w:pPr>
            <w:r>
              <w:rPr>
                <w:sz w:val="17"/>
              </w:rPr>
              <w:t>Multi-year cement contract; 100% binder indexation; binder trials (activated cement paste, CEM VI)</w:t>
            </w:r>
          </w:p>
        </w:tc>
      </w:tr>
      <w:tr>
        <w:trPr>
          <w:cantSplit w:val="true"/>
        </w:trPr>
        <w:tc>
          <w:tcPr>
            <w:tcW w:type="dxa" w:w="453"/>
            <w:shd w:val="clear" w:color="auto" w:fill="F2F5F9"/>
          </w:tcPr>
          <w:p>
            <w:pPr>
              <w:spacing w:before="0" w:after="0" w:line="252" w:lineRule="auto"/>
            </w:pPr>
            <w:r>
              <w:rPr>
                <w:sz w:val="17"/>
              </w:rPr>
              <w:t>R6</w:t>
            </w:r>
          </w:p>
        </w:tc>
        <w:tc>
          <w:tcPr>
            <w:tcW w:type="dxa" w:w="2731"/>
            <w:shd w:val="clear" w:color="auto" w:fill="F2F5F9"/>
          </w:tcPr>
          <w:p>
            <w:pPr>
              <w:spacing w:before="0" w:after="0" w:line="252" w:lineRule="auto"/>
            </w:pPr>
            <w:r>
              <w:rPr>
                <w:sz w:val="17"/>
              </w:rPr>
              <w:t>Incumbent reaction and funded specialists (Heidelberg, SL Materials, everox)</w:t>
            </w:r>
          </w:p>
        </w:tc>
        <w:tc>
          <w:tcPr>
            <w:tcW w:type="dxa" w:w="283"/>
            <w:shd w:val="clear" w:color="auto" w:fill="F2F5F9"/>
          </w:tcPr>
          <w:p>
            <w:pPr>
              <w:spacing w:before="0" w:after="0" w:line="252" w:lineRule="auto"/>
            </w:pPr>
            <w:r>
              <w:rPr>
                <w:sz w:val="17"/>
              </w:rPr>
              <w:t>H</w:t>
            </w:r>
          </w:p>
        </w:tc>
        <w:tc>
          <w:tcPr>
            <w:tcW w:type="dxa" w:w="283"/>
            <w:shd w:val="clear" w:color="auto" w:fill="F2F5F9"/>
          </w:tcPr>
          <w:p>
            <w:pPr>
              <w:spacing w:before="0" w:after="0" w:line="252" w:lineRule="auto"/>
            </w:pPr>
            <w:r>
              <w:rPr>
                <w:sz w:val="17"/>
              </w:rPr>
              <w:t>M</w:t>
            </w:r>
          </w:p>
        </w:tc>
        <w:tc>
          <w:tcPr>
            <w:tcW w:type="dxa" w:w="2155"/>
            <w:shd w:val="clear" w:color="auto" w:fill="F2F5F9"/>
          </w:tcPr>
          <w:p>
            <w:pPr>
              <w:spacing w:before="0" w:after="0" w:line="252" w:lineRule="auto"/>
            </w:pPr>
            <w:r>
              <w:rPr>
                <w:sz w:val="17"/>
              </w:rPr>
              <w:t>Rivalry 4/5; green surcharges can drop to zero</w:t>
            </w:r>
          </w:p>
        </w:tc>
        <w:tc>
          <w:tcPr>
            <w:tcW w:type="dxa" w:w="3731"/>
            <w:shd w:val="clear" w:color="auto" w:fill="F2F5F9"/>
          </w:tcPr>
          <w:p>
            <w:pPr>
              <w:spacing w:before="0" w:after="0" w:line="252" w:lineRule="auto"/>
            </w:pPr>
            <w:r>
              <w:rPr>
                <w:sz w:val="17"/>
              </w:rPr>
              <w:t>Do not compete on "most circular"; partner or buy recycled products from specialists</w:t>
            </w:r>
          </w:p>
        </w:tc>
      </w:tr>
      <w:tr>
        <w:trPr>
          <w:cantSplit w:val="true"/>
        </w:trPr>
        <w:tc>
          <w:tcPr>
            <w:tcW w:type="dxa" w:w="453"/>
          </w:tcPr>
          <w:p>
            <w:pPr>
              <w:spacing w:before="0" w:after="0" w:line="252" w:lineRule="auto"/>
            </w:pPr>
            <w:r>
              <w:rPr>
                <w:sz w:val="17"/>
              </w:rPr>
              <w:t>R7</w:t>
            </w:r>
          </w:p>
        </w:tc>
        <w:tc>
          <w:tcPr>
            <w:tcW w:type="dxa" w:w="2731"/>
          </w:tcPr>
          <w:p>
            <w:pPr>
              <w:spacing w:before="0" w:after="0" w:line="252" w:lineRule="auto"/>
            </w:pPr>
            <w:r>
              <w:rPr>
                <w:sz w:val="17"/>
              </w:rPr>
              <w:t>Capex overrun or older equipment in an acquired plant</w:t>
            </w:r>
          </w:p>
        </w:tc>
        <w:tc>
          <w:tcPr>
            <w:tcW w:type="dxa" w:w="283"/>
          </w:tcPr>
          <w:p>
            <w:pPr>
              <w:spacing w:before="0" w:after="0" w:line="252" w:lineRule="auto"/>
            </w:pPr>
            <w:r>
              <w:rPr>
                <w:sz w:val="17"/>
              </w:rPr>
              <w:t>M</w:t>
            </w:r>
          </w:p>
        </w:tc>
        <w:tc>
          <w:tcPr>
            <w:tcW w:type="dxa" w:w="283"/>
          </w:tcPr>
          <w:p>
            <w:pPr>
              <w:spacing w:before="0" w:after="0" w:line="252" w:lineRule="auto"/>
            </w:pPr>
            <w:r>
              <w:rPr>
                <w:sz w:val="17"/>
              </w:rPr>
              <w:t>M</w:t>
            </w:r>
          </w:p>
        </w:tc>
        <w:tc>
          <w:tcPr>
            <w:tcW w:type="dxa" w:w="2155"/>
          </w:tcPr>
          <w:p>
            <w:pPr>
              <w:spacing w:before="0" w:after="0" w:line="252" w:lineRule="auto"/>
            </w:pPr>
            <w:r>
              <w:rPr>
                <w:sz w:val="17"/>
              </w:rPr>
              <w:t>Capex €8.0M → −€7.9M; plant €4.0M → P2 −€5.58M</w:t>
            </w:r>
          </w:p>
        </w:tc>
        <w:tc>
          <w:tcPr>
            <w:tcW w:type="dxa" w:w="3731"/>
          </w:tcPr>
          <w:p>
            <w:pPr>
              <w:spacing w:before="0" w:after="0" w:line="252" w:lineRule="auto"/>
            </w:pPr>
            <w:r>
              <w:rPr>
                <w:sz w:val="17"/>
              </w:rPr>
              <w:t>Fixed-price quotes; technical due diligence; expansion quote before purchase</w:t>
            </w:r>
          </w:p>
        </w:tc>
      </w:tr>
      <w:tr>
        <w:trPr>
          <w:cantSplit w:val="true"/>
        </w:trPr>
        <w:tc>
          <w:tcPr>
            <w:tcW w:type="dxa" w:w="453"/>
            <w:shd w:val="clear" w:color="auto" w:fill="F2F5F9"/>
          </w:tcPr>
          <w:p>
            <w:pPr>
              <w:spacing w:before="0" w:after="0" w:line="252" w:lineRule="auto"/>
            </w:pPr>
            <w:r>
              <w:rPr>
                <w:sz w:val="17"/>
              </w:rPr>
              <w:t>R8</w:t>
            </w:r>
          </w:p>
        </w:tc>
        <w:tc>
          <w:tcPr>
            <w:tcW w:type="dxa" w:w="2731"/>
            <w:shd w:val="clear" w:color="auto" w:fill="F2F5F9"/>
          </w:tcPr>
          <w:p>
            <w:pPr>
              <w:spacing w:before="0" w:after="0" w:line="252" w:lineRule="auto"/>
            </w:pPr>
            <w:r>
              <w:rPr>
                <w:sz w:val="17"/>
              </w:rPr>
              <w:t>Permits, nitrogen and grid connection delay</w:t>
            </w:r>
          </w:p>
        </w:tc>
        <w:tc>
          <w:tcPr>
            <w:tcW w:type="dxa" w:w="283"/>
            <w:shd w:val="clear" w:color="auto" w:fill="F2F5F9"/>
          </w:tcPr>
          <w:p>
            <w:pPr>
              <w:spacing w:before="0" w:after="0" w:line="252" w:lineRule="auto"/>
            </w:pPr>
            <w:r>
              <w:rPr>
                <w:sz w:val="17"/>
              </w:rPr>
              <w:t>M</w:t>
            </w:r>
          </w:p>
        </w:tc>
        <w:tc>
          <w:tcPr>
            <w:tcW w:type="dxa" w:w="283"/>
            <w:shd w:val="clear" w:color="auto" w:fill="F2F5F9"/>
          </w:tcPr>
          <w:p>
            <w:pPr>
              <w:spacing w:before="0" w:after="0" w:line="252" w:lineRule="auto"/>
            </w:pPr>
            <w:r>
              <w:rPr>
                <w:sz w:val="17"/>
              </w:rPr>
              <w:t>M</w:t>
            </w:r>
          </w:p>
        </w:tc>
        <w:tc>
          <w:tcPr>
            <w:tcW w:type="dxa" w:w="2155"/>
            <w:shd w:val="clear" w:color="auto" w:fill="F2F5F9"/>
          </w:tcPr>
          <w:p>
            <w:pPr>
              <w:spacing w:before="0" w:after="0" w:line="252" w:lineRule="auto"/>
            </w:pPr>
            <w:r>
              <w:rPr>
                <w:sz w:val="17"/>
              </w:rPr>
              <w:t>Permit 6–24 months (ready-mix), 9–36 (crushing)</w:t>
            </w:r>
          </w:p>
        </w:tc>
        <w:tc>
          <w:tcPr>
            <w:tcW w:type="dxa" w:w="3731"/>
            <w:shd w:val="clear" w:color="auto" w:fill="F2F5F9"/>
          </w:tcPr>
          <w:p>
            <w:pPr>
              <w:spacing w:before="0" w:after="0" w:line="252" w:lineRule="auto"/>
            </w:pPr>
            <w:r>
              <w:rPr>
                <w:sz w:val="17"/>
              </w:rPr>
              <w:t>Buy a permitted plant; site far from Natura 2000; electric equipment</w:t>
            </w:r>
          </w:p>
        </w:tc>
      </w:tr>
      <w:tr>
        <w:trPr>
          <w:cantSplit w:val="true"/>
        </w:trPr>
        <w:tc>
          <w:tcPr>
            <w:tcW w:type="dxa" w:w="453"/>
          </w:tcPr>
          <w:p>
            <w:pPr>
              <w:spacing w:before="0" w:after="0" w:line="252" w:lineRule="auto"/>
            </w:pPr>
            <w:r>
              <w:rPr>
                <w:sz w:val="17"/>
              </w:rPr>
              <w:t>R9</w:t>
            </w:r>
          </w:p>
        </w:tc>
        <w:tc>
          <w:tcPr>
            <w:tcW w:type="dxa" w:w="2731"/>
          </w:tcPr>
          <w:p>
            <w:pPr>
              <w:spacing w:before="0" w:after="0" w:line="252" w:lineRule="auto"/>
            </w:pPr>
            <w:r>
              <w:rPr>
                <w:sz w:val="17"/>
              </w:rPr>
              <w:t>Quality and liability of RCA concrete (slump drift; client acceptance of &gt;30% RCA)</w:t>
            </w:r>
          </w:p>
        </w:tc>
        <w:tc>
          <w:tcPr>
            <w:tcW w:type="dxa" w:w="283"/>
          </w:tcPr>
          <w:p>
            <w:pPr>
              <w:spacing w:before="0" w:after="0" w:line="252" w:lineRule="auto"/>
            </w:pPr>
            <w:r>
              <w:rPr>
                <w:sz w:val="17"/>
              </w:rPr>
              <w:t>M</w:t>
            </w:r>
          </w:p>
        </w:tc>
        <w:tc>
          <w:tcPr>
            <w:tcW w:type="dxa" w:w="283"/>
          </w:tcPr>
          <w:p>
            <w:pPr>
              <w:spacing w:before="0" w:after="0" w:line="252" w:lineRule="auto"/>
            </w:pPr>
            <w:r>
              <w:rPr>
                <w:sz w:val="17"/>
              </w:rPr>
              <w:t>M</w:t>
            </w:r>
          </w:p>
        </w:tc>
        <w:tc>
          <w:tcPr>
            <w:tcW w:type="dxa" w:w="2155"/>
          </w:tcPr>
          <w:p>
            <w:pPr>
              <w:spacing w:before="0" w:after="0" w:line="252" w:lineRule="auto"/>
            </w:pPr>
            <w:r>
              <w:rPr>
                <w:sz w:val="17"/>
              </w:rPr>
              <w:t>Contractor RCA use fell in 2024 (VolkerWessels)</w:t>
            </w:r>
          </w:p>
        </w:tc>
        <w:tc>
          <w:tcPr>
            <w:tcW w:type="dxa" w:w="3731"/>
          </w:tcPr>
          <w:p>
            <w:pPr>
              <w:spacing w:before="0" w:after="0" w:line="252" w:lineRule="auto"/>
            </w:pPr>
            <w:r>
              <w:rPr>
                <w:sz w:val="17"/>
              </w:rPr>
              <w:t>Lot testing; moisture probes; start with unreinforced/inside work; publish test data</w:t>
            </w:r>
          </w:p>
        </w:tc>
      </w:tr>
      <w:tr>
        <w:trPr>
          <w:cantSplit w:val="true"/>
        </w:trPr>
        <w:tc>
          <w:tcPr>
            <w:tcW w:type="dxa" w:w="453"/>
            <w:shd w:val="clear" w:color="auto" w:fill="F2F5F9"/>
          </w:tcPr>
          <w:p>
            <w:pPr>
              <w:spacing w:before="0" w:after="0" w:line="252" w:lineRule="auto"/>
            </w:pPr>
            <w:r>
              <w:rPr>
                <w:sz w:val="17"/>
              </w:rPr>
              <w:t>R10</w:t>
            </w:r>
          </w:p>
        </w:tc>
        <w:tc>
          <w:tcPr>
            <w:tcW w:type="dxa" w:w="2731"/>
            <w:shd w:val="clear" w:color="auto" w:fill="F2F5F9"/>
          </w:tcPr>
          <w:p>
            <w:pPr>
              <w:spacing w:before="0" w:after="0" w:line="252" w:lineRule="auto"/>
            </w:pPr>
            <w:r>
              <w:rPr>
                <w:sz w:val="17"/>
              </w:rPr>
              <w:t>Policy slips (GWW decree later, ceilings at "peloton" level; ETS phase-out to 2038)</w:t>
            </w:r>
          </w:p>
        </w:tc>
        <w:tc>
          <w:tcPr>
            <w:tcW w:type="dxa" w:w="283"/>
            <w:shd w:val="clear" w:color="auto" w:fill="F2F5F9"/>
          </w:tcPr>
          <w:p>
            <w:pPr>
              <w:spacing w:before="0" w:after="0" w:line="252" w:lineRule="auto"/>
            </w:pPr>
            <w:r>
              <w:rPr>
                <w:sz w:val="17"/>
              </w:rPr>
              <w:t>M</w:t>
            </w:r>
          </w:p>
        </w:tc>
        <w:tc>
          <w:tcPr>
            <w:tcW w:type="dxa" w:w="283"/>
            <w:shd w:val="clear" w:color="auto" w:fill="F2F5F9"/>
          </w:tcPr>
          <w:p>
            <w:pPr>
              <w:spacing w:before="0" w:after="0" w:line="252" w:lineRule="auto"/>
            </w:pPr>
            <w:r>
              <w:rPr>
                <w:sz w:val="17"/>
              </w:rPr>
              <w:t>L</w:t>
            </w:r>
          </w:p>
        </w:tc>
        <w:tc>
          <w:tcPr>
            <w:tcW w:type="dxa" w:w="2155"/>
            <w:shd w:val="clear" w:color="auto" w:fill="F2F5F9"/>
          </w:tcPr>
          <w:p>
            <w:pPr>
              <w:spacing w:before="0" w:after="0" w:line="252" w:lineRule="auto"/>
            </w:pPr>
            <w:r>
              <w:rPr>
                <w:sz w:val="17"/>
              </w:rPr>
              <w:t>ETS path swing only €0.45M</w:t>
            </w:r>
          </w:p>
        </w:tc>
        <w:tc>
          <w:tcPr>
            <w:tcW w:type="dxa" w:w="3731"/>
            <w:shd w:val="clear" w:color="auto" w:fill="F2F5F9"/>
          </w:tcPr>
          <w:p>
            <w:pPr>
              <w:spacing w:before="0" w:after="0" w:line="252" w:lineRule="auto"/>
            </w:pPr>
            <w:r>
              <w:rPr>
                <w:sz w:val="17"/>
              </w:rPr>
              <w:t>Do not build the case on policy premiums; treat them as upside</w:t>
            </w:r>
          </w:p>
        </w:tc>
      </w:tr>
      <w:tr>
        <w:trPr>
          <w:cantSplit w:val="true"/>
        </w:trPr>
        <w:tc>
          <w:tcPr>
            <w:tcW w:type="dxa" w:w="453"/>
          </w:tcPr>
          <w:p>
            <w:pPr>
              <w:spacing w:before="0" w:after="0" w:line="252" w:lineRule="auto"/>
            </w:pPr>
            <w:r>
              <w:rPr>
                <w:sz w:val="17"/>
              </w:rPr>
              <w:t>R11</w:t>
            </w:r>
          </w:p>
        </w:tc>
        <w:tc>
          <w:tcPr>
            <w:tcW w:type="dxa" w:w="2731"/>
          </w:tcPr>
          <w:p>
            <w:pPr>
              <w:spacing w:before="0" w:after="0" w:line="252" w:lineRule="auto"/>
            </w:pPr>
            <w:r>
              <w:rPr>
                <w:sz w:val="17"/>
              </w:rPr>
              <w:t>Construction downturn (ready-mix −20% in 2023)</w:t>
            </w:r>
          </w:p>
        </w:tc>
        <w:tc>
          <w:tcPr>
            <w:tcW w:type="dxa" w:w="283"/>
          </w:tcPr>
          <w:p>
            <w:pPr>
              <w:spacing w:before="0" w:after="0" w:line="252" w:lineRule="auto"/>
            </w:pPr>
            <w:r>
              <w:rPr>
                <w:sz w:val="17"/>
              </w:rPr>
              <w:t>M</w:t>
            </w:r>
          </w:p>
        </w:tc>
        <w:tc>
          <w:tcPr>
            <w:tcW w:type="dxa" w:w="283"/>
          </w:tcPr>
          <w:p>
            <w:pPr>
              <w:spacing w:before="0" w:after="0" w:line="252" w:lineRule="auto"/>
            </w:pPr>
            <w:r>
              <w:rPr>
                <w:sz w:val="17"/>
              </w:rPr>
              <w:t>M</w:t>
            </w:r>
          </w:p>
        </w:tc>
        <w:tc>
          <w:tcPr>
            <w:tcW w:type="dxa" w:w="2155"/>
          </w:tcPr>
          <w:p>
            <w:pPr>
              <w:spacing w:before="0" w:after="0" w:line="252" w:lineRule="auto"/>
            </w:pPr>
            <w:r>
              <w:rPr>
                <w:sz w:val="17"/>
              </w:rPr>
              <w:t>Volume and price both fall</w:t>
            </w:r>
          </w:p>
        </w:tc>
        <w:tc>
          <w:tcPr>
            <w:tcW w:type="dxa" w:w="3731"/>
          </w:tcPr>
          <w:p>
            <w:pPr>
              <w:spacing w:before="0" w:after="0" w:line="252" w:lineRule="auto"/>
            </w:pPr>
            <w:r>
              <w:rPr>
                <w:sz w:val="17"/>
              </w:rPr>
              <w:t>Public renewal work as anchor (€2.9bn/yr civil structures 2031–40)</w:t>
            </w:r>
          </w:p>
        </w:tc>
      </w:tr>
      <w:tr>
        <w:trPr>
          <w:cantSplit w:val="true"/>
        </w:trPr>
        <w:tc>
          <w:tcPr>
            <w:tcW w:type="dxa" w:w="453"/>
            <w:shd w:val="clear" w:color="auto" w:fill="F2F5F9"/>
          </w:tcPr>
          <w:p>
            <w:pPr>
              <w:spacing w:before="0" w:after="0" w:line="252" w:lineRule="auto"/>
            </w:pPr>
            <w:r>
              <w:rPr>
                <w:sz w:val="17"/>
              </w:rPr>
              <w:t>R12</w:t>
            </w:r>
          </w:p>
        </w:tc>
        <w:tc>
          <w:tcPr>
            <w:tcW w:type="dxa" w:w="2731"/>
            <w:shd w:val="clear" w:color="auto" w:fill="F2F5F9"/>
          </w:tcPr>
          <w:p>
            <w:pPr>
              <w:spacing w:before="0" w:after="0" w:line="252" w:lineRule="auto"/>
            </w:pPr>
            <w:r>
              <w:rPr>
                <w:sz w:val="17"/>
              </w:rPr>
              <w:t>Customers leave after a plant takeover</w:t>
            </w:r>
          </w:p>
        </w:tc>
        <w:tc>
          <w:tcPr>
            <w:tcW w:type="dxa" w:w="283"/>
            <w:shd w:val="clear" w:color="auto" w:fill="F2F5F9"/>
          </w:tcPr>
          <w:p>
            <w:pPr>
              <w:spacing w:before="0" w:after="0" w:line="252" w:lineRule="auto"/>
            </w:pPr>
            <w:r>
              <w:rPr>
                <w:sz w:val="17"/>
              </w:rPr>
              <w:t>M</w:t>
            </w:r>
          </w:p>
        </w:tc>
        <w:tc>
          <w:tcPr>
            <w:tcW w:type="dxa" w:w="283"/>
            <w:shd w:val="clear" w:color="auto" w:fill="F2F5F9"/>
          </w:tcPr>
          <w:p>
            <w:pPr>
              <w:spacing w:before="0" w:after="0" w:line="252" w:lineRule="auto"/>
            </w:pPr>
            <w:r>
              <w:rPr>
                <w:sz w:val="17"/>
              </w:rPr>
              <w:t>M</w:t>
            </w:r>
          </w:p>
        </w:tc>
        <w:tc>
          <w:tcPr>
            <w:tcW w:type="dxa" w:w="2155"/>
            <w:shd w:val="clear" w:color="auto" w:fill="F2F5F9"/>
          </w:tcPr>
          <w:p>
            <w:pPr>
              <w:spacing w:before="0" w:after="0" w:line="252" w:lineRule="auto"/>
            </w:pPr>
            <w:r>
              <w:rPr>
                <w:sz w:val="17"/>
              </w:rPr>
              <w:t>Slower ramp 50/79% → O3 −€3.69M</w:t>
            </w:r>
          </w:p>
        </w:tc>
        <w:tc>
          <w:tcPr>
            <w:tcW w:type="dxa" w:w="3731"/>
            <w:shd w:val="clear" w:color="auto" w:fill="F2F5F9"/>
          </w:tcPr>
          <w:p>
            <w:pPr>
              <w:spacing w:before="0" w:after="0" w:line="252" w:lineRule="auto"/>
            </w:pPr>
            <w:r>
              <w:rPr>
                <w:sz w:val="17"/>
              </w:rPr>
              <w:t>Earn-out for the seller; keep staff and brand</w:t>
            </w:r>
          </w:p>
        </w:tc>
      </w:tr>
    </w:tbl>
    <w:p>
      <w:pPr>
        <w:spacing w:before="0" w:after="40" w:line="240" w:lineRule="auto"/>
      </w:pPr>
    </w:p>
    <w:p>
      <w:r>
        <w:rPr>
          <w:color w:val="6B6B6B"/>
          <w:sz w:val="17"/>
        </w:rPr>
        <w:t>[ESTIMATE, model; VERIFIED evidence as cited in sections 3–9]</w:t>
      </w:r>
      <w:r>
        <w:t>.</w:t>
      </w:r>
    </w:p>
    <w:p>
      <w:r>
        <w:rPr>
          <w:b/>
        </w:rPr>
        <w:t>Risk map (likelihood × impact)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2269"/>
        <w:gridCol w:w="968"/>
        <w:gridCol w:w="4129"/>
        <w:gridCol w:w="2269"/>
      </w:tblGrid>
      <w:tr>
        <w:trPr>
          <w:cantSplit w:val="true"/>
          <w:tblHeader w:val="true"/>
        </w:trPr>
        <w:tc>
          <w:tcPr>
            <w:tcW w:type="dxa" w:w="2270"/>
            <w:shd w:val="clear" w:color="auto" w:fill="1F3A5F"/>
          </w:tcPr>
          <w:p>
            <w:pPr>
              <w:spacing w:before="0" w:after="0" w:line="252" w:lineRule="auto"/>
            </w:pPr>
            <w:r>
              <w:rPr>
                <w:b/>
                <w:color w:val="FFFFFF"/>
                <w:sz w:val="18"/>
              </w:rPr>
              <w:t>Likelihood ↓ / Impact →</w:t>
            </w:r>
          </w:p>
        </w:tc>
        <w:tc>
          <w:tcPr>
            <w:tcW w:type="dxa" w:w="968"/>
            <w:shd w:val="clear" w:color="auto" w:fill="1F3A5F"/>
          </w:tcPr>
          <w:p>
            <w:pPr>
              <w:spacing w:before="0" w:after="0" w:line="252" w:lineRule="auto"/>
            </w:pPr>
            <w:r>
              <w:rPr>
                <w:b/>
                <w:color w:val="FFFFFF"/>
                <w:sz w:val="18"/>
              </w:rPr>
              <w:t>Low</w:t>
            </w:r>
          </w:p>
        </w:tc>
        <w:tc>
          <w:tcPr>
            <w:tcW w:type="dxa" w:w="4130"/>
            <w:shd w:val="clear" w:color="auto" w:fill="1F3A5F"/>
          </w:tcPr>
          <w:p>
            <w:pPr>
              <w:spacing w:before="0" w:after="0" w:line="252" w:lineRule="auto"/>
            </w:pPr>
            <w:r>
              <w:rPr>
                <w:b/>
                <w:color w:val="FFFFFF"/>
                <w:sz w:val="18"/>
              </w:rPr>
              <w:t>Medium</w:t>
            </w:r>
          </w:p>
        </w:tc>
        <w:tc>
          <w:tcPr>
            <w:tcW w:type="dxa" w:w="2270"/>
            <w:shd w:val="clear" w:color="auto" w:fill="1F3A5F"/>
          </w:tcPr>
          <w:p>
            <w:pPr>
              <w:spacing w:before="0" w:after="0" w:line="252" w:lineRule="auto"/>
            </w:pPr>
            <w:r>
              <w:rPr>
                <w:b/>
                <w:color w:val="FFFFFF"/>
                <w:sz w:val="18"/>
              </w:rPr>
              <w:t>High</w:t>
            </w:r>
          </w:p>
        </w:tc>
      </w:tr>
      <w:tr>
        <w:trPr>
          <w:cantSplit w:val="true"/>
        </w:trPr>
        <w:tc>
          <w:tcPr>
            <w:tcW w:type="dxa" w:w="2270"/>
          </w:tcPr>
          <w:p>
            <w:pPr>
              <w:spacing w:before="0" w:after="0" w:line="252" w:lineRule="auto"/>
            </w:pPr>
            <w:r>
              <w:rPr>
                <w:b/>
                <w:sz w:val="18"/>
              </w:rPr>
              <w:t>High</w:t>
            </w:r>
          </w:p>
        </w:tc>
        <w:tc>
          <w:tcPr>
            <w:tcW w:type="dxa" w:w="968"/>
          </w:tcPr>
          <w:p>
            <w:pPr>
              <w:spacing w:before="0" w:after="0" w:line="252" w:lineRule="auto"/>
            </w:pPr>
            <w:r>
              <w:rPr>
                <w:sz w:val="18"/>
              </w:rPr>
              <w:t>–</w:t>
            </w:r>
          </w:p>
        </w:tc>
        <w:tc>
          <w:tcPr>
            <w:tcW w:type="dxa" w:w="4130"/>
          </w:tcPr>
          <w:p>
            <w:pPr>
              <w:spacing w:before="0" w:after="0" w:line="252" w:lineRule="auto"/>
            </w:pPr>
            <w:r>
              <w:rPr>
                <w:sz w:val="18"/>
              </w:rPr>
              <w:t>R6</w:t>
            </w:r>
          </w:p>
        </w:tc>
        <w:tc>
          <w:tcPr>
            <w:tcW w:type="dxa" w:w="2270"/>
          </w:tcPr>
          <w:p>
            <w:pPr>
              <w:spacing w:before="0" w:after="0" w:line="252" w:lineRule="auto"/>
            </w:pPr>
            <w:r>
              <w:rPr>
                <w:b/>
                <w:sz w:val="18"/>
              </w:rPr>
              <w:t>R1, R2, R3</w:t>
            </w:r>
          </w:p>
        </w:tc>
      </w:tr>
      <w:tr>
        <w:trPr>
          <w:cantSplit w:val="true"/>
        </w:trPr>
        <w:tc>
          <w:tcPr>
            <w:tcW w:type="dxa" w:w="2270"/>
            <w:shd w:val="clear" w:color="auto" w:fill="F2F5F9"/>
          </w:tcPr>
          <w:p>
            <w:pPr>
              <w:spacing w:before="0" w:after="0" w:line="252" w:lineRule="auto"/>
            </w:pPr>
            <w:r>
              <w:rPr>
                <w:b/>
                <w:sz w:val="18"/>
              </w:rPr>
              <w:t>Medium</w:t>
            </w:r>
          </w:p>
        </w:tc>
        <w:tc>
          <w:tcPr>
            <w:tcW w:type="dxa" w:w="968"/>
            <w:shd w:val="clear" w:color="auto" w:fill="F2F5F9"/>
          </w:tcPr>
          <w:p>
            <w:pPr>
              <w:spacing w:before="0" w:after="0" w:line="252" w:lineRule="auto"/>
            </w:pPr>
            <w:r>
              <w:rPr>
                <w:sz w:val="18"/>
              </w:rPr>
              <w:t>R10</w:t>
            </w:r>
          </w:p>
        </w:tc>
        <w:tc>
          <w:tcPr>
            <w:tcW w:type="dxa" w:w="4130"/>
            <w:shd w:val="clear" w:color="auto" w:fill="F2F5F9"/>
          </w:tcPr>
          <w:p>
            <w:pPr>
              <w:spacing w:before="0" w:after="0" w:line="252" w:lineRule="auto"/>
            </w:pPr>
            <w:r>
              <w:rPr>
                <w:sz w:val="18"/>
              </w:rPr>
              <w:t>R7, R8, R9, R11, R12</w:t>
            </w:r>
          </w:p>
        </w:tc>
        <w:tc>
          <w:tcPr>
            <w:tcW w:type="dxa" w:w="2270"/>
            <w:shd w:val="clear" w:color="auto" w:fill="F2F5F9"/>
          </w:tcPr>
          <w:p>
            <w:pPr>
              <w:spacing w:before="0" w:after="0" w:line="252" w:lineRule="auto"/>
            </w:pPr>
            <w:r>
              <w:rPr>
                <w:sz w:val="18"/>
              </w:rPr>
              <w:t>R4, R5</w:t>
            </w:r>
          </w:p>
        </w:tc>
      </w:tr>
      <w:tr>
        <w:trPr>
          <w:cantSplit w:val="true"/>
        </w:trPr>
        <w:tc>
          <w:tcPr>
            <w:tcW w:type="dxa" w:w="2270"/>
          </w:tcPr>
          <w:p>
            <w:pPr>
              <w:spacing w:before="0" w:after="0" w:line="252" w:lineRule="auto"/>
            </w:pPr>
            <w:r>
              <w:rPr>
                <w:b/>
                <w:sz w:val="18"/>
              </w:rPr>
              <w:t>Low</w:t>
            </w:r>
          </w:p>
        </w:tc>
        <w:tc>
          <w:tcPr>
            <w:tcW w:type="dxa" w:w="968"/>
          </w:tcPr>
          <w:p>
            <w:pPr>
              <w:spacing w:before="0" w:after="0" w:line="252" w:lineRule="auto"/>
            </w:pPr>
            <w:r>
              <w:rPr>
                <w:sz w:val="18"/>
              </w:rPr>
              <w:t>–</w:t>
            </w:r>
          </w:p>
        </w:tc>
        <w:tc>
          <w:tcPr>
            <w:tcW w:type="dxa" w:w="4130"/>
          </w:tcPr>
          <w:p>
            <w:pPr>
              <w:spacing w:before="0" w:after="0" w:line="252" w:lineRule="auto"/>
            </w:pPr>
            <w:r>
              <w:rPr>
                <w:sz w:val="18"/>
              </w:rPr>
              <w:t>–</w:t>
            </w:r>
          </w:p>
        </w:tc>
        <w:tc>
          <w:tcPr>
            <w:tcW w:type="dxa" w:w="2270"/>
          </w:tcPr>
          <w:p>
            <w:pPr>
              <w:spacing w:before="0" w:after="0" w:line="252" w:lineRule="auto"/>
            </w:pPr>
            <w:r>
              <w:rPr>
                <w:sz w:val="18"/>
              </w:rPr>
              <w:t>–</w:t>
            </w:r>
          </w:p>
        </w:tc>
      </w:tr>
    </w:tbl>
    <w:p>
      <w:pPr>
        <w:spacing w:before="0" w:after="40" w:line="240" w:lineRule="auto"/>
      </w:pPr>
    </w:p>
    <w:p>
      <w:r>
        <w:t>The top-right risks (R1–R3) are commercial, not technical. They are also the ones a small due-diligence phase can test cheaply.</w:t>
      </w:r>
    </w:p>
    <w:p>
      <w:r>
        <w:br w:type="page"/>
      </w:r>
    </w:p>
    <w:p>
      <w:pPr>
        <w:pStyle w:val="Heading1"/>
      </w:pPr>
      <w:r>
        <w:t>11. Conclusion and next steps</w:t>
      </w:r>
    </w:p>
    <w:p>
      <w:pPr>
        <w:pStyle w:val="Heading2"/>
      </w:pPr>
      <w:r>
        <w:t>11.1 Conclusion</w:t>
      </w:r>
    </w:p>
    <w:p>
      <w:pPr>
        <w:tabs>
          <w:tab w:pos="425" w:val="left"/>
        </w:tabs>
        <w:spacing w:before="0" w:after="60" w:line="276" w:lineRule="auto"/>
        <w:ind w:left="425" w:hanging="340"/>
      </w:pPr>
      <w:r>
        <w:t>1.</w:t>
        <w:tab/>
      </w:r>
      <w:r>
        <w:rPr>
          <w:b/>
        </w:rPr>
        <w:t>A stand-alone circular ready-mix plant in the Netherlands is NOT VIABLE</w:t>
      </w:r>
      <w:r>
        <w:t xml:space="preserve"> under criteria fixed in advance. NPV −€5.33M, IRR −13.9%, no payback in 10 years, 0 of 6 robustness tests passed.</w:t>
      </w:r>
    </w:p>
    <w:p>
      <w:pPr>
        <w:tabs>
          <w:tab w:pos="425" w:val="left"/>
        </w:tabs>
        <w:spacing w:before="0" w:after="60" w:line="276" w:lineRule="auto"/>
        <w:ind w:left="425" w:hanging="340"/>
      </w:pPr>
      <w:r>
        <w:t>2.</w:t>
        <w:tab/>
      </w:r>
      <w:r>
        <w:rPr>
          <w:b/>
        </w:rPr>
        <w:t>The circular product is not the problem.</w:t>
      </w:r>
      <w:r>
        <w:t xml:space="preserve"> It is €2.5/m³ cheaper to make than the Dutch standard. The problem is a thin ready-mix margin (€4.6/m³ EBITDA) that cannot carry €5.5M of new capex in a mature, consolidating market.</w:t>
      </w:r>
    </w:p>
    <w:p>
      <w:pPr>
        <w:tabs>
          <w:tab w:pos="425" w:val="left"/>
        </w:tabs>
        <w:spacing w:before="0" w:after="60" w:line="276" w:lineRule="auto"/>
        <w:ind w:left="425" w:hanging="340"/>
      </w:pPr>
      <w:r>
        <w:t>3.</w:t>
        <w:tab/>
      </w:r>
      <w:r>
        <w:rPr>
          <w:b/>
        </w:rPr>
        <w:t>"Green" adds little cash.</w:t>
      </w:r>
      <w:r>
        <w:t xml:space="preserve"> CO₂ is about the same as the Dutch CEM III/B standard; cash premiums are small and two-sided; tender rewards go mainly to contractors.</w:t>
      </w:r>
    </w:p>
    <w:p>
      <w:pPr>
        <w:tabs>
          <w:tab w:pos="425" w:val="left"/>
        </w:tabs>
        <w:spacing w:before="0" w:after="60" w:line="276" w:lineRule="auto"/>
        <w:ind w:left="425" w:hanging="340"/>
      </w:pPr>
      <w:r>
        <w:t>4.</w:t>
        <w:tab/>
      </w:r>
      <w:r>
        <w:rPr>
          <w:b/>
        </w:rPr>
        <w:t>No route is investable on present evidence.</w:t>
      </w:r>
      <w:r>
        <w:t xml:space="preserve"> The integrated acquisition route (P2) comes closest, but its range is −€6.8M to −€1.4M. Break-even would need a gate fee of ~€15–30/t against €0–1/t in the market.</w:t>
      </w:r>
    </w:p>
    <w:p>
      <w:pPr>
        <w:tabs>
          <w:tab w:pos="425" w:val="left"/>
        </w:tabs>
        <w:spacing w:before="0" w:after="60" w:line="276" w:lineRule="auto"/>
        <w:ind w:left="425" w:hanging="340"/>
      </w:pPr>
      <w:r>
        <w:t>5.</w:t>
        <w:tab/>
      </w:r>
      <w:r>
        <w:rPr>
          <w:b/>
        </w:rPr>
        <w:t>The verdict is robust.</w:t>
      </w:r>
      <w:r>
        <w:t xml:space="preserve"> Undoing all conservative modelling choices still gives −€3.4M. The likely error in the #1 driver (price) points to a worse result.</w:t>
      </w:r>
    </w:p>
    <w:p>
      <w:pPr>
        <w:pStyle w:val="Heading2"/>
      </w:pPr>
      <w:r>
        <w:t>11.2 Recommendation</w:t>
      </w:r>
    </w:p>
    <w:p>
      <w:pPr>
        <w:pStyle w:val="ListBullet"/>
      </w:pPr>
      <w:r>
        <w:rPr>
          <w:b/>
        </w:rPr>
        <w:t>Do not invest</w:t>
      </w:r>
      <w:r>
        <w:t xml:space="preserve"> in a greenfield plant or in an acquisition on present evidence.</w:t>
      </w:r>
    </w:p>
    <w:p>
      <w:pPr>
        <w:pStyle w:val="ListBullet"/>
      </w:pPr>
      <w:r>
        <w:rPr>
          <w:b/>
        </w:rPr>
        <w:t>If the founders want to pursue the idea:</w:t>
      </w:r>
      <w:r>
        <w:t xml:space="preserve"> fund only a </w:t>
      </w:r>
      <w:r>
        <w:rPr>
          <w:b/>
        </w:rPr>
        <w:t>€50–100k due-diligence phase</w:t>
      </w:r>
      <w:r>
        <w:t xml:space="preserve"> (Q4 2026 – Q2 2027) to test gates A–C. Stop if any gate fails.</w:t>
      </w:r>
    </w:p>
    <w:p>
      <w:pPr>
        <w:pStyle w:val="Heading2"/>
      </w:pPr>
      <w:r>
        <w:t>11.3 What the due-diligence phase should find out</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3574"/>
        <w:gridCol w:w="2449"/>
        <w:gridCol w:w="3613"/>
      </w:tblGrid>
      <w:tr>
        <w:trPr>
          <w:cantSplit w:val="true"/>
          <w:tblHeader w:val="true"/>
        </w:trPr>
        <w:tc>
          <w:tcPr>
            <w:tcW w:type="dxa" w:w="3574"/>
            <w:shd w:val="clear" w:color="auto" w:fill="1F3A5F"/>
          </w:tcPr>
          <w:p>
            <w:pPr>
              <w:spacing w:before="0" w:after="0" w:line="252" w:lineRule="auto"/>
            </w:pPr>
            <w:r>
              <w:rPr>
                <w:b/>
                <w:color w:val="FFFFFF"/>
                <w:sz w:val="18"/>
              </w:rPr>
              <w:t>Question</w:t>
            </w:r>
          </w:p>
        </w:tc>
        <w:tc>
          <w:tcPr>
            <w:tcW w:type="dxa" w:w="2450"/>
            <w:shd w:val="clear" w:color="auto" w:fill="1F3A5F"/>
          </w:tcPr>
          <w:p>
            <w:pPr>
              <w:spacing w:before="0" w:after="0" w:line="252" w:lineRule="auto"/>
            </w:pPr>
            <w:r>
              <w:rPr>
                <w:b/>
                <w:color w:val="FFFFFF"/>
                <w:sz w:val="18"/>
              </w:rPr>
              <w:t>How</w:t>
            </w:r>
          </w:p>
        </w:tc>
        <w:tc>
          <w:tcPr>
            <w:tcW w:type="dxa" w:w="3614"/>
            <w:shd w:val="clear" w:color="auto" w:fill="1F3A5F"/>
          </w:tcPr>
          <w:p>
            <w:pPr>
              <w:spacing w:before="0" w:after="0" w:line="252" w:lineRule="auto"/>
            </w:pPr>
            <w:r>
              <w:rPr>
                <w:b/>
                <w:color w:val="FFFFFF"/>
                <w:sz w:val="18"/>
              </w:rPr>
              <w:t>Why it matters</w:t>
            </w:r>
          </w:p>
        </w:tc>
      </w:tr>
      <w:tr>
        <w:trPr>
          <w:cantSplit w:val="true"/>
        </w:trPr>
        <w:tc>
          <w:tcPr>
            <w:tcW w:type="dxa" w:w="3574"/>
          </w:tcPr>
          <w:p>
            <w:pPr>
              <w:spacing w:before="0" w:after="0" w:line="252" w:lineRule="auto"/>
            </w:pPr>
            <w:r>
              <w:rPr>
                <w:sz w:val="18"/>
              </w:rPr>
              <w:t>Real project prices by strength class</w:t>
            </w:r>
          </w:p>
        </w:tc>
        <w:tc>
          <w:tcPr>
            <w:tcW w:type="dxa" w:w="2450"/>
          </w:tcPr>
          <w:p>
            <w:pPr>
              <w:spacing w:before="0" w:after="0" w:line="252" w:lineRule="auto"/>
            </w:pPr>
            <w:r>
              <w:rPr>
                <w:sz w:val="18"/>
              </w:rPr>
              <w:t>Interviews with 2–3 contractor buyers</w:t>
            </w:r>
          </w:p>
        </w:tc>
        <w:tc>
          <w:tcPr>
            <w:tcW w:type="dxa" w:w="3614"/>
          </w:tcPr>
          <w:p>
            <w:pPr>
              <w:spacing w:before="0" w:after="0" w:line="252" w:lineRule="auto"/>
            </w:pPr>
            <w:r>
              <w:rPr>
                <w:sz w:val="18"/>
              </w:rPr>
              <w:t>#1 driver: €1/m³ ≈ €0.36M NPV (P2)</w:t>
            </w:r>
          </w:p>
        </w:tc>
      </w:tr>
      <w:tr>
        <w:trPr>
          <w:cantSplit w:val="true"/>
        </w:trPr>
        <w:tc>
          <w:tcPr>
            <w:tcW w:type="dxa" w:w="3574"/>
            <w:shd w:val="clear" w:color="auto" w:fill="F2F5F9"/>
          </w:tcPr>
          <w:p>
            <w:pPr>
              <w:spacing w:before="0" w:after="0" w:line="252" w:lineRule="auto"/>
            </w:pPr>
            <w:r>
              <w:rPr>
                <w:sz w:val="18"/>
              </w:rPr>
              <w:t>Bulk gate fees for clean rubble and steel ownership</w:t>
            </w:r>
          </w:p>
        </w:tc>
        <w:tc>
          <w:tcPr>
            <w:tcW w:type="dxa" w:w="2450"/>
            <w:shd w:val="clear" w:color="auto" w:fill="F2F5F9"/>
          </w:tcPr>
          <w:p>
            <w:pPr>
              <w:spacing w:before="0" w:after="0" w:line="252" w:lineRule="auto"/>
            </w:pPr>
            <w:r>
              <w:rPr>
                <w:sz w:val="18"/>
              </w:rPr>
              <w:t>Talks with 2 demolition firms</w:t>
            </w:r>
          </w:p>
        </w:tc>
        <w:tc>
          <w:tcPr>
            <w:tcW w:type="dxa" w:w="3614"/>
            <w:shd w:val="clear" w:color="auto" w:fill="F2F5F9"/>
          </w:tcPr>
          <w:p>
            <w:pPr>
              <w:spacing w:before="0" w:after="0" w:line="252" w:lineRule="auto"/>
            </w:pPr>
            <w:r>
              <w:rPr>
                <w:sz w:val="18"/>
              </w:rPr>
              <w:t>Gate fee €0 → €10/t = €1.4M NPV on P2; NPV = 0 needs ≈ €30/t</w:t>
            </w:r>
          </w:p>
        </w:tc>
      </w:tr>
      <w:tr>
        <w:trPr>
          <w:cantSplit w:val="true"/>
        </w:trPr>
        <w:tc>
          <w:tcPr>
            <w:tcW w:type="dxa" w:w="3574"/>
          </w:tcPr>
          <w:p>
            <w:pPr>
              <w:spacing w:before="0" w:after="0" w:line="252" w:lineRule="auto"/>
            </w:pPr>
            <w:r>
              <w:rPr>
                <w:sz w:val="18"/>
              </w:rPr>
              <w:t>Prices of small Dutch ready-mix plants and expansion cost</w:t>
            </w:r>
          </w:p>
        </w:tc>
        <w:tc>
          <w:tcPr>
            <w:tcW w:type="dxa" w:w="2450"/>
          </w:tcPr>
          <w:p>
            <w:pPr>
              <w:spacing w:before="0" w:after="0" w:line="252" w:lineRule="auto"/>
            </w:pPr>
            <w:r>
              <w:rPr>
                <w:sz w:val="18"/>
              </w:rPr>
              <w:t>1–2 M&amp;A advisers; equipment quotes</w:t>
            </w:r>
          </w:p>
        </w:tc>
        <w:tc>
          <w:tcPr>
            <w:tcW w:type="dxa" w:w="3614"/>
          </w:tcPr>
          <w:p>
            <w:pPr>
              <w:spacing w:before="0" w:after="0" w:line="252" w:lineRule="auto"/>
            </w:pPr>
            <w:r>
              <w:rPr>
                <w:sz w:val="18"/>
              </w:rPr>
              <w:t>Purchase €1.5–4.0M = €2.6M NPV range on P2</w:t>
            </w:r>
          </w:p>
        </w:tc>
      </w:tr>
      <w:tr>
        <w:trPr>
          <w:cantSplit w:val="true"/>
        </w:trPr>
        <w:tc>
          <w:tcPr>
            <w:tcW w:type="dxa" w:w="3574"/>
            <w:shd w:val="clear" w:color="auto" w:fill="F2F5F9"/>
          </w:tcPr>
          <w:p>
            <w:pPr>
              <w:spacing w:before="0" w:after="0" w:line="252" w:lineRule="auto"/>
            </w:pPr>
            <w:r>
              <w:rPr>
                <w:sz w:val="18"/>
              </w:rPr>
              <w:t>Delivered prices of gravel, sand, RCA, cement in Zuid-Holland</w:t>
            </w:r>
          </w:p>
        </w:tc>
        <w:tc>
          <w:tcPr>
            <w:tcW w:type="dxa" w:w="2450"/>
            <w:shd w:val="clear" w:color="auto" w:fill="F2F5F9"/>
          </w:tcPr>
          <w:p>
            <w:pPr>
              <w:spacing w:before="0" w:after="0" w:line="252" w:lineRule="auto"/>
            </w:pPr>
            <w:r>
              <w:rPr>
                <w:sz w:val="18"/>
              </w:rPr>
              <w:t>One plant buyer; supplier quotes</w:t>
            </w:r>
          </w:p>
        </w:tc>
        <w:tc>
          <w:tcPr>
            <w:tcW w:type="dxa" w:w="3614"/>
            <w:shd w:val="clear" w:color="auto" w:fill="F2F5F9"/>
          </w:tcPr>
          <w:p>
            <w:pPr>
              <w:spacing w:before="0" w:after="0" w:line="252" w:lineRule="auto"/>
            </w:pPr>
            <w:r>
              <w:rPr>
                <w:sz w:val="18"/>
              </w:rPr>
              <w:t>Gravel and cement each swing NPV by ~€4M</w:t>
            </w:r>
          </w:p>
        </w:tc>
      </w:tr>
      <w:tr>
        <w:trPr>
          <w:cantSplit w:val="true"/>
        </w:trPr>
        <w:tc>
          <w:tcPr>
            <w:tcW w:type="dxa" w:w="3574"/>
          </w:tcPr>
          <w:p>
            <w:pPr>
              <w:spacing w:before="0" w:after="0" w:line="252" w:lineRule="auto"/>
            </w:pPr>
            <w:r>
              <w:rPr>
                <w:sz w:val="18"/>
              </w:rPr>
              <w:t>Truck-mixer subcontract rates and real loads</w:t>
            </w:r>
          </w:p>
        </w:tc>
        <w:tc>
          <w:tcPr>
            <w:tcW w:type="dxa" w:w="2450"/>
          </w:tcPr>
          <w:p>
            <w:pPr>
              <w:spacing w:before="0" w:after="0" w:line="252" w:lineRule="auto"/>
            </w:pPr>
            <w:r>
              <w:rPr>
                <w:sz w:val="18"/>
              </w:rPr>
              <w:t>One haulier</w:t>
            </w:r>
          </w:p>
        </w:tc>
        <w:tc>
          <w:tcPr>
            <w:tcW w:type="dxa" w:w="3614"/>
          </w:tcPr>
          <w:p>
            <w:pPr>
              <w:spacing w:before="0" w:after="0" w:line="252" w:lineRule="auto"/>
            </w:pPr>
            <w:r>
              <w:rPr>
                <w:sz w:val="18"/>
              </w:rPr>
              <w:t>Delivery is the second-largest cost</w:t>
            </w:r>
          </w:p>
        </w:tc>
      </w:tr>
      <w:tr>
        <w:trPr>
          <w:cantSplit w:val="true"/>
        </w:trPr>
        <w:tc>
          <w:tcPr>
            <w:tcW w:type="dxa" w:w="3574"/>
            <w:shd w:val="clear" w:color="auto" w:fill="F2F5F9"/>
          </w:tcPr>
          <w:p>
            <w:pPr>
              <w:spacing w:before="0" w:after="0" w:line="252" w:lineRule="auto"/>
            </w:pPr>
            <w:r>
              <w:rPr>
                <w:sz w:val="18"/>
              </w:rPr>
              <w:t>GWW-decree ceiling levels (2028)</w:t>
            </w:r>
          </w:p>
        </w:tc>
        <w:tc>
          <w:tcPr>
            <w:tcW w:type="dxa" w:w="2450"/>
            <w:shd w:val="clear" w:color="auto" w:fill="F2F5F9"/>
          </w:tcPr>
          <w:p>
            <w:pPr>
              <w:spacing w:before="0" w:after="0" w:line="252" w:lineRule="auto"/>
            </w:pPr>
            <w:r>
              <w:rPr>
                <w:sz w:val="18"/>
              </w:rPr>
              <w:t>Ministry / CROW publications</w:t>
            </w:r>
          </w:p>
        </w:tc>
        <w:tc>
          <w:tcPr>
            <w:tcW w:type="dxa" w:w="3614"/>
            <w:shd w:val="clear" w:color="auto" w:fill="F2F5F9"/>
          </w:tcPr>
          <w:p>
            <w:pPr>
              <w:spacing w:before="0" w:after="0" w:line="252" w:lineRule="auto"/>
            </w:pPr>
            <w:r>
              <w:rPr>
                <w:sz w:val="18"/>
              </w:rPr>
              <w:t>Decides when a lower-CO₂ binder is needed</w:t>
            </w:r>
          </w:p>
        </w:tc>
      </w:tr>
    </w:tbl>
    <w:p>
      <w:pPr>
        <w:spacing w:before="0" w:after="40" w:line="240" w:lineRule="auto"/>
      </w:pPr>
    </w:p>
    <w:p>
      <w:pPr>
        <w:pStyle w:val="Heading2"/>
      </w:pPr>
      <w:r>
        <w:t>11.4 What would change the conclusion</w:t>
      </w:r>
    </w:p>
    <w:p>
      <w:r>
        <w:t xml:space="preserve">The conclusion would change only if </w:t>
      </w:r>
      <w:r>
        <w:rPr>
          <w:b/>
        </w:rPr>
        <w:t>several</w:t>
      </w:r>
      <w:r>
        <w:t xml:space="preserve"> of these turn out much better than today's evidence at the same time: a plant-average price well above €145/m³; a rubble contract paying €15–30/t; a plant at ≤ €2.0M with a large customer book; and signed volume close to 90,000 m³/yr. A single favourable finding is not enough.</w:t>
      </w:r>
    </w:p>
    <w:p>
      <w:r>
        <w:br w:type="page"/>
      </w:r>
    </w:p>
    <w:p>
      <w:pPr>
        <w:pStyle w:val="Heading1"/>
      </w:pPr>
      <w:r>
        <w:t>Appendix A — Key assumptions</w:t>
      </w:r>
    </w:p>
    <w:p>
      <w:r>
        <w:t xml:space="preserve">The full register has </w:t>
      </w:r>
      <w:r>
        <w:rPr>
          <w:b/>
        </w:rPr>
        <w:t>207 assumptions</w:t>
      </w:r>
      <w:r>
        <w:t xml:space="preserve"> with reasoning and confidence: </w:t>
      </w:r>
      <w:r>
        <w:rPr>
          <w:rFonts w:ascii="Consolas" w:hAnsi="Consolas" w:eastAsia="Consolas"/>
          <w:color w:val="6B6B6B"/>
          <w:sz w:val="18"/>
        </w:rPr>
        <w:t>research/assumptions.md</w:t>
      </w:r>
      <w:r>
        <w:t xml:space="preserve">. Machine-readable inputs: </w:t>
      </w:r>
      <w:r>
        <w:rPr>
          <w:rFonts w:ascii="Consolas" w:hAnsi="Consolas" w:eastAsia="Consolas"/>
          <w:color w:val="6B6B6B"/>
          <w:sz w:val="18"/>
        </w:rPr>
        <w:t>model/inputs.csv</w:t>
      </w:r>
      <w:r>
        <w:t>. Confidence: H = high, M = medium, L = low.</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1133"/>
        <w:gridCol w:w="2574"/>
        <w:gridCol w:w="1039"/>
        <w:gridCol w:w="1233"/>
        <w:gridCol w:w="1150"/>
        <w:gridCol w:w="1016"/>
        <w:gridCol w:w="1490"/>
      </w:tblGrid>
      <w:tr>
        <w:trPr>
          <w:cantSplit w:val="true"/>
          <w:tblHeader w:val="true"/>
        </w:trPr>
        <w:tc>
          <w:tcPr>
            <w:tcW w:type="dxa" w:w="1133"/>
            <w:shd w:val="clear" w:color="auto" w:fill="1F3A5F"/>
          </w:tcPr>
          <w:p>
            <w:pPr>
              <w:spacing w:before="0" w:after="0" w:line="252" w:lineRule="auto"/>
            </w:pPr>
            <w:r>
              <w:rPr>
                <w:b/>
                <w:color w:val="FFFFFF"/>
                <w:sz w:val="17"/>
              </w:rPr>
              <w:t>ID</w:t>
            </w:r>
          </w:p>
        </w:tc>
        <w:tc>
          <w:tcPr>
            <w:tcW w:type="dxa" w:w="2574"/>
            <w:shd w:val="clear" w:color="auto" w:fill="1F3A5F"/>
          </w:tcPr>
          <w:p>
            <w:pPr>
              <w:spacing w:before="0" w:after="0" w:line="252" w:lineRule="auto"/>
            </w:pPr>
            <w:r>
              <w:rPr>
                <w:b/>
                <w:color w:val="FFFFFF"/>
                <w:sz w:val="17"/>
              </w:rPr>
              <w:t>Assumption</w:t>
            </w:r>
          </w:p>
        </w:tc>
        <w:tc>
          <w:tcPr>
            <w:tcW w:type="dxa" w:w="1040"/>
            <w:shd w:val="clear" w:color="auto" w:fill="1F3A5F"/>
          </w:tcPr>
          <w:p>
            <w:pPr>
              <w:spacing w:before="0" w:after="0" w:line="252" w:lineRule="auto"/>
            </w:pPr>
            <w:r>
              <w:rPr>
                <w:b/>
                <w:color w:val="FFFFFF"/>
                <w:sz w:val="17"/>
              </w:rPr>
              <w:t>Low</w:t>
            </w:r>
          </w:p>
        </w:tc>
        <w:tc>
          <w:tcPr>
            <w:tcW w:type="dxa" w:w="1233"/>
            <w:shd w:val="clear" w:color="auto" w:fill="1F3A5F"/>
          </w:tcPr>
          <w:p>
            <w:pPr>
              <w:spacing w:before="0" w:after="0" w:line="252" w:lineRule="auto"/>
            </w:pPr>
            <w:r>
              <w:rPr>
                <w:b/>
                <w:color w:val="FFFFFF"/>
                <w:sz w:val="17"/>
              </w:rPr>
              <w:t>Base</w:t>
            </w:r>
          </w:p>
        </w:tc>
        <w:tc>
          <w:tcPr>
            <w:tcW w:type="dxa" w:w="1150"/>
            <w:shd w:val="clear" w:color="auto" w:fill="1F3A5F"/>
          </w:tcPr>
          <w:p>
            <w:pPr>
              <w:spacing w:before="0" w:after="0" w:line="252" w:lineRule="auto"/>
            </w:pPr>
            <w:r>
              <w:rPr>
                <w:b/>
                <w:color w:val="FFFFFF"/>
                <w:sz w:val="17"/>
              </w:rPr>
              <w:t>High</w:t>
            </w:r>
          </w:p>
        </w:tc>
        <w:tc>
          <w:tcPr>
            <w:tcW w:type="dxa" w:w="1017"/>
            <w:shd w:val="clear" w:color="auto" w:fill="1F3A5F"/>
          </w:tcPr>
          <w:p>
            <w:pPr>
              <w:spacing w:before="0" w:after="0" w:line="252" w:lineRule="auto"/>
            </w:pPr>
            <w:r>
              <w:rPr>
                <w:b/>
                <w:color w:val="FFFFFF"/>
                <w:sz w:val="17"/>
              </w:rPr>
              <w:t>Unit</w:t>
            </w:r>
          </w:p>
        </w:tc>
        <w:tc>
          <w:tcPr>
            <w:tcW w:type="dxa" w:w="1490"/>
            <w:shd w:val="clear" w:color="auto" w:fill="1F3A5F"/>
          </w:tcPr>
          <w:p>
            <w:pPr>
              <w:spacing w:before="0" w:after="0" w:line="252" w:lineRule="auto"/>
            </w:pPr>
            <w:r>
              <w:rPr>
                <w:b/>
                <w:color w:val="FFFFFF"/>
                <w:sz w:val="17"/>
              </w:rPr>
              <w:t>Label / confidence</w:t>
            </w:r>
          </w:p>
        </w:tc>
      </w:tr>
      <w:tr>
        <w:trPr>
          <w:cantSplit w:val="true"/>
        </w:trPr>
        <w:tc>
          <w:tcPr>
            <w:tcW w:type="dxa" w:w="1133"/>
          </w:tcPr>
          <w:p>
            <w:pPr>
              <w:spacing w:before="0" w:after="0" w:line="252" w:lineRule="auto"/>
            </w:pPr>
            <w:r>
              <w:rPr>
                <w:sz w:val="17"/>
              </w:rPr>
              <w:t>A-MKT-16</w:t>
            </w:r>
          </w:p>
        </w:tc>
        <w:tc>
          <w:tcPr>
            <w:tcW w:type="dxa" w:w="2574"/>
          </w:tcPr>
          <w:p>
            <w:pPr>
              <w:spacing w:before="0" w:after="0" w:line="252" w:lineRule="auto"/>
            </w:pPr>
            <w:r>
              <w:rPr>
                <w:sz w:val="17"/>
              </w:rPr>
              <w:t>Plant-average ready-mix price, delivered, all classes</w:t>
            </w:r>
          </w:p>
        </w:tc>
        <w:tc>
          <w:tcPr>
            <w:tcW w:type="dxa" w:w="1040"/>
          </w:tcPr>
          <w:p>
            <w:pPr>
              <w:spacing w:before="0" w:after="0" w:line="252" w:lineRule="auto"/>
              <w:jc w:val="center"/>
            </w:pPr>
            <w:r>
              <w:rPr>
                <w:sz w:val="17"/>
              </w:rPr>
              <w:t>115</w:t>
            </w:r>
          </w:p>
        </w:tc>
        <w:tc>
          <w:tcPr>
            <w:tcW w:type="dxa" w:w="1233"/>
          </w:tcPr>
          <w:p>
            <w:pPr>
              <w:spacing w:before="0" w:after="0" w:line="252" w:lineRule="auto"/>
              <w:jc w:val="center"/>
            </w:pPr>
            <w:r>
              <w:rPr>
                <w:b/>
                <w:sz w:val="17"/>
              </w:rPr>
              <w:t>135</w:t>
            </w:r>
          </w:p>
        </w:tc>
        <w:tc>
          <w:tcPr>
            <w:tcW w:type="dxa" w:w="1150"/>
          </w:tcPr>
          <w:p>
            <w:pPr>
              <w:spacing w:before="0" w:after="0" w:line="252" w:lineRule="auto"/>
              <w:jc w:val="center"/>
            </w:pPr>
            <w:r>
              <w:rPr>
                <w:sz w:val="17"/>
              </w:rPr>
              <w:t>155</w:t>
            </w:r>
          </w:p>
        </w:tc>
        <w:tc>
          <w:tcPr>
            <w:tcW w:type="dxa" w:w="1017"/>
          </w:tcPr>
          <w:p>
            <w:pPr>
              <w:spacing w:before="0" w:after="0" w:line="252" w:lineRule="auto"/>
            </w:pPr>
            <w:r>
              <w:rPr>
                <w:sz w:val="17"/>
              </w:rPr>
              <w:t>€/m³</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A-FIX-03</w:t>
            </w:r>
          </w:p>
        </w:tc>
        <w:tc>
          <w:tcPr>
            <w:tcW w:type="dxa" w:w="2574"/>
            <w:shd w:val="clear" w:color="auto" w:fill="F2F5F9"/>
          </w:tcPr>
          <w:p>
            <w:pPr>
              <w:spacing w:before="0" w:after="0" w:line="252" w:lineRule="auto"/>
            </w:pPr>
            <w:r>
              <w:rPr>
                <w:sz w:val="17"/>
              </w:rPr>
              <w:t>Green premium, public circular volume (40% of sales)</w:t>
            </w:r>
          </w:p>
        </w:tc>
        <w:tc>
          <w:tcPr>
            <w:tcW w:type="dxa" w:w="1040"/>
            <w:shd w:val="clear" w:color="auto" w:fill="F2F5F9"/>
          </w:tcPr>
          <w:p>
            <w:pPr>
              <w:spacing w:before="0" w:after="0" w:line="252" w:lineRule="auto"/>
              <w:jc w:val="center"/>
            </w:pPr>
            <w:r>
              <w:rPr>
                <w:sz w:val="17"/>
              </w:rPr>
              <w:t>0</w:t>
            </w:r>
          </w:p>
        </w:tc>
        <w:tc>
          <w:tcPr>
            <w:tcW w:type="dxa" w:w="1233"/>
            <w:shd w:val="clear" w:color="auto" w:fill="F2F5F9"/>
          </w:tcPr>
          <w:p>
            <w:pPr>
              <w:spacing w:before="0" w:after="0" w:line="252" w:lineRule="auto"/>
              <w:jc w:val="center"/>
            </w:pPr>
            <w:r>
              <w:rPr>
                <w:b/>
                <w:sz w:val="17"/>
              </w:rPr>
              <w:t>1.5</w:t>
            </w:r>
          </w:p>
        </w:tc>
        <w:tc>
          <w:tcPr>
            <w:tcW w:type="dxa" w:w="1150"/>
            <w:shd w:val="clear" w:color="auto" w:fill="F2F5F9"/>
          </w:tcPr>
          <w:p>
            <w:pPr>
              <w:spacing w:before="0" w:after="0" w:line="252" w:lineRule="auto"/>
              <w:jc w:val="center"/>
            </w:pPr>
            <w:r>
              <w:rPr>
                <w:sz w:val="17"/>
              </w:rPr>
              <w:t>3</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A-MKT-26</w:t>
            </w:r>
          </w:p>
        </w:tc>
        <w:tc>
          <w:tcPr>
            <w:tcW w:type="dxa" w:w="2574"/>
          </w:tcPr>
          <w:p>
            <w:pPr>
              <w:spacing w:before="0" w:after="0" w:line="252" w:lineRule="auto"/>
            </w:pPr>
            <w:r>
              <w:rPr>
                <w:sz w:val="17"/>
              </w:rPr>
              <w:t>Green premium, private volume</w:t>
            </w:r>
          </w:p>
        </w:tc>
        <w:tc>
          <w:tcPr>
            <w:tcW w:type="dxa" w:w="1040"/>
          </w:tcPr>
          <w:p>
            <w:pPr>
              <w:spacing w:before="0" w:after="0" w:line="252" w:lineRule="auto"/>
              <w:jc w:val="center"/>
            </w:pPr>
            <w:r>
              <w:rPr>
                <w:sz w:val="17"/>
              </w:rPr>
              <w:t>−2</w:t>
            </w:r>
          </w:p>
        </w:tc>
        <w:tc>
          <w:tcPr>
            <w:tcW w:type="dxa" w:w="1233"/>
          </w:tcPr>
          <w:p>
            <w:pPr>
              <w:spacing w:before="0" w:after="0" w:line="252" w:lineRule="auto"/>
              <w:jc w:val="center"/>
            </w:pPr>
            <w:r>
              <w:rPr>
                <w:b/>
                <w:sz w:val="17"/>
              </w:rPr>
              <w:t>0</w:t>
            </w:r>
          </w:p>
        </w:tc>
        <w:tc>
          <w:tcPr>
            <w:tcW w:type="dxa" w:w="1150"/>
          </w:tcPr>
          <w:p>
            <w:pPr>
              <w:spacing w:before="0" w:after="0" w:line="252" w:lineRule="auto"/>
              <w:jc w:val="center"/>
            </w:pPr>
            <w:r>
              <w:rPr>
                <w:sz w:val="17"/>
              </w:rPr>
              <w:t>3</w:t>
            </w:r>
          </w:p>
        </w:tc>
        <w:tc>
          <w:tcPr>
            <w:tcW w:type="dxa" w:w="1017"/>
          </w:tcPr>
          <w:p>
            <w:pPr>
              <w:spacing w:before="0" w:after="0" w:line="252" w:lineRule="auto"/>
            </w:pPr>
            <w:r>
              <w:rPr>
                <w:sz w:val="17"/>
              </w:rPr>
              <w: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A-TEC-24</w:t>
            </w:r>
          </w:p>
        </w:tc>
        <w:tc>
          <w:tcPr>
            <w:tcW w:type="dxa" w:w="2574"/>
            <w:shd w:val="clear" w:color="auto" w:fill="F2F5F9"/>
          </w:tcPr>
          <w:p>
            <w:pPr>
              <w:spacing w:before="0" w:after="0" w:line="252" w:lineRule="auto"/>
            </w:pPr>
            <w:r>
              <w:rPr>
                <w:sz w:val="17"/>
              </w:rPr>
              <w:t>Steady-state output (from 2030)</w:t>
            </w:r>
          </w:p>
        </w:tc>
        <w:tc>
          <w:tcPr>
            <w:tcW w:type="dxa" w:w="1040"/>
            <w:shd w:val="clear" w:color="auto" w:fill="F2F5F9"/>
          </w:tcPr>
          <w:p>
            <w:pPr>
              <w:spacing w:before="0" w:after="0" w:line="252" w:lineRule="auto"/>
              <w:jc w:val="center"/>
            </w:pPr>
            <w:r>
              <w:rPr>
                <w:sz w:val="17"/>
              </w:rPr>
              <w:t>50</w:t>
            </w:r>
          </w:p>
        </w:tc>
        <w:tc>
          <w:tcPr>
            <w:tcW w:type="dxa" w:w="1233"/>
            <w:shd w:val="clear" w:color="auto" w:fill="F2F5F9"/>
          </w:tcPr>
          <w:p>
            <w:pPr>
              <w:spacing w:before="0" w:after="0" w:line="252" w:lineRule="auto"/>
              <w:jc w:val="center"/>
            </w:pPr>
            <w:r>
              <w:rPr>
                <w:b/>
                <w:sz w:val="17"/>
              </w:rPr>
              <w:t>70</w:t>
            </w:r>
          </w:p>
        </w:tc>
        <w:tc>
          <w:tcPr>
            <w:tcW w:type="dxa" w:w="1150"/>
            <w:shd w:val="clear" w:color="auto" w:fill="F2F5F9"/>
          </w:tcPr>
          <w:p>
            <w:pPr>
              <w:spacing w:before="0" w:after="0" w:line="252" w:lineRule="auto"/>
              <w:jc w:val="center"/>
            </w:pPr>
            <w:r>
              <w:rPr>
                <w:sz w:val="17"/>
              </w:rPr>
              <w:t>90</w:t>
            </w:r>
          </w:p>
        </w:tc>
        <w:tc>
          <w:tcPr>
            <w:tcW w:type="dxa" w:w="1017"/>
            <w:shd w:val="clear" w:color="auto" w:fill="F2F5F9"/>
          </w:tcPr>
          <w:p>
            <w:pPr>
              <w:spacing w:before="0" w:after="0" w:line="252" w:lineRule="auto"/>
            </w:pPr>
            <w:r>
              <w:rPr>
                <w:sz w:val="17"/>
              </w:rPr>
              <w:t>k m³/yr</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A-TEC-44</w:t>
            </w:r>
          </w:p>
        </w:tc>
        <w:tc>
          <w:tcPr>
            <w:tcW w:type="dxa" w:w="2574"/>
          </w:tcPr>
          <w:p>
            <w:pPr>
              <w:spacing w:before="0" w:after="0" w:line="252" w:lineRule="auto"/>
            </w:pPr>
            <w:r>
              <w:rPr>
                <w:sz w:val="17"/>
              </w:rPr>
              <w:t>Share of volume sold as circular mix</w:t>
            </w:r>
          </w:p>
        </w:tc>
        <w:tc>
          <w:tcPr>
            <w:tcW w:type="dxa" w:w="1040"/>
          </w:tcPr>
          <w:p>
            <w:pPr>
              <w:spacing w:before="0" w:after="0" w:line="252" w:lineRule="auto"/>
              <w:jc w:val="center"/>
            </w:pPr>
            <w:r>
              <w:rPr>
                <w:sz w:val="17"/>
              </w:rPr>
              <w:t>40</w:t>
            </w:r>
          </w:p>
        </w:tc>
        <w:tc>
          <w:tcPr>
            <w:tcW w:type="dxa" w:w="1233"/>
          </w:tcPr>
          <w:p>
            <w:pPr>
              <w:spacing w:before="0" w:after="0" w:line="252" w:lineRule="auto"/>
              <w:jc w:val="center"/>
            </w:pPr>
            <w:r>
              <w:rPr>
                <w:b/>
                <w:sz w:val="17"/>
              </w:rPr>
              <w:t>60</w:t>
            </w:r>
          </w:p>
        </w:tc>
        <w:tc>
          <w:tcPr>
            <w:tcW w:type="dxa" w:w="1150"/>
          </w:tcPr>
          <w:p>
            <w:pPr>
              <w:spacing w:before="0" w:after="0" w:line="252" w:lineRule="auto"/>
              <w:jc w:val="center"/>
            </w:pPr>
            <w:r>
              <w:rPr>
                <w:sz w:val="17"/>
              </w:rPr>
              <w:t>80</w:t>
            </w:r>
          </w:p>
        </w:tc>
        <w:tc>
          <w:tcPr>
            <w:tcW w:type="dxa" w:w="1017"/>
          </w:tcPr>
          <w:p>
            <w:pPr>
              <w:spacing w:before="0" w:after="0" w:line="252" w:lineRule="auto"/>
            </w:pPr>
            <w:r>
              <w:rPr>
                <w:sz w:val="17"/>
              </w:rPr>
              <w: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A-FIX-01</w:t>
            </w:r>
          </w:p>
        </w:tc>
        <w:tc>
          <w:tcPr>
            <w:tcW w:type="dxa" w:w="2574"/>
            <w:shd w:val="clear" w:color="auto" w:fill="F2F5F9"/>
          </w:tcPr>
          <w:p>
            <w:pPr>
              <w:spacing w:before="0" w:after="0" w:line="252" w:lineRule="auto"/>
            </w:pPr>
            <w:r>
              <w:rPr>
                <w:sz w:val="17"/>
              </w:rPr>
              <w:t>First sales (permits 2026, build 2027)</w:t>
            </w:r>
          </w:p>
        </w:tc>
        <w:tc>
          <w:tcPr>
            <w:tcW w:type="dxa" w:w="1040"/>
            <w:shd w:val="clear" w:color="auto" w:fill="F2F5F9"/>
          </w:tcPr>
          <w:p>
            <w:pPr>
              <w:spacing w:before="0" w:after="0" w:line="252" w:lineRule="auto"/>
              <w:jc w:val="center"/>
            </w:pPr>
            <w:r>
              <w:rPr>
                <w:sz w:val="17"/>
              </w:rPr>
              <w:t>2027</w:t>
            </w:r>
          </w:p>
        </w:tc>
        <w:tc>
          <w:tcPr>
            <w:tcW w:type="dxa" w:w="1233"/>
            <w:shd w:val="clear" w:color="auto" w:fill="F2F5F9"/>
          </w:tcPr>
          <w:p>
            <w:pPr>
              <w:spacing w:before="0" w:after="0" w:line="252" w:lineRule="auto"/>
              <w:jc w:val="center"/>
            </w:pPr>
            <w:r>
              <w:rPr>
                <w:b/>
                <w:sz w:val="17"/>
              </w:rPr>
              <w:t>2028</w:t>
            </w:r>
          </w:p>
        </w:tc>
        <w:tc>
          <w:tcPr>
            <w:tcW w:type="dxa" w:w="1150"/>
            <w:shd w:val="clear" w:color="auto" w:fill="F2F5F9"/>
          </w:tcPr>
          <w:p>
            <w:pPr>
              <w:spacing w:before="0" w:after="0" w:line="252" w:lineRule="auto"/>
              <w:jc w:val="center"/>
            </w:pPr>
            <w:r>
              <w:rPr>
                <w:sz w:val="17"/>
              </w:rPr>
              <w:t>2029</w:t>
            </w:r>
          </w:p>
        </w:tc>
        <w:tc>
          <w:tcPr>
            <w:tcW w:type="dxa" w:w="1017"/>
            <w:shd w:val="clear" w:color="auto" w:fill="F2F5F9"/>
          </w:tcPr>
          <w:p>
            <w:pPr>
              <w:spacing w:before="0" w:after="0" w:line="252" w:lineRule="auto"/>
            </w:pPr>
            <w:r>
              <w:rPr>
                <w:sz w:val="17"/>
              </w:rPr>
              <w:t>year</w:t>
            </w:r>
          </w:p>
        </w:tc>
        <w:tc>
          <w:tcPr>
            <w:tcW w:type="dxa" w:w="1490"/>
            <w:shd w:val="clear" w:color="auto" w:fill="F2F5F9"/>
          </w:tcPr>
          <w:p>
            <w:pPr>
              <w:spacing w:before="0" w:after="0" w:line="252" w:lineRule="auto"/>
            </w:pPr>
            <w:r>
              <w:rPr>
                <w:sz w:val="17"/>
              </w:rPr>
              <w:t>ASSUMPTION / M</w:t>
            </w:r>
          </w:p>
        </w:tc>
      </w:tr>
      <w:tr>
        <w:trPr>
          <w:cantSplit w:val="true"/>
        </w:trPr>
        <w:tc>
          <w:tcPr>
            <w:tcW w:type="dxa" w:w="1133"/>
          </w:tcPr>
          <w:p>
            <w:pPr>
              <w:spacing w:before="0" w:after="0" w:line="252" w:lineRule="auto"/>
            </w:pPr>
            <w:r>
              <w:rPr>
                <w:sz w:val="17"/>
              </w:rPr>
              <w:t>A-CST-02</w:t>
            </w:r>
          </w:p>
        </w:tc>
        <w:tc>
          <w:tcPr>
            <w:tcW w:type="dxa" w:w="2574"/>
          </w:tcPr>
          <w:p>
            <w:pPr>
              <w:spacing w:before="0" w:after="0" w:line="252" w:lineRule="auto"/>
            </w:pPr>
            <w:r>
              <w:rPr>
                <w:sz w:val="17"/>
              </w:rPr>
              <w:t>Capex: equipment / civil / permits</w:t>
            </w:r>
          </w:p>
        </w:tc>
        <w:tc>
          <w:tcPr>
            <w:tcW w:type="dxa" w:w="1040"/>
          </w:tcPr>
          <w:p>
            <w:pPr>
              <w:spacing w:before="0" w:after="0" w:line="252" w:lineRule="auto"/>
              <w:jc w:val="center"/>
            </w:pPr>
            <w:r>
              <w:rPr>
                <w:sz w:val="17"/>
              </w:rPr>
              <w:t>3.0 / 0.6 / 0.4</w:t>
            </w:r>
          </w:p>
        </w:tc>
        <w:tc>
          <w:tcPr>
            <w:tcW w:type="dxa" w:w="1233"/>
          </w:tcPr>
          <w:p>
            <w:pPr>
              <w:spacing w:before="0" w:after="0" w:line="252" w:lineRule="auto"/>
              <w:jc w:val="center"/>
            </w:pPr>
            <w:r>
              <w:rPr>
                <w:b/>
                <w:sz w:val="17"/>
              </w:rPr>
              <w:t>4.0 / 1.0 / 0.5</w:t>
            </w:r>
          </w:p>
        </w:tc>
        <w:tc>
          <w:tcPr>
            <w:tcW w:type="dxa" w:w="1150"/>
          </w:tcPr>
          <w:p>
            <w:pPr>
              <w:spacing w:before="0" w:after="0" w:line="252" w:lineRule="auto"/>
              <w:jc w:val="center"/>
            </w:pPr>
            <w:r>
              <w:rPr>
                <w:sz w:val="17"/>
              </w:rPr>
              <w:t>5.5 / 1.8 / 0.7</w:t>
            </w:r>
          </w:p>
        </w:tc>
        <w:tc>
          <w:tcPr>
            <w:tcW w:type="dxa" w:w="1017"/>
          </w:tcPr>
          <w:p>
            <w:pPr>
              <w:spacing w:before="0" w:after="0" w:line="252" w:lineRule="auto"/>
            </w:pPr>
            <w:r>
              <w:rPr>
                <w:sz w:val="17"/>
              </w:rPr>
              <w:t>€M</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A-CST-03/04</w:t>
            </w:r>
          </w:p>
        </w:tc>
        <w:tc>
          <w:tcPr>
            <w:tcW w:type="dxa" w:w="2574"/>
            <w:shd w:val="clear" w:color="auto" w:fill="F2F5F9"/>
          </w:tcPr>
          <w:p>
            <w:pPr>
              <w:spacing w:before="0" w:after="0" w:line="252" w:lineRule="auto"/>
            </w:pPr>
            <w:r>
              <w:rPr>
                <w:sz w:val="17"/>
              </w:rPr>
              <w:t>LCA/EPD; pre-opening (expensed 2027)</w:t>
            </w:r>
          </w:p>
        </w:tc>
        <w:tc>
          <w:tcPr>
            <w:tcW w:type="dxa" w:w="1040"/>
            <w:shd w:val="clear" w:color="auto" w:fill="F2F5F9"/>
          </w:tcPr>
          <w:p>
            <w:pPr>
              <w:spacing w:before="0" w:after="0" w:line="252" w:lineRule="auto"/>
            </w:pPr>
            <w:r>
              <w:rPr>
                <w:sz w:val="17"/>
              </w:rPr>
              <w:t>40; 200</w:t>
            </w:r>
          </w:p>
        </w:tc>
        <w:tc>
          <w:tcPr>
            <w:tcW w:type="dxa" w:w="1233"/>
            <w:shd w:val="clear" w:color="auto" w:fill="F2F5F9"/>
          </w:tcPr>
          <w:p>
            <w:pPr>
              <w:spacing w:before="0" w:after="0" w:line="252" w:lineRule="auto"/>
            </w:pPr>
            <w:r>
              <w:rPr>
                <w:b/>
                <w:sz w:val="17"/>
              </w:rPr>
              <w:t>80; 300</w:t>
            </w:r>
          </w:p>
        </w:tc>
        <w:tc>
          <w:tcPr>
            <w:tcW w:type="dxa" w:w="1150"/>
            <w:shd w:val="clear" w:color="auto" w:fill="F2F5F9"/>
          </w:tcPr>
          <w:p>
            <w:pPr>
              <w:spacing w:before="0" w:after="0" w:line="252" w:lineRule="auto"/>
            </w:pPr>
            <w:r>
              <w:rPr>
                <w:sz w:val="17"/>
              </w:rPr>
              <w:t>160; 500</w:t>
            </w:r>
          </w:p>
        </w:tc>
        <w:tc>
          <w:tcPr>
            <w:tcW w:type="dxa" w:w="1017"/>
            <w:shd w:val="clear" w:color="auto" w:fill="F2F5F9"/>
          </w:tcPr>
          <w:p>
            <w:pPr>
              <w:spacing w:before="0" w:after="0" w:line="252" w:lineRule="auto"/>
            </w:pPr>
            <w:r>
              <w:rPr>
                <w:sz w:val="17"/>
              </w:rPr>
              <w:t>k€</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A-CST-12</w:t>
            </w:r>
          </w:p>
        </w:tc>
        <w:tc>
          <w:tcPr>
            <w:tcW w:type="dxa" w:w="2574"/>
          </w:tcPr>
          <w:p>
            <w:pPr>
              <w:spacing w:before="0" w:after="0" w:line="252" w:lineRule="auto"/>
            </w:pPr>
            <w:r>
              <w:rPr>
                <w:sz w:val="17"/>
              </w:rPr>
              <w:t>CEM III/B price 2026, delivered</w:t>
            </w:r>
          </w:p>
        </w:tc>
        <w:tc>
          <w:tcPr>
            <w:tcW w:type="dxa" w:w="1040"/>
          </w:tcPr>
          <w:p>
            <w:pPr>
              <w:spacing w:before="0" w:after="0" w:line="252" w:lineRule="auto"/>
              <w:jc w:val="center"/>
            </w:pPr>
            <w:r>
              <w:rPr>
                <w:sz w:val="17"/>
              </w:rPr>
              <w:t>95</w:t>
            </w:r>
          </w:p>
        </w:tc>
        <w:tc>
          <w:tcPr>
            <w:tcW w:type="dxa" w:w="1233"/>
          </w:tcPr>
          <w:p>
            <w:pPr>
              <w:spacing w:before="0" w:after="0" w:line="252" w:lineRule="auto"/>
              <w:jc w:val="center"/>
            </w:pPr>
            <w:r>
              <w:rPr>
                <w:b/>
                <w:sz w:val="17"/>
              </w:rPr>
              <w:t>110</w:t>
            </w:r>
          </w:p>
        </w:tc>
        <w:tc>
          <w:tcPr>
            <w:tcW w:type="dxa" w:w="1150"/>
          </w:tcPr>
          <w:p>
            <w:pPr>
              <w:spacing w:before="0" w:after="0" w:line="252" w:lineRule="auto"/>
              <w:jc w:val="center"/>
            </w:pPr>
            <w:r>
              <w:rPr>
                <w:sz w:val="17"/>
              </w:rPr>
              <w:t>130</w:t>
            </w:r>
          </w:p>
        </w:tc>
        <w:tc>
          <w:tcPr>
            <w:tcW w:type="dxa" w:w="1017"/>
          </w:tcPr>
          <w:p>
            <w:pPr>
              <w:spacing w:before="0" w:after="0" w:line="252" w:lineRule="auto"/>
            </w:pPr>
            <w:r>
              <w:rPr>
                <w:sz w:val="17"/>
              </w:rPr>
              <w:t>€/t</w:t>
            </w:r>
          </w:p>
        </w:tc>
        <w:tc>
          <w:tcPr>
            <w:tcW w:type="dxa" w:w="1490"/>
          </w:tcPr>
          <w:p>
            <w:pPr>
              <w:spacing w:before="0" w:after="0" w:line="252" w:lineRule="auto"/>
            </w:pPr>
            <w:r>
              <w:rPr>
                <w:sz w:val="17"/>
              </w:rPr>
              <w:t>ESTIMATE / L</w:t>
            </w:r>
          </w:p>
        </w:tc>
      </w:tr>
      <w:tr>
        <w:trPr>
          <w:cantSplit w:val="true"/>
        </w:trPr>
        <w:tc>
          <w:tcPr>
            <w:tcW w:type="dxa" w:w="1133"/>
            <w:shd w:val="clear" w:color="auto" w:fill="F2F5F9"/>
          </w:tcPr>
          <w:p>
            <w:pPr>
              <w:spacing w:before="0" w:after="0" w:line="252" w:lineRule="auto"/>
            </w:pPr>
            <w:r>
              <w:rPr>
                <w:sz w:val="17"/>
              </w:rPr>
              <w:t>A-POL-09</w:t>
            </w:r>
          </w:p>
        </w:tc>
        <w:tc>
          <w:tcPr>
            <w:tcW w:type="dxa" w:w="2574"/>
            <w:shd w:val="clear" w:color="auto" w:fill="F2F5F9"/>
          </w:tcPr>
          <w:p>
            <w:pPr>
              <w:spacing w:before="0" w:after="0" w:line="252" w:lineRule="auto"/>
            </w:pPr>
            <w:r>
              <w:rPr>
                <w:sz w:val="17"/>
              </w:rPr>
              <w:t>Carbon cost passed into cement price (key judgement call)</w:t>
            </w:r>
          </w:p>
        </w:tc>
        <w:tc>
          <w:tcPr>
            <w:tcW w:type="dxa" w:w="1040"/>
            <w:shd w:val="clear" w:color="auto" w:fill="F2F5F9"/>
          </w:tcPr>
          <w:p>
            <w:pPr>
              <w:spacing w:before="0" w:after="0" w:line="252" w:lineRule="auto"/>
              <w:jc w:val="center"/>
            </w:pPr>
            <w:r>
              <w:rPr>
                <w:sz w:val="17"/>
              </w:rPr>
              <w:t>50</w:t>
            </w:r>
          </w:p>
        </w:tc>
        <w:tc>
          <w:tcPr>
            <w:tcW w:type="dxa" w:w="1233"/>
            <w:shd w:val="clear" w:color="auto" w:fill="F2F5F9"/>
          </w:tcPr>
          <w:p>
            <w:pPr>
              <w:spacing w:before="0" w:after="0" w:line="252" w:lineRule="auto"/>
              <w:jc w:val="center"/>
            </w:pPr>
            <w:r>
              <w:rPr>
                <w:b/>
                <w:sz w:val="17"/>
              </w:rPr>
              <w:t>85</w:t>
            </w:r>
          </w:p>
        </w:tc>
        <w:tc>
          <w:tcPr>
            <w:tcW w:type="dxa" w:w="1150"/>
            <w:shd w:val="clear" w:color="auto" w:fill="F2F5F9"/>
          </w:tcPr>
          <w:p>
            <w:pPr>
              <w:spacing w:before="0" w:after="0" w:line="252" w:lineRule="auto"/>
              <w:jc w:val="center"/>
            </w:pPr>
            <w:r>
              <w:rPr>
                <w:sz w:val="17"/>
              </w:rPr>
              <w:t>100</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A-CST-13</w:t>
            </w:r>
          </w:p>
        </w:tc>
        <w:tc>
          <w:tcPr>
            <w:tcW w:type="dxa" w:w="2574"/>
          </w:tcPr>
          <w:p>
            <w:pPr>
              <w:spacing w:before="0" w:after="0" w:line="252" w:lineRule="auto"/>
            </w:pPr>
            <w:r>
              <w:rPr>
                <w:sz w:val="17"/>
              </w:rPr>
              <w:t>Binder cost passed into concrete price (key judgement call)</w:t>
            </w:r>
          </w:p>
        </w:tc>
        <w:tc>
          <w:tcPr>
            <w:tcW w:type="dxa" w:w="1040"/>
          </w:tcPr>
          <w:p>
            <w:pPr>
              <w:spacing w:before="0" w:after="0" w:line="252" w:lineRule="auto"/>
              <w:jc w:val="center"/>
            </w:pPr>
            <w:r>
              <w:rPr>
                <w:sz w:val="17"/>
              </w:rPr>
              <w:t>50</w:t>
            </w:r>
          </w:p>
        </w:tc>
        <w:tc>
          <w:tcPr>
            <w:tcW w:type="dxa" w:w="1233"/>
          </w:tcPr>
          <w:p>
            <w:pPr>
              <w:spacing w:before="0" w:after="0" w:line="252" w:lineRule="auto"/>
              <w:jc w:val="center"/>
            </w:pPr>
            <w:r>
              <w:rPr>
                <w:b/>
                <w:sz w:val="17"/>
              </w:rPr>
              <w:t>80</w:t>
            </w:r>
          </w:p>
        </w:tc>
        <w:tc>
          <w:tcPr>
            <w:tcW w:type="dxa" w:w="1150"/>
          </w:tcPr>
          <w:p>
            <w:pPr>
              <w:spacing w:before="0" w:after="0" w:line="252" w:lineRule="auto"/>
              <w:jc w:val="center"/>
            </w:pPr>
            <w:r>
              <w:rPr>
                <w:sz w:val="17"/>
              </w:rPr>
              <w:t>100</w:t>
            </w:r>
          </w:p>
        </w:tc>
        <w:tc>
          <w:tcPr>
            <w:tcW w:type="dxa" w:w="1017"/>
          </w:tcPr>
          <w:p>
            <w:pPr>
              <w:spacing w:before="0" w:after="0" w:line="252" w:lineRule="auto"/>
            </w:pPr>
            <w:r>
              <w:rPr>
                <w:sz w:val="17"/>
              </w:rPr>
              <w: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A-POL-01–03</w:t>
            </w:r>
          </w:p>
        </w:tc>
        <w:tc>
          <w:tcPr>
            <w:tcW w:type="dxa" w:w="2574"/>
            <w:shd w:val="clear" w:color="auto" w:fill="F2F5F9"/>
          </w:tcPr>
          <w:p>
            <w:pPr>
              <w:spacing w:before="0" w:after="0" w:line="252" w:lineRule="auto"/>
            </w:pPr>
            <w:r>
              <w:rPr>
                <w:sz w:val="17"/>
              </w:rPr>
              <w:t>EUA carbon price 2027 / 2030 / 2034+</w:t>
            </w:r>
          </w:p>
        </w:tc>
        <w:tc>
          <w:tcPr>
            <w:tcW w:type="dxa" w:w="1040"/>
            <w:shd w:val="clear" w:color="auto" w:fill="F2F5F9"/>
          </w:tcPr>
          <w:p>
            <w:pPr>
              <w:spacing w:before="0" w:after="0" w:line="252" w:lineRule="auto"/>
              <w:jc w:val="center"/>
            </w:pPr>
            <w:r>
              <w:rPr>
                <w:sz w:val="17"/>
              </w:rPr>
              <w:t>65 / 70 / 85</w:t>
            </w:r>
          </w:p>
        </w:tc>
        <w:tc>
          <w:tcPr>
            <w:tcW w:type="dxa" w:w="1233"/>
            <w:shd w:val="clear" w:color="auto" w:fill="F2F5F9"/>
          </w:tcPr>
          <w:p>
            <w:pPr>
              <w:spacing w:before="0" w:after="0" w:line="252" w:lineRule="auto"/>
              <w:jc w:val="center"/>
            </w:pPr>
            <w:r>
              <w:rPr>
                <w:b/>
                <w:sz w:val="17"/>
              </w:rPr>
              <w:t>88 / 100 / 125</w:t>
            </w:r>
          </w:p>
        </w:tc>
        <w:tc>
          <w:tcPr>
            <w:tcW w:type="dxa" w:w="1150"/>
            <w:shd w:val="clear" w:color="auto" w:fill="F2F5F9"/>
          </w:tcPr>
          <w:p>
            <w:pPr>
              <w:spacing w:before="0" w:after="0" w:line="252" w:lineRule="auto"/>
              <w:jc w:val="center"/>
            </w:pPr>
            <w:r>
              <w:rPr>
                <w:sz w:val="17"/>
              </w:rPr>
              <w:t>105 / 130 / 180</w:t>
            </w:r>
          </w:p>
        </w:tc>
        <w:tc>
          <w:tcPr>
            <w:tcW w:type="dxa" w:w="1017"/>
            <w:shd w:val="clear" w:color="auto" w:fill="F2F5F9"/>
          </w:tcPr>
          <w:p>
            <w:pPr>
              <w:spacing w:before="0" w:after="0" w:line="252" w:lineRule="auto"/>
            </w:pPr>
            <w:r>
              <w:rPr>
                <w:sz w:val="17"/>
              </w:rPr>
              <w:t>€/t CO₂</w:t>
            </w:r>
          </w:p>
        </w:tc>
        <w:tc>
          <w:tcPr>
            <w:tcW w:type="dxa" w:w="1490"/>
            <w:shd w:val="clear" w:color="auto" w:fill="F2F5F9"/>
          </w:tcPr>
          <w:p>
            <w:pPr>
              <w:spacing w:before="0" w:after="0" w:line="252" w:lineRule="auto"/>
            </w:pPr>
            <w:r>
              <w:rPr>
                <w:sz w:val="17"/>
              </w:rPr>
              <w:t>ESTIMATE / M–L</w:t>
            </w:r>
          </w:p>
        </w:tc>
      </w:tr>
      <w:tr>
        <w:trPr>
          <w:cantSplit w:val="true"/>
        </w:trPr>
        <w:tc>
          <w:tcPr>
            <w:tcW w:type="dxa" w:w="1133"/>
          </w:tcPr>
          <w:p>
            <w:pPr>
              <w:spacing w:before="0" w:after="0" w:line="252" w:lineRule="auto"/>
            </w:pPr>
            <w:r>
              <w:rPr>
                <w:sz w:val="17"/>
              </w:rPr>
              <w:t>A-POL-28</w:t>
            </w:r>
          </w:p>
        </w:tc>
        <w:tc>
          <w:tcPr>
            <w:tcW w:type="dxa" w:w="2574"/>
          </w:tcPr>
          <w:p>
            <w:pPr>
              <w:spacing w:before="0" w:after="0" w:line="252" w:lineRule="auto"/>
            </w:pPr>
            <w:r>
              <w:rPr>
                <w:sz w:val="17"/>
              </w:rPr>
              <w:t>Slag cement price uplift from 2031</w:t>
            </w:r>
          </w:p>
        </w:tc>
        <w:tc>
          <w:tcPr>
            <w:tcW w:type="dxa" w:w="1040"/>
          </w:tcPr>
          <w:p>
            <w:pPr>
              <w:spacing w:before="0" w:after="0" w:line="252" w:lineRule="auto"/>
              <w:jc w:val="center"/>
            </w:pPr>
            <w:r>
              <w:rPr>
                <w:sz w:val="17"/>
              </w:rPr>
              <w:t>0</w:t>
            </w:r>
          </w:p>
        </w:tc>
        <w:tc>
          <w:tcPr>
            <w:tcW w:type="dxa" w:w="1233"/>
          </w:tcPr>
          <w:p>
            <w:pPr>
              <w:spacing w:before="0" w:after="0" w:line="252" w:lineRule="auto"/>
              <w:jc w:val="center"/>
            </w:pPr>
            <w:r>
              <w:rPr>
                <w:b/>
                <w:sz w:val="17"/>
              </w:rPr>
              <w:t>10</w:t>
            </w:r>
          </w:p>
        </w:tc>
        <w:tc>
          <w:tcPr>
            <w:tcW w:type="dxa" w:w="1150"/>
          </w:tcPr>
          <w:p>
            <w:pPr>
              <w:spacing w:before="0" w:after="0" w:line="252" w:lineRule="auto"/>
              <w:jc w:val="center"/>
            </w:pPr>
            <w:r>
              <w:rPr>
                <w:sz w:val="17"/>
              </w:rPr>
              <w:t>25</w:t>
            </w:r>
          </w:p>
        </w:tc>
        <w:tc>
          <w:tcPr>
            <w:tcW w:type="dxa" w:w="1017"/>
          </w:tcPr>
          <w:p>
            <w:pPr>
              <w:spacing w:before="0" w:after="0" w:line="252" w:lineRule="auto"/>
            </w:pPr>
            <w:r>
              <w:rPr>
                <w:sz w:val="17"/>
              </w:rPr>
              <w: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A-MKT-11</w:t>
            </w:r>
          </w:p>
        </w:tc>
        <w:tc>
          <w:tcPr>
            <w:tcW w:type="dxa" w:w="2574"/>
            <w:shd w:val="clear" w:color="auto" w:fill="F2F5F9"/>
          </w:tcPr>
          <w:p>
            <w:pPr>
              <w:spacing w:before="0" w:after="0" w:line="252" w:lineRule="auto"/>
            </w:pPr>
            <w:r>
              <w:rPr>
                <w:sz w:val="17"/>
              </w:rPr>
              <w:t>Gravel, delivered by barge</w:t>
            </w:r>
          </w:p>
        </w:tc>
        <w:tc>
          <w:tcPr>
            <w:tcW w:type="dxa" w:w="1040"/>
            <w:shd w:val="clear" w:color="auto" w:fill="F2F5F9"/>
          </w:tcPr>
          <w:p>
            <w:pPr>
              <w:spacing w:before="0" w:after="0" w:line="252" w:lineRule="auto"/>
              <w:jc w:val="center"/>
            </w:pPr>
            <w:r>
              <w:rPr>
                <w:sz w:val="17"/>
              </w:rPr>
              <w:t>25</w:t>
            </w:r>
          </w:p>
        </w:tc>
        <w:tc>
          <w:tcPr>
            <w:tcW w:type="dxa" w:w="1233"/>
            <w:shd w:val="clear" w:color="auto" w:fill="F2F5F9"/>
          </w:tcPr>
          <w:p>
            <w:pPr>
              <w:spacing w:before="0" w:after="0" w:line="252" w:lineRule="auto"/>
              <w:jc w:val="center"/>
            </w:pPr>
            <w:r>
              <w:rPr>
                <w:b/>
                <w:sz w:val="17"/>
              </w:rPr>
              <w:t>32</w:t>
            </w:r>
          </w:p>
        </w:tc>
        <w:tc>
          <w:tcPr>
            <w:tcW w:type="dxa" w:w="1150"/>
            <w:shd w:val="clear" w:color="auto" w:fill="F2F5F9"/>
          </w:tcPr>
          <w:p>
            <w:pPr>
              <w:spacing w:before="0" w:after="0" w:line="252" w:lineRule="auto"/>
              <w:jc w:val="center"/>
            </w:pPr>
            <w:r>
              <w:rPr>
                <w:sz w:val="17"/>
              </w:rPr>
              <w:t>40</w:t>
            </w:r>
          </w:p>
        </w:tc>
        <w:tc>
          <w:tcPr>
            <w:tcW w:type="dxa" w:w="1017"/>
            <w:shd w:val="clear" w:color="auto" w:fill="F2F5F9"/>
          </w:tcPr>
          <w:p>
            <w:pPr>
              <w:spacing w:before="0" w:after="0" w:line="252" w:lineRule="auto"/>
            </w:pPr>
            <w:r>
              <w:rPr>
                <w:sz w:val="17"/>
              </w:rPr>
              <w:t>€/t</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A-MKT-12</w:t>
            </w:r>
          </w:p>
        </w:tc>
        <w:tc>
          <w:tcPr>
            <w:tcW w:type="dxa" w:w="2574"/>
          </w:tcPr>
          <w:p>
            <w:pPr>
              <w:spacing w:before="0" w:after="0" w:line="252" w:lineRule="auto"/>
            </w:pPr>
            <w:r>
              <w:rPr>
                <w:sz w:val="17"/>
              </w:rPr>
              <w:t>Sand 0/4, delivered</w:t>
            </w:r>
          </w:p>
        </w:tc>
        <w:tc>
          <w:tcPr>
            <w:tcW w:type="dxa" w:w="1040"/>
          </w:tcPr>
          <w:p>
            <w:pPr>
              <w:spacing w:before="0" w:after="0" w:line="252" w:lineRule="auto"/>
              <w:jc w:val="center"/>
            </w:pPr>
            <w:r>
              <w:rPr>
                <w:sz w:val="17"/>
              </w:rPr>
              <w:t>14</w:t>
            </w:r>
          </w:p>
        </w:tc>
        <w:tc>
          <w:tcPr>
            <w:tcW w:type="dxa" w:w="1233"/>
          </w:tcPr>
          <w:p>
            <w:pPr>
              <w:spacing w:before="0" w:after="0" w:line="252" w:lineRule="auto"/>
              <w:jc w:val="center"/>
            </w:pPr>
            <w:r>
              <w:rPr>
                <w:b/>
                <w:sz w:val="17"/>
              </w:rPr>
              <w:t>19</w:t>
            </w:r>
          </w:p>
        </w:tc>
        <w:tc>
          <w:tcPr>
            <w:tcW w:type="dxa" w:w="1150"/>
          </w:tcPr>
          <w:p>
            <w:pPr>
              <w:spacing w:before="0" w:after="0" w:line="252" w:lineRule="auto"/>
              <w:jc w:val="center"/>
            </w:pPr>
            <w:r>
              <w:rPr>
                <w:sz w:val="17"/>
              </w:rPr>
              <w:t>25</w:t>
            </w:r>
          </w:p>
        </w:tc>
        <w:tc>
          <w:tcPr>
            <w:tcW w:type="dxa" w:w="1017"/>
          </w:tcPr>
          <w:p>
            <w:pPr>
              <w:spacing w:before="0" w:after="0" w:line="252" w:lineRule="auto"/>
            </w:pPr>
            <w:r>
              <w:rPr>
                <w:sz w:val="17"/>
              </w:rPr>
              <w:t>€/t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A-MKT-13</w:t>
            </w:r>
          </w:p>
        </w:tc>
        <w:tc>
          <w:tcPr>
            <w:tcW w:type="dxa" w:w="2574"/>
            <w:shd w:val="clear" w:color="auto" w:fill="F2F5F9"/>
          </w:tcPr>
          <w:p>
            <w:pPr>
              <w:spacing w:before="0" w:after="0" w:line="252" w:lineRule="auto"/>
            </w:pPr>
            <w:r>
              <w:rPr>
                <w:sz w:val="17"/>
              </w:rPr>
              <w:t>RCA ex-works crusher (certified)</w:t>
            </w:r>
          </w:p>
        </w:tc>
        <w:tc>
          <w:tcPr>
            <w:tcW w:type="dxa" w:w="1040"/>
            <w:shd w:val="clear" w:color="auto" w:fill="F2F5F9"/>
          </w:tcPr>
          <w:p>
            <w:pPr>
              <w:spacing w:before="0" w:after="0" w:line="252" w:lineRule="auto"/>
              <w:jc w:val="center"/>
            </w:pPr>
            <w:r>
              <w:rPr>
                <w:sz w:val="17"/>
              </w:rPr>
              <w:t>10</w:t>
            </w:r>
          </w:p>
        </w:tc>
        <w:tc>
          <w:tcPr>
            <w:tcW w:type="dxa" w:w="1233"/>
            <w:shd w:val="clear" w:color="auto" w:fill="F2F5F9"/>
          </w:tcPr>
          <w:p>
            <w:pPr>
              <w:spacing w:before="0" w:after="0" w:line="252" w:lineRule="auto"/>
              <w:jc w:val="center"/>
            </w:pPr>
            <w:r>
              <w:rPr>
                <w:b/>
                <w:sz w:val="17"/>
              </w:rPr>
              <w:t>15</w:t>
            </w:r>
          </w:p>
        </w:tc>
        <w:tc>
          <w:tcPr>
            <w:tcW w:type="dxa" w:w="1150"/>
            <w:shd w:val="clear" w:color="auto" w:fill="F2F5F9"/>
          </w:tcPr>
          <w:p>
            <w:pPr>
              <w:spacing w:before="0" w:after="0" w:line="252" w:lineRule="auto"/>
              <w:jc w:val="center"/>
            </w:pPr>
            <w:r>
              <w:rPr>
                <w:sz w:val="17"/>
              </w:rPr>
              <w:t>25</w:t>
            </w:r>
          </w:p>
        </w:tc>
        <w:tc>
          <w:tcPr>
            <w:tcW w:type="dxa" w:w="1017"/>
            <w:shd w:val="clear" w:color="auto" w:fill="F2F5F9"/>
          </w:tcPr>
          <w:p>
            <w:pPr>
              <w:spacing w:before="0" w:after="0" w:line="252" w:lineRule="auto"/>
            </w:pPr>
            <w:r>
              <w:rPr>
                <w:sz w:val="17"/>
              </w:rPr>
              <w:t>€/t</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A-TEC-32</w:t>
            </w:r>
          </w:p>
        </w:tc>
        <w:tc>
          <w:tcPr>
            <w:tcW w:type="dxa" w:w="2574"/>
          </w:tcPr>
          <w:p>
            <w:pPr>
              <w:spacing w:before="0" w:after="0" w:line="252" w:lineRule="auto"/>
            </w:pPr>
            <w:r>
              <w:rPr>
                <w:sz w:val="17"/>
              </w:rPr>
              <w:t>RCA haul: distance × rate + handling</w:t>
            </w:r>
          </w:p>
        </w:tc>
        <w:tc>
          <w:tcPr>
            <w:tcW w:type="dxa" w:w="1040"/>
          </w:tcPr>
          <w:p>
            <w:pPr>
              <w:spacing w:before="0" w:after="0" w:line="252" w:lineRule="auto"/>
            </w:pPr>
            <w:r>
              <w:rPr>
                <w:sz w:val="17"/>
              </w:rPr>
              <w:t>15 km × 0.18 + 1.5</w:t>
            </w:r>
          </w:p>
        </w:tc>
        <w:tc>
          <w:tcPr>
            <w:tcW w:type="dxa" w:w="1233"/>
          </w:tcPr>
          <w:p>
            <w:pPr>
              <w:spacing w:before="0" w:after="0" w:line="252" w:lineRule="auto"/>
            </w:pPr>
            <w:r>
              <w:rPr>
                <w:b/>
                <w:sz w:val="17"/>
              </w:rPr>
              <w:t>30 km × 0.25 + 2</w:t>
            </w:r>
          </w:p>
        </w:tc>
        <w:tc>
          <w:tcPr>
            <w:tcW w:type="dxa" w:w="1150"/>
          </w:tcPr>
          <w:p>
            <w:pPr>
              <w:spacing w:before="0" w:after="0" w:line="252" w:lineRule="auto"/>
            </w:pPr>
            <w:r>
              <w:rPr>
                <w:sz w:val="17"/>
              </w:rPr>
              <w:t>50 km × 0.35 + 3</w:t>
            </w:r>
          </w:p>
        </w:tc>
        <w:tc>
          <w:tcPr>
            <w:tcW w:type="dxa" w:w="1017"/>
          </w:tcPr>
          <w:p>
            <w:pPr>
              <w:spacing w:before="0" w:after="0" w:line="252" w:lineRule="auto"/>
            </w:pPr>
            <w:r>
              <w:rPr>
                <w:sz w:val="17"/>
              </w:rPr>
              <w:t>€/t</w:t>
            </w:r>
          </w:p>
        </w:tc>
        <w:tc>
          <w:tcPr>
            <w:tcW w:type="dxa" w:w="1490"/>
          </w:tcPr>
          <w:p>
            <w:pPr>
              <w:spacing w:before="0" w:after="0" w:line="252" w:lineRule="auto"/>
            </w:pPr>
            <w:r>
              <w:rPr>
                <w:sz w:val="17"/>
              </w:rPr>
              <w:t>ESTIMATE / M</w:t>
            </w:r>
          </w:p>
        </w:tc>
      </w:tr>
      <w:tr>
        <w:trPr>
          <w:cantSplit w:val="true"/>
        </w:trPr>
        <w:tc>
          <w:tcPr>
            <w:tcW w:type="dxa" w:w="1133"/>
            <w:shd w:val="clear" w:color="auto" w:fill="F2F5F9"/>
          </w:tcPr>
          <w:p>
            <w:pPr>
              <w:spacing w:before="0" w:after="0" w:line="252" w:lineRule="auto"/>
            </w:pPr>
            <w:r>
              <w:rPr>
                <w:sz w:val="17"/>
              </w:rPr>
              <w:t>A-CST-09</w:t>
            </w:r>
          </w:p>
        </w:tc>
        <w:tc>
          <w:tcPr>
            <w:tcW w:type="dxa" w:w="2574"/>
            <w:shd w:val="clear" w:color="auto" w:fill="F2F5F9"/>
          </w:tcPr>
          <w:p>
            <w:pPr>
              <w:spacing w:before="0" w:after="0" w:line="252" w:lineRule="auto"/>
            </w:pPr>
            <w:r>
              <w:rPr>
                <w:sz w:val="17"/>
              </w:rPr>
              <w:t>Circular C30/37 mix: coarse RCA share; extra cement</w:t>
            </w:r>
          </w:p>
        </w:tc>
        <w:tc>
          <w:tcPr>
            <w:tcW w:type="dxa" w:w="1040"/>
            <w:shd w:val="clear" w:color="auto" w:fill="F2F5F9"/>
          </w:tcPr>
          <w:p>
            <w:pPr>
              <w:spacing w:before="0" w:after="0" w:line="252" w:lineRule="auto"/>
            </w:pPr>
            <w:r>
              <w:rPr>
                <w:sz w:val="17"/>
              </w:rPr>
              <w:t>30%; +0 kg</w:t>
            </w:r>
          </w:p>
        </w:tc>
        <w:tc>
          <w:tcPr>
            <w:tcW w:type="dxa" w:w="1233"/>
            <w:shd w:val="clear" w:color="auto" w:fill="F2F5F9"/>
          </w:tcPr>
          <w:p>
            <w:pPr>
              <w:spacing w:before="0" w:after="0" w:line="252" w:lineRule="auto"/>
            </w:pPr>
            <w:r>
              <w:rPr>
                <w:b/>
                <w:sz w:val="17"/>
              </w:rPr>
              <w:t>50%; +15 kg</w:t>
            </w:r>
          </w:p>
        </w:tc>
        <w:tc>
          <w:tcPr>
            <w:tcW w:type="dxa" w:w="1150"/>
            <w:shd w:val="clear" w:color="auto" w:fill="F2F5F9"/>
          </w:tcPr>
          <w:p>
            <w:pPr>
              <w:spacing w:before="0" w:after="0" w:line="252" w:lineRule="auto"/>
            </w:pPr>
            <w:r>
              <w:rPr>
                <w:sz w:val="17"/>
              </w:rPr>
              <w:t>50% + 25% fine; +30 kg</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ESTIMATE / M</w:t>
            </w:r>
          </w:p>
        </w:tc>
      </w:tr>
      <w:tr>
        <w:trPr>
          <w:cantSplit w:val="true"/>
        </w:trPr>
        <w:tc>
          <w:tcPr>
            <w:tcW w:type="dxa" w:w="1133"/>
          </w:tcPr>
          <w:p>
            <w:pPr>
              <w:spacing w:before="0" w:after="0" w:line="252" w:lineRule="auto"/>
            </w:pPr>
            <w:r>
              <w:rPr>
                <w:sz w:val="17"/>
              </w:rPr>
              <w:t>A-CST-11</w:t>
            </w:r>
          </w:p>
        </w:tc>
        <w:tc>
          <w:tcPr>
            <w:tcW w:type="dxa" w:w="2574"/>
          </w:tcPr>
          <w:p>
            <w:pPr>
              <w:spacing w:before="0" w:after="0" w:line="252" w:lineRule="auto"/>
            </w:pPr>
            <w:r>
              <w:rPr>
                <w:sz w:val="17"/>
              </w:rPr>
              <w:t>Plant-average cement content (standard mix)</w:t>
            </w:r>
          </w:p>
        </w:tc>
        <w:tc>
          <w:tcPr>
            <w:tcW w:type="dxa" w:w="1040"/>
          </w:tcPr>
          <w:p>
            <w:pPr>
              <w:spacing w:before="0" w:after="0" w:line="252" w:lineRule="auto"/>
              <w:jc w:val="center"/>
            </w:pPr>
            <w:r>
              <w:rPr>
                <w:sz w:val="17"/>
              </w:rPr>
              <w:t>290</w:t>
            </w:r>
          </w:p>
        </w:tc>
        <w:tc>
          <w:tcPr>
            <w:tcW w:type="dxa" w:w="1233"/>
          </w:tcPr>
          <w:p>
            <w:pPr>
              <w:spacing w:before="0" w:after="0" w:line="252" w:lineRule="auto"/>
              <w:jc w:val="center"/>
            </w:pPr>
            <w:r>
              <w:rPr>
                <w:b/>
                <w:sz w:val="17"/>
              </w:rPr>
              <w:t>310</w:t>
            </w:r>
          </w:p>
        </w:tc>
        <w:tc>
          <w:tcPr>
            <w:tcW w:type="dxa" w:w="1150"/>
          </w:tcPr>
          <w:p>
            <w:pPr>
              <w:spacing w:before="0" w:after="0" w:line="252" w:lineRule="auto"/>
              <w:jc w:val="center"/>
            </w:pPr>
            <w:r>
              <w:rPr>
                <w:sz w:val="17"/>
              </w:rPr>
              <w:t>330</w:t>
            </w:r>
          </w:p>
        </w:tc>
        <w:tc>
          <w:tcPr>
            <w:tcW w:type="dxa" w:w="1017"/>
          </w:tcPr>
          <w:p>
            <w:pPr>
              <w:spacing w:before="0" w:after="0" w:line="252" w:lineRule="auto"/>
            </w:pPr>
            <w:r>
              <w:rPr>
                <w:sz w:val="17"/>
              </w:rPr>
              <w:t>kg/m³</w:t>
            </w:r>
          </w:p>
        </w:tc>
        <w:tc>
          <w:tcPr>
            <w:tcW w:type="dxa" w:w="1490"/>
          </w:tcPr>
          <w:p>
            <w:pPr>
              <w:spacing w:before="0" w:after="0" w:line="252" w:lineRule="auto"/>
            </w:pPr>
            <w:r>
              <w:rPr>
                <w:sz w:val="17"/>
              </w:rPr>
              <w:t>VERIFIED basis (ERMCO) / M</w:t>
            </w:r>
          </w:p>
        </w:tc>
      </w:tr>
      <w:tr>
        <w:trPr>
          <w:cantSplit w:val="true"/>
        </w:trPr>
        <w:tc>
          <w:tcPr>
            <w:tcW w:type="dxa" w:w="1133"/>
            <w:shd w:val="clear" w:color="auto" w:fill="F2F5F9"/>
          </w:tcPr>
          <w:p>
            <w:pPr>
              <w:spacing w:before="0" w:after="0" w:line="252" w:lineRule="auto"/>
            </w:pPr>
            <w:r>
              <w:rPr>
                <w:sz w:val="17"/>
              </w:rPr>
              <w:t>A-TEC-28</w:t>
            </w:r>
          </w:p>
        </w:tc>
        <w:tc>
          <w:tcPr>
            <w:tcW w:type="dxa" w:w="2574"/>
            <w:shd w:val="clear" w:color="auto" w:fill="F2F5F9"/>
          </w:tcPr>
          <w:p>
            <w:pPr>
              <w:spacing w:before="0" w:after="0" w:line="252" w:lineRule="auto"/>
            </w:pPr>
            <w:r>
              <w:rPr>
                <w:sz w:val="17"/>
              </w:rPr>
              <w:t>Delivery cost at a 10 m³ reference load</w:t>
            </w:r>
          </w:p>
        </w:tc>
        <w:tc>
          <w:tcPr>
            <w:tcW w:type="dxa" w:w="1040"/>
            <w:shd w:val="clear" w:color="auto" w:fill="F2F5F9"/>
          </w:tcPr>
          <w:p>
            <w:pPr>
              <w:spacing w:before="0" w:after="0" w:line="252" w:lineRule="auto"/>
              <w:jc w:val="center"/>
            </w:pPr>
            <w:r>
              <w:rPr>
                <w:sz w:val="17"/>
              </w:rPr>
              <w:t>7 + 0.4/km</w:t>
            </w:r>
          </w:p>
        </w:tc>
        <w:tc>
          <w:tcPr>
            <w:tcW w:type="dxa" w:w="1233"/>
            <w:shd w:val="clear" w:color="auto" w:fill="F2F5F9"/>
          </w:tcPr>
          <w:p>
            <w:pPr>
              <w:spacing w:before="0" w:after="0" w:line="252" w:lineRule="auto"/>
              <w:jc w:val="center"/>
            </w:pPr>
            <w:r>
              <w:rPr>
                <w:b/>
                <w:sz w:val="17"/>
              </w:rPr>
              <w:t>9 + 0.5/km</w:t>
            </w:r>
          </w:p>
        </w:tc>
        <w:tc>
          <w:tcPr>
            <w:tcW w:type="dxa" w:w="1150"/>
            <w:shd w:val="clear" w:color="auto" w:fill="F2F5F9"/>
          </w:tcPr>
          <w:p>
            <w:pPr>
              <w:spacing w:before="0" w:after="0" w:line="252" w:lineRule="auto"/>
              <w:jc w:val="center"/>
            </w:pPr>
            <w:r>
              <w:rPr>
                <w:sz w:val="17"/>
              </w:rPr>
              <w:t>11 + 0.6/km</w:t>
            </w:r>
          </w:p>
        </w:tc>
        <w:tc>
          <w:tcPr>
            <w:tcW w:type="dxa" w:w="1017"/>
            <w:shd w:val="clear" w:color="auto" w:fill="F2F5F9"/>
          </w:tcPr>
          <w:p>
            <w:pPr>
              <w:spacing w:before="0" w:after="0" w:line="252" w:lineRule="auto"/>
            </w:pPr>
            <w:r>
              <w:rPr>
                <w:sz w:val="17"/>
              </w:rPr>
              <w:t>€/m³</w:t>
            </w:r>
          </w:p>
        </w:tc>
        <w:tc>
          <w:tcPr>
            <w:tcW w:type="dxa" w:w="1490"/>
            <w:shd w:val="clear" w:color="auto" w:fill="F2F5F9"/>
          </w:tcPr>
          <w:p>
            <w:pPr>
              <w:spacing w:before="0" w:after="0" w:line="252" w:lineRule="auto"/>
            </w:pPr>
            <w:r>
              <w:rPr>
                <w:sz w:val="17"/>
              </w:rPr>
              <w:t>ESTIMATE / M</w:t>
            </w:r>
          </w:p>
        </w:tc>
      </w:tr>
      <w:tr>
        <w:trPr>
          <w:cantSplit w:val="true"/>
        </w:trPr>
        <w:tc>
          <w:tcPr>
            <w:tcW w:type="dxa" w:w="1133"/>
          </w:tcPr>
          <w:p>
            <w:pPr>
              <w:spacing w:before="0" w:after="0" w:line="252" w:lineRule="auto"/>
            </w:pPr>
            <w:r>
              <w:rPr>
                <w:sz w:val="17"/>
              </w:rPr>
              <w:t>A-FIX-02</w:t>
            </w:r>
          </w:p>
        </w:tc>
        <w:tc>
          <w:tcPr>
            <w:tcW w:type="dxa" w:w="2574"/>
          </w:tcPr>
          <w:p>
            <w:pPr>
              <w:spacing w:before="0" w:after="0" w:line="252" w:lineRule="auto"/>
            </w:pPr>
            <w:r>
              <w:rPr>
                <w:sz w:val="17"/>
              </w:rPr>
              <w:t>Average truck-mixer load</w:t>
            </w:r>
          </w:p>
        </w:tc>
        <w:tc>
          <w:tcPr>
            <w:tcW w:type="dxa" w:w="1040"/>
          </w:tcPr>
          <w:p>
            <w:pPr>
              <w:spacing w:before="0" w:after="0" w:line="252" w:lineRule="auto"/>
              <w:jc w:val="center"/>
            </w:pPr>
            <w:r>
              <w:rPr>
                <w:sz w:val="17"/>
              </w:rPr>
              <w:t>8</w:t>
            </w:r>
          </w:p>
        </w:tc>
        <w:tc>
          <w:tcPr>
            <w:tcW w:type="dxa" w:w="1233"/>
          </w:tcPr>
          <w:p>
            <w:pPr>
              <w:spacing w:before="0" w:after="0" w:line="252" w:lineRule="auto"/>
              <w:jc w:val="center"/>
            </w:pPr>
            <w:r>
              <w:rPr>
                <w:b/>
                <w:sz w:val="17"/>
              </w:rPr>
              <w:t>9</w:t>
            </w:r>
          </w:p>
        </w:tc>
        <w:tc>
          <w:tcPr>
            <w:tcW w:type="dxa" w:w="1150"/>
          </w:tcPr>
          <w:p>
            <w:pPr>
              <w:spacing w:before="0" w:after="0" w:line="252" w:lineRule="auto"/>
              <w:jc w:val="center"/>
            </w:pPr>
            <w:r>
              <w:rPr>
                <w:sz w:val="17"/>
              </w:rPr>
              <w:t>10</w:t>
            </w:r>
          </w:p>
        </w:tc>
        <w:tc>
          <w:tcPr>
            <w:tcW w:type="dxa" w:w="1017"/>
          </w:tcPr>
          <w:p>
            <w:pPr>
              <w:spacing w:before="0" w:after="0" w:line="252" w:lineRule="auto"/>
            </w:pPr>
            <w:r>
              <w:rPr>
                <w:sz w:val="17"/>
              </w:rPr>
              <w:t>m³</w:t>
            </w:r>
          </w:p>
        </w:tc>
        <w:tc>
          <w:tcPr>
            <w:tcW w:type="dxa" w:w="1490"/>
          </w:tcPr>
          <w:p>
            <w:pPr>
              <w:spacing w:before="0" w:after="0" w:line="252" w:lineRule="auto"/>
            </w:pPr>
            <w:r>
              <w:rPr>
                <w:sz w:val="17"/>
              </w:rPr>
              <w:t>ESTIMATE / M</w:t>
            </w:r>
          </w:p>
        </w:tc>
      </w:tr>
      <w:tr>
        <w:trPr>
          <w:cantSplit w:val="true"/>
        </w:trPr>
        <w:tc>
          <w:tcPr>
            <w:tcW w:type="dxa" w:w="1133"/>
            <w:shd w:val="clear" w:color="auto" w:fill="F2F5F9"/>
          </w:tcPr>
          <w:p>
            <w:pPr>
              <w:spacing w:before="0" w:after="0" w:line="252" w:lineRule="auto"/>
            </w:pPr>
            <w:r>
              <w:rPr>
                <w:sz w:val="17"/>
              </w:rPr>
              <w:t>A-CST-27</w:t>
            </w:r>
          </w:p>
        </w:tc>
        <w:tc>
          <w:tcPr>
            <w:tcW w:type="dxa" w:w="2574"/>
            <w:shd w:val="clear" w:color="auto" w:fill="F2F5F9"/>
          </w:tcPr>
          <w:p>
            <w:pPr>
              <w:spacing w:before="0" w:after="0" w:line="252" w:lineRule="auto"/>
            </w:pPr>
            <w:r>
              <w:rPr>
                <w:sz w:val="17"/>
              </w:rPr>
              <w:t>Average one-way delivery distance</w:t>
            </w:r>
          </w:p>
        </w:tc>
        <w:tc>
          <w:tcPr>
            <w:tcW w:type="dxa" w:w="1040"/>
            <w:shd w:val="clear" w:color="auto" w:fill="F2F5F9"/>
          </w:tcPr>
          <w:p>
            <w:pPr>
              <w:spacing w:before="0" w:after="0" w:line="252" w:lineRule="auto"/>
              <w:jc w:val="center"/>
            </w:pPr>
            <w:r>
              <w:rPr>
                <w:sz w:val="17"/>
              </w:rPr>
              <w:t>10</w:t>
            </w:r>
          </w:p>
        </w:tc>
        <w:tc>
          <w:tcPr>
            <w:tcW w:type="dxa" w:w="1233"/>
            <w:shd w:val="clear" w:color="auto" w:fill="F2F5F9"/>
          </w:tcPr>
          <w:p>
            <w:pPr>
              <w:spacing w:before="0" w:after="0" w:line="252" w:lineRule="auto"/>
              <w:jc w:val="center"/>
            </w:pPr>
            <w:r>
              <w:rPr>
                <w:b/>
                <w:sz w:val="17"/>
              </w:rPr>
              <w:t>20</w:t>
            </w:r>
          </w:p>
        </w:tc>
        <w:tc>
          <w:tcPr>
            <w:tcW w:type="dxa" w:w="1150"/>
            <w:shd w:val="clear" w:color="auto" w:fill="F2F5F9"/>
          </w:tcPr>
          <w:p>
            <w:pPr>
              <w:spacing w:before="0" w:after="0" w:line="252" w:lineRule="auto"/>
              <w:jc w:val="center"/>
            </w:pPr>
            <w:r>
              <w:rPr>
                <w:sz w:val="17"/>
              </w:rPr>
              <w:t>35</w:t>
            </w:r>
          </w:p>
        </w:tc>
        <w:tc>
          <w:tcPr>
            <w:tcW w:type="dxa" w:w="1017"/>
            <w:shd w:val="clear" w:color="auto" w:fill="F2F5F9"/>
          </w:tcPr>
          <w:p>
            <w:pPr>
              <w:spacing w:before="0" w:after="0" w:line="252" w:lineRule="auto"/>
            </w:pPr>
            <w:r>
              <w:rPr>
                <w:sz w:val="17"/>
              </w:rPr>
              <w:t>km</w:t>
            </w:r>
          </w:p>
        </w:tc>
        <w:tc>
          <w:tcPr>
            <w:tcW w:type="dxa" w:w="1490"/>
            <w:shd w:val="clear" w:color="auto" w:fill="F2F5F9"/>
          </w:tcPr>
          <w:p>
            <w:pPr>
              <w:spacing w:before="0" w:after="0" w:line="252" w:lineRule="auto"/>
            </w:pPr>
            <w:r>
              <w:rPr>
                <w:sz w:val="17"/>
              </w:rPr>
              <w:t>ESTIMATE / M</w:t>
            </w:r>
          </w:p>
        </w:tc>
      </w:tr>
      <w:tr>
        <w:trPr>
          <w:cantSplit w:val="true"/>
        </w:trPr>
        <w:tc>
          <w:tcPr>
            <w:tcW w:type="dxa" w:w="1133"/>
          </w:tcPr>
          <w:p>
            <w:pPr>
              <w:spacing w:before="0" w:after="0" w:line="252" w:lineRule="auto"/>
            </w:pPr>
            <w:r>
              <w:rPr>
                <w:sz w:val="17"/>
              </w:rPr>
              <w:t>A-CST-20/21</w:t>
            </w:r>
          </w:p>
        </w:tc>
        <w:tc>
          <w:tcPr>
            <w:tcW w:type="dxa" w:w="2574"/>
          </w:tcPr>
          <w:p>
            <w:pPr>
              <w:spacing w:before="0" w:after="0" w:line="252" w:lineRule="auto"/>
            </w:pPr>
            <w:r>
              <w:rPr>
                <w:sz w:val="17"/>
              </w:rPr>
              <w:t>Staff: production 7 × €70k; SG&amp;A 3 × €90k</w:t>
            </w:r>
          </w:p>
        </w:tc>
        <w:tc>
          <w:tcPr>
            <w:tcW w:type="dxa" w:w="1040"/>
          </w:tcPr>
          <w:p>
            <w:pPr>
              <w:spacing w:before="0" w:after="0" w:line="252" w:lineRule="auto"/>
            </w:pPr>
            <w:r>
              <w:rPr>
                <w:sz w:val="17"/>
              </w:rPr>
              <w:t>6 × 62k; 2 × 80k</w:t>
            </w:r>
          </w:p>
        </w:tc>
        <w:tc>
          <w:tcPr>
            <w:tcW w:type="dxa" w:w="1233"/>
          </w:tcPr>
          <w:p>
            <w:pPr>
              <w:spacing w:before="0" w:after="0" w:line="252" w:lineRule="auto"/>
            </w:pPr>
            <w:r>
              <w:rPr>
                <w:b/>
                <w:sz w:val="17"/>
              </w:rPr>
              <w:t>7 × 70k; 3 × 90k</w:t>
            </w:r>
          </w:p>
        </w:tc>
        <w:tc>
          <w:tcPr>
            <w:tcW w:type="dxa" w:w="1150"/>
          </w:tcPr>
          <w:p>
            <w:pPr>
              <w:spacing w:before="0" w:after="0" w:line="252" w:lineRule="auto"/>
            </w:pPr>
            <w:r>
              <w:rPr>
                <w:sz w:val="17"/>
              </w:rPr>
              <w:t>9 × 78k; 4 × 110k</w:t>
            </w:r>
          </w:p>
        </w:tc>
        <w:tc>
          <w:tcPr>
            <w:tcW w:type="dxa" w:w="1017"/>
          </w:tcPr>
          <w:p>
            <w:pPr>
              <w:spacing w:before="0" w:after="0" w:line="252" w:lineRule="auto"/>
            </w:pPr>
            <w:r>
              <w:rPr>
                <w:sz w:val="17"/>
              </w:rPr>
              <w:t>FTE × €/yr</w:t>
            </w:r>
          </w:p>
        </w:tc>
        <w:tc>
          <w:tcPr>
            <w:tcW w:type="dxa" w:w="1490"/>
          </w:tcPr>
          <w:p>
            <w:pPr>
              <w:spacing w:before="0" w:after="0" w:line="252" w:lineRule="auto"/>
            </w:pPr>
            <w:r>
              <w:rPr>
                <w:sz w:val="17"/>
              </w:rPr>
              <w:t>ESTIMATE / M</w:t>
            </w:r>
          </w:p>
        </w:tc>
      </w:tr>
      <w:tr>
        <w:trPr>
          <w:cantSplit w:val="true"/>
        </w:trPr>
        <w:tc>
          <w:tcPr>
            <w:tcW w:type="dxa" w:w="1133"/>
            <w:shd w:val="clear" w:color="auto" w:fill="F2F5F9"/>
          </w:tcPr>
          <w:p>
            <w:pPr>
              <w:spacing w:before="0" w:after="0" w:line="252" w:lineRule="auto"/>
            </w:pPr>
            <w:r>
              <w:rPr>
                <w:sz w:val="17"/>
              </w:rPr>
              <w:t>A-CST-25</w:t>
            </w:r>
          </w:p>
        </w:tc>
        <w:tc>
          <w:tcPr>
            <w:tcW w:type="dxa" w:w="2574"/>
            <w:shd w:val="clear" w:color="auto" w:fill="F2F5F9"/>
          </w:tcPr>
          <w:p>
            <w:pPr>
              <w:spacing w:before="0" w:after="0" w:line="252" w:lineRule="auto"/>
            </w:pPr>
            <w:r>
              <w:rPr>
                <w:sz w:val="17"/>
              </w:rPr>
              <w:t>Other overheads</w:t>
            </w:r>
          </w:p>
        </w:tc>
        <w:tc>
          <w:tcPr>
            <w:tcW w:type="dxa" w:w="1040"/>
            <w:shd w:val="clear" w:color="auto" w:fill="F2F5F9"/>
          </w:tcPr>
          <w:p>
            <w:pPr>
              <w:spacing w:before="0" w:after="0" w:line="252" w:lineRule="auto"/>
              <w:jc w:val="center"/>
            </w:pPr>
            <w:r>
              <w:rPr>
                <w:sz w:val="17"/>
              </w:rPr>
              <w:t>200</w:t>
            </w:r>
          </w:p>
        </w:tc>
        <w:tc>
          <w:tcPr>
            <w:tcW w:type="dxa" w:w="1233"/>
            <w:shd w:val="clear" w:color="auto" w:fill="F2F5F9"/>
          </w:tcPr>
          <w:p>
            <w:pPr>
              <w:spacing w:before="0" w:after="0" w:line="252" w:lineRule="auto"/>
              <w:jc w:val="center"/>
            </w:pPr>
            <w:r>
              <w:rPr>
                <w:b/>
                <w:sz w:val="17"/>
              </w:rPr>
              <w:t>300</w:t>
            </w:r>
          </w:p>
        </w:tc>
        <w:tc>
          <w:tcPr>
            <w:tcW w:type="dxa" w:w="1150"/>
            <w:shd w:val="clear" w:color="auto" w:fill="F2F5F9"/>
          </w:tcPr>
          <w:p>
            <w:pPr>
              <w:spacing w:before="0" w:after="0" w:line="252" w:lineRule="auto"/>
              <w:jc w:val="center"/>
            </w:pPr>
            <w:r>
              <w:rPr>
                <w:sz w:val="17"/>
              </w:rPr>
              <w:t>450</w:t>
            </w:r>
          </w:p>
        </w:tc>
        <w:tc>
          <w:tcPr>
            <w:tcW w:type="dxa" w:w="1017"/>
            <w:shd w:val="clear" w:color="auto" w:fill="F2F5F9"/>
          </w:tcPr>
          <w:p>
            <w:pPr>
              <w:spacing w:before="0" w:after="0" w:line="252" w:lineRule="auto"/>
            </w:pPr>
            <w:r>
              <w:rPr>
                <w:sz w:val="17"/>
              </w:rPr>
              <w:t>k€/yr</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A-CST-24</w:t>
            </w:r>
          </w:p>
        </w:tc>
        <w:tc>
          <w:tcPr>
            <w:tcW w:type="dxa" w:w="2574"/>
          </w:tcPr>
          <w:p>
            <w:pPr>
              <w:spacing w:before="0" w:after="0" w:line="252" w:lineRule="auto"/>
            </w:pPr>
            <w:r>
              <w:rPr>
                <w:sz w:val="17"/>
              </w:rPr>
              <w:t>Waterside site lease (1.5 ha)</w:t>
            </w:r>
          </w:p>
        </w:tc>
        <w:tc>
          <w:tcPr>
            <w:tcW w:type="dxa" w:w="1040"/>
          </w:tcPr>
          <w:p>
            <w:pPr>
              <w:spacing w:before="0" w:after="0" w:line="252" w:lineRule="auto"/>
              <w:jc w:val="center"/>
            </w:pPr>
            <w:r>
              <w:rPr>
                <w:sz w:val="17"/>
              </w:rPr>
              <w:t>6</w:t>
            </w:r>
          </w:p>
        </w:tc>
        <w:tc>
          <w:tcPr>
            <w:tcW w:type="dxa" w:w="1233"/>
          </w:tcPr>
          <w:p>
            <w:pPr>
              <w:spacing w:before="0" w:after="0" w:line="252" w:lineRule="auto"/>
              <w:jc w:val="center"/>
            </w:pPr>
            <w:r>
              <w:rPr>
                <w:b/>
                <w:sz w:val="17"/>
              </w:rPr>
              <w:t>10</w:t>
            </w:r>
          </w:p>
        </w:tc>
        <w:tc>
          <w:tcPr>
            <w:tcW w:type="dxa" w:w="1150"/>
          </w:tcPr>
          <w:p>
            <w:pPr>
              <w:spacing w:before="0" w:after="0" w:line="252" w:lineRule="auto"/>
              <w:jc w:val="center"/>
            </w:pPr>
            <w:r>
              <w:rPr>
                <w:sz w:val="17"/>
              </w:rPr>
              <w:t>15</w:t>
            </w:r>
          </w:p>
        </w:tc>
        <w:tc>
          <w:tcPr>
            <w:tcW w:type="dxa" w:w="1017"/>
          </w:tcPr>
          <w:p>
            <w:pPr>
              <w:spacing w:before="0" w:after="0" w:line="252" w:lineRule="auto"/>
            </w:pPr>
            <w:r>
              <w:rPr>
                <w:sz w:val="17"/>
              </w:rPr>
              <w:t>€/m²/yr</w:t>
            </w:r>
          </w:p>
        </w:tc>
        <w:tc>
          <w:tcPr>
            <w:tcW w:type="dxa" w:w="1490"/>
          </w:tcPr>
          <w:p>
            <w:pPr>
              <w:spacing w:before="0" w:after="0" w:line="252" w:lineRule="auto"/>
            </w:pPr>
            <w:r>
              <w:rPr>
                <w:sz w:val="17"/>
              </w:rPr>
              <w:t>ESTIMATE / L</w:t>
            </w:r>
          </w:p>
        </w:tc>
      </w:tr>
      <w:tr>
        <w:trPr>
          <w:cantSplit w:val="true"/>
        </w:trPr>
        <w:tc>
          <w:tcPr>
            <w:tcW w:type="dxa" w:w="1133"/>
            <w:shd w:val="clear" w:color="auto" w:fill="F2F5F9"/>
          </w:tcPr>
          <w:p>
            <w:pPr>
              <w:spacing w:before="0" w:after="0" w:line="252" w:lineRule="auto"/>
            </w:pPr>
            <w:r>
              <w:rPr>
                <w:sz w:val="17"/>
              </w:rPr>
              <w:t>A-CST-22</w:t>
            </w:r>
          </w:p>
        </w:tc>
        <w:tc>
          <w:tcPr>
            <w:tcW w:type="dxa" w:w="2574"/>
            <w:shd w:val="clear" w:color="auto" w:fill="F2F5F9"/>
          </w:tcPr>
          <w:p>
            <w:pPr>
              <w:spacing w:before="0" w:after="0" w:line="252" w:lineRule="auto"/>
            </w:pPr>
            <w:r>
              <w:rPr>
                <w:sz w:val="17"/>
              </w:rPr>
              <w:t>Maintenance and wear</w:t>
            </w:r>
          </w:p>
        </w:tc>
        <w:tc>
          <w:tcPr>
            <w:tcW w:type="dxa" w:w="1040"/>
            <w:shd w:val="clear" w:color="auto" w:fill="F2F5F9"/>
          </w:tcPr>
          <w:p>
            <w:pPr>
              <w:spacing w:before="0" w:after="0" w:line="252" w:lineRule="auto"/>
              <w:jc w:val="center"/>
            </w:pPr>
            <w:r>
              <w:rPr>
                <w:sz w:val="17"/>
              </w:rPr>
              <w:t>1.5</w:t>
            </w:r>
          </w:p>
        </w:tc>
        <w:tc>
          <w:tcPr>
            <w:tcW w:type="dxa" w:w="1233"/>
            <w:shd w:val="clear" w:color="auto" w:fill="F2F5F9"/>
          </w:tcPr>
          <w:p>
            <w:pPr>
              <w:spacing w:before="0" w:after="0" w:line="252" w:lineRule="auto"/>
              <w:jc w:val="center"/>
            </w:pPr>
            <w:r>
              <w:rPr>
                <w:b/>
                <w:sz w:val="17"/>
              </w:rPr>
              <w:t>2.5</w:t>
            </w:r>
          </w:p>
        </w:tc>
        <w:tc>
          <w:tcPr>
            <w:tcW w:type="dxa" w:w="1150"/>
            <w:shd w:val="clear" w:color="auto" w:fill="F2F5F9"/>
          </w:tcPr>
          <w:p>
            <w:pPr>
              <w:spacing w:before="0" w:after="0" w:line="252" w:lineRule="auto"/>
              <w:jc w:val="center"/>
            </w:pPr>
            <w:r>
              <w:rPr>
                <w:sz w:val="17"/>
              </w:rPr>
              <w:t>4.0</w:t>
            </w:r>
          </w:p>
        </w:tc>
        <w:tc>
          <w:tcPr>
            <w:tcW w:type="dxa" w:w="1017"/>
            <w:shd w:val="clear" w:color="auto" w:fill="F2F5F9"/>
          </w:tcPr>
          <w:p>
            <w:pPr>
              <w:spacing w:before="0" w:after="0" w:line="252" w:lineRule="auto"/>
            </w:pPr>
            <w:r>
              <w:rPr>
                <w:sz w:val="17"/>
              </w:rPr>
              <w:t>% of capex/yr</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A-CST-06</w:t>
            </w:r>
          </w:p>
        </w:tc>
        <w:tc>
          <w:tcPr>
            <w:tcW w:type="dxa" w:w="2574"/>
          </w:tcPr>
          <w:p>
            <w:pPr>
              <w:spacing w:before="0" w:after="0" w:line="252" w:lineRule="auto"/>
            </w:pPr>
            <w:r>
              <w:rPr>
                <w:sz w:val="17"/>
              </w:rPr>
              <w:t>Salvage value in 2036 (terminal value)</w:t>
            </w:r>
          </w:p>
        </w:tc>
        <w:tc>
          <w:tcPr>
            <w:tcW w:type="dxa" w:w="1040"/>
          </w:tcPr>
          <w:p>
            <w:pPr>
              <w:spacing w:before="0" w:after="0" w:line="252" w:lineRule="auto"/>
              <w:jc w:val="center"/>
            </w:pPr>
            <w:r>
              <w:rPr>
                <w:sz w:val="17"/>
              </w:rPr>
              <w:t>10</w:t>
            </w:r>
          </w:p>
        </w:tc>
        <w:tc>
          <w:tcPr>
            <w:tcW w:type="dxa" w:w="1233"/>
          </w:tcPr>
          <w:p>
            <w:pPr>
              <w:spacing w:before="0" w:after="0" w:line="252" w:lineRule="auto"/>
              <w:jc w:val="center"/>
            </w:pPr>
            <w:r>
              <w:rPr>
                <w:b/>
                <w:sz w:val="17"/>
              </w:rPr>
              <w:t>25</w:t>
            </w:r>
          </w:p>
        </w:tc>
        <w:tc>
          <w:tcPr>
            <w:tcW w:type="dxa" w:w="1150"/>
          </w:tcPr>
          <w:p>
            <w:pPr>
              <w:spacing w:before="0" w:after="0" w:line="252" w:lineRule="auto"/>
              <w:jc w:val="center"/>
            </w:pPr>
            <w:r>
              <w:rPr>
                <w:sz w:val="17"/>
              </w:rPr>
              <w:t>40</w:t>
            </w:r>
          </w:p>
        </w:tc>
        <w:tc>
          <w:tcPr>
            <w:tcW w:type="dxa" w:w="1017"/>
          </w:tcPr>
          <w:p>
            <w:pPr>
              <w:spacing w:before="0" w:after="0" w:line="252" w:lineRule="auto"/>
            </w:pPr>
            <w:r>
              <w:rPr>
                <w:sz w:val="17"/>
              </w:rPr>
              <w:t>% of capex</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A-CST-07</w:t>
            </w:r>
          </w:p>
        </w:tc>
        <w:tc>
          <w:tcPr>
            <w:tcW w:type="dxa" w:w="2574"/>
            <w:shd w:val="clear" w:color="auto" w:fill="F2F5F9"/>
          </w:tcPr>
          <w:p>
            <w:pPr>
              <w:spacing w:before="0" w:after="0" w:line="252" w:lineRule="auto"/>
            </w:pPr>
            <w:r>
              <w:rPr>
                <w:sz w:val="17"/>
              </w:rPr>
              <w:t>Receivables / payables / inventory</w:t>
            </w:r>
          </w:p>
        </w:tc>
        <w:tc>
          <w:tcPr>
            <w:tcW w:type="dxa" w:w="1040"/>
            <w:shd w:val="clear" w:color="auto" w:fill="F2F5F9"/>
          </w:tcPr>
          <w:p>
            <w:pPr>
              <w:spacing w:before="0" w:after="0" w:line="252" w:lineRule="auto"/>
              <w:jc w:val="center"/>
            </w:pPr>
            <w:r>
              <w:rPr>
                <w:sz w:val="17"/>
              </w:rPr>
              <w:t>45 / 21 / 7</w:t>
            </w:r>
          </w:p>
        </w:tc>
        <w:tc>
          <w:tcPr>
            <w:tcW w:type="dxa" w:w="1233"/>
            <w:shd w:val="clear" w:color="auto" w:fill="F2F5F9"/>
          </w:tcPr>
          <w:p>
            <w:pPr>
              <w:spacing w:before="0" w:after="0" w:line="252" w:lineRule="auto"/>
              <w:jc w:val="center"/>
            </w:pPr>
            <w:r>
              <w:rPr>
                <w:b/>
                <w:sz w:val="17"/>
              </w:rPr>
              <w:t>60 / 30 / 10</w:t>
            </w:r>
          </w:p>
        </w:tc>
        <w:tc>
          <w:tcPr>
            <w:tcW w:type="dxa" w:w="1150"/>
            <w:shd w:val="clear" w:color="auto" w:fill="F2F5F9"/>
          </w:tcPr>
          <w:p>
            <w:pPr>
              <w:spacing w:before="0" w:after="0" w:line="252" w:lineRule="auto"/>
              <w:jc w:val="center"/>
            </w:pPr>
            <w:r>
              <w:rPr>
                <w:sz w:val="17"/>
              </w:rPr>
              <w:t>75 / 45 / 15</w:t>
            </w:r>
          </w:p>
        </w:tc>
        <w:tc>
          <w:tcPr>
            <w:tcW w:type="dxa" w:w="1017"/>
            <w:shd w:val="clear" w:color="auto" w:fill="F2F5F9"/>
          </w:tcPr>
          <w:p>
            <w:pPr>
              <w:spacing w:before="0" w:after="0" w:line="252" w:lineRule="auto"/>
            </w:pPr>
            <w:r>
              <w:rPr>
                <w:sz w:val="17"/>
              </w:rPr>
              <w:t>days</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A-POL-24</w:t>
            </w:r>
          </w:p>
        </w:tc>
        <w:tc>
          <w:tcPr>
            <w:tcW w:type="dxa" w:w="2574"/>
          </w:tcPr>
          <w:p>
            <w:pPr>
              <w:spacing w:before="0" w:after="0" w:line="252" w:lineRule="auto"/>
            </w:pPr>
            <w:r>
              <w:rPr>
                <w:sz w:val="17"/>
              </w:rPr>
              <w:t>DEI+ / VEKI grant</w:t>
            </w:r>
          </w:p>
        </w:tc>
        <w:tc>
          <w:tcPr>
            <w:tcW w:type="dxa" w:w="1040"/>
          </w:tcPr>
          <w:p>
            <w:pPr>
              <w:spacing w:before="0" w:after="0" w:line="252" w:lineRule="auto"/>
              <w:jc w:val="center"/>
            </w:pPr>
            <w:r>
              <w:rPr>
                <w:sz w:val="17"/>
              </w:rPr>
              <w:t>0</w:t>
            </w:r>
          </w:p>
        </w:tc>
        <w:tc>
          <w:tcPr>
            <w:tcW w:type="dxa" w:w="1233"/>
          </w:tcPr>
          <w:p>
            <w:pPr>
              <w:spacing w:before="0" w:after="0" w:line="252" w:lineRule="auto"/>
              <w:jc w:val="center"/>
            </w:pPr>
            <w:r>
              <w:rPr>
                <w:b/>
                <w:sz w:val="17"/>
              </w:rPr>
              <w:t>0.4</w:t>
            </w:r>
          </w:p>
        </w:tc>
        <w:tc>
          <w:tcPr>
            <w:tcW w:type="dxa" w:w="1150"/>
          </w:tcPr>
          <w:p>
            <w:pPr>
              <w:spacing w:before="0" w:after="0" w:line="252" w:lineRule="auto"/>
              <w:jc w:val="center"/>
            </w:pPr>
            <w:r>
              <w:rPr>
                <w:sz w:val="17"/>
              </w:rPr>
              <w:t>1.5</w:t>
            </w:r>
          </w:p>
        </w:tc>
        <w:tc>
          <w:tcPr>
            <w:tcW w:type="dxa" w:w="1017"/>
          </w:tcPr>
          <w:p>
            <w:pPr>
              <w:spacing w:before="0" w:after="0" w:line="252" w:lineRule="auto"/>
            </w:pPr>
            <w:r>
              <w:rPr>
                <w:sz w:val="17"/>
              </w:rPr>
              <w:t>€M</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A-POL-21/22</w:t>
            </w:r>
          </w:p>
        </w:tc>
        <w:tc>
          <w:tcPr>
            <w:tcW w:type="dxa" w:w="2574"/>
            <w:shd w:val="clear" w:color="auto" w:fill="F2F5F9"/>
          </w:tcPr>
          <w:p>
            <w:pPr>
              <w:spacing w:before="0" w:after="0" w:line="252" w:lineRule="auto"/>
            </w:pPr>
            <w:r>
              <w:rPr>
                <w:sz w:val="17"/>
              </w:rPr>
              <w:t>MIA: net value; share of capex eligible</w:t>
            </w:r>
          </w:p>
        </w:tc>
        <w:tc>
          <w:tcPr>
            <w:tcW w:type="dxa" w:w="1040"/>
            <w:shd w:val="clear" w:color="auto" w:fill="F2F5F9"/>
          </w:tcPr>
          <w:p>
            <w:pPr>
              <w:spacing w:before="0" w:after="0" w:line="252" w:lineRule="auto"/>
            </w:pPr>
            <w:r>
              <w:rPr>
                <w:sz w:val="17"/>
              </w:rPr>
              <w:t>7%; 0%</w:t>
            </w:r>
          </w:p>
        </w:tc>
        <w:tc>
          <w:tcPr>
            <w:tcW w:type="dxa" w:w="1233"/>
            <w:shd w:val="clear" w:color="auto" w:fill="F2F5F9"/>
          </w:tcPr>
          <w:p>
            <w:pPr>
              <w:spacing w:before="0" w:after="0" w:line="252" w:lineRule="auto"/>
            </w:pPr>
            <w:r>
              <w:rPr>
                <w:b/>
                <w:sz w:val="17"/>
              </w:rPr>
              <w:t>9.3%; 20%</w:t>
            </w:r>
          </w:p>
        </w:tc>
        <w:tc>
          <w:tcPr>
            <w:tcW w:type="dxa" w:w="1150"/>
            <w:shd w:val="clear" w:color="auto" w:fill="F2F5F9"/>
          </w:tcPr>
          <w:p>
            <w:pPr>
              <w:spacing w:before="0" w:after="0" w:line="252" w:lineRule="auto"/>
            </w:pPr>
            <w:r>
              <w:rPr>
                <w:sz w:val="17"/>
              </w:rPr>
              <w:t>11.6%; 50%</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ESTIMATE / M–L</w:t>
            </w:r>
          </w:p>
        </w:tc>
      </w:tr>
      <w:tr>
        <w:trPr>
          <w:cantSplit w:val="true"/>
        </w:trPr>
        <w:tc>
          <w:tcPr>
            <w:tcW w:type="dxa" w:w="1133"/>
          </w:tcPr>
          <w:p>
            <w:pPr>
              <w:spacing w:before="0" w:after="0" w:line="252" w:lineRule="auto"/>
            </w:pPr>
            <w:r>
              <w:rPr>
                <w:sz w:val="17"/>
              </w:rPr>
              <w:t>A-FIX-04</w:t>
            </w:r>
          </w:p>
        </w:tc>
        <w:tc>
          <w:tcPr>
            <w:tcW w:type="dxa" w:w="2574"/>
          </w:tcPr>
          <w:p>
            <w:pPr>
              <w:spacing w:before="0" w:after="0" w:line="252" w:lineRule="auto"/>
            </w:pPr>
            <w:r>
              <w:rPr>
                <w:sz w:val="17"/>
              </w:rPr>
              <w:t>Gate fee received, clean rubble (options only)</w:t>
            </w:r>
          </w:p>
        </w:tc>
        <w:tc>
          <w:tcPr>
            <w:tcW w:type="dxa" w:w="1040"/>
          </w:tcPr>
          <w:p>
            <w:pPr>
              <w:spacing w:before="0" w:after="0" w:line="252" w:lineRule="auto"/>
              <w:jc w:val="center"/>
            </w:pPr>
            <w:r>
              <w:rPr>
                <w:sz w:val="17"/>
              </w:rPr>
              <w:t>0</w:t>
            </w:r>
          </w:p>
        </w:tc>
        <w:tc>
          <w:tcPr>
            <w:tcW w:type="dxa" w:w="1233"/>
          </w:tcPr>
          <w:p>
            <w:pPr>
              <w:spacing w:before="0" w:after="0" w:line="252" w:lineRule="auto"/>
              <w:jc w:val="center"/>
            </w:pPr>
            <w:r>
              <w:rPr>
                <w:b/>
                <w:sz w:val="17"/>
              </w:rPr>
              <w:t>1</w:t>
            </w:r>
          </w:p>
        </w:tc>
        <w:tc>
          <w:tcPr>
            <w:tcW w:type="dxa" w:w="1150"/>
          </w:tcPr>
          <w:p>
            <w:pPr>
              <w:spacing w:before="0" w:after="0" w:line="252" w:lineRule="auto"/>
              <w:jc w:val="center"/>
            </w:pPr>
            <w:r>
              <w:rPr>
                <w:sz w:val="17"/>
              </w:rPr>
              <w:t>10</w:t>
            </w:r>
          </w:p>
        </w:tc>
        <w:tc>
          <w:tcPr>
            <w:tcW w:type="dxa" w:w="1017"/>
          </w:tcPr>
          <w:p>
            <w:pPr>
              <w:spacing w:before="0" w:after="0" w:line="252" w:lineRule="auto"/>
            </w:pPr>
            <w:r>
              <w:rPr>
                <w:sz w:val="17"/>
              </w:rPr>
              <w:t>€/t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A-FIX-05/06</w:t>
            </w:r>
          </w:p>
        </w:tc>
        <w:tc>
          <w:tcPr>
            <w:tcW w:type="dxa" w:w="2574"/>
            <w:shd w:val="clear" w:color="auto" w:fill="F2F5F9"/>
          </w:tcPr>
          <w:p>
            <w:pPr>
              <w:spacing w:before="0" w:after="0" w:line="252" w:lineRule="auto"/>
            </w:pPr>
            <w:r>
              <w:rPr>
                <w:sz w:val="17"/>
              </w:rPr>
              <w:t>Steel yield; share of steel value we keep (options)</w:t>
            </w:r>
          </w:p>
        </w:tc>
        <w:tc>
          <w:tcPr>
            <w:tcW w:type="dxa" w:w="1040"/>
            <w:shd w:val="clear" w:color="auto" w:fill="F2F5F9"/>
          </w:tcPr>
          <w:p>
            <w:pPr>
              <w:spacing w:before="0" w:after="0" w:line="252" w:lineRule="auto"/>
            </w:pPr>
            <w:r>
              <w:rPr>
                <w:sz w:val="17"/>
              </w:rPr>
              <w:t>0.5%; 0%</w:t>
            </w:r>
          </w:p>
        </w:tc>
        <w:tc>
          <w:tcPr>
            <w:tcW w:type="dxa" w:w="1233"/>
            <w:shd w:val="clear" w:color="auto" w:fill="F2F5F9"/>
          </w:tcPr>
          <w:p>
            <w:pPr>
              <w:spacing w:before="0" w:after="0" w:line="252" w:lineRule="auto"/>
            </w:pPr>
            <w:r>
              <w:rPr>
                <w:b/>
                <w:sz w:val="17"/>
              </w:rPr>
              <w:t>1%; 50%</w:t>
            </w:r>
          </w:p>
        </w:tc>
        <w:tc>
          <w:tcPr>
            <w:tcW w:type="dxa" w:w="1150"/>
            <w:shd w:val="clear" w:color="auto" w:fill="F2F5F9"/>
          </w:tcPr>
          <w:p>
            <w:pPr>
              <w:spacing w:before="0" w:after="0" w:line="252" w:lineRule="auto"/>
            </w:pPr>
            <w:r>
              <w:rPr>
                <w:sz w:val="17"/>
              </w:rPr>
              <w:t>3%; 100%</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A-OPT-06</w:t>
            </w:r>
          </w:p>
        </w:tc>
        <w:tc>
          <w:tcPr>
            <w:tcW w:type="dxa" w:w="2574"/>
          </w:tcPr>
          <w:p>
            <w:pPr>
              <w:spacing w:before="0" w:after="0" w:line="252" w:lineRule="auto"/>
            </w:pPr>
            <w:r>
              <w:rPr>
                <w:sz w:val="17"/>
              </w:rPr>
              <w:t>Purchase price of an existing plant (O3, P1, P2)</w:t>
            </w:r>
          </w:p>
        </w:tc>
        <w:tc>
          <w:tcPr>
            <w:tcW w:type="dxa" w:w="1040"/>
          </w:tcPr>
          <w:p>
            <w:pPr>
              <w:spacing w:before="0" w:after="0" w:line="252" w:lineRule="auto"/>
              <w:jc w:val="center"/>
            </w:pPr>
            <w:r>
              <w:rPr>
                <w:sz w:val="17"/>
              </w:rPr>
              <w:t>1.5</w:t>
            </w:r>
          </w:p>
        </w:tc>
        <w:tc>
          <w:tcPr>
            <w:tcW w:type="dxa" w:w="1233"/>
          </w:tcPr>
          <w:p>
            <w:pPr>
              <w:spacing w:before="0" w:after="0" w:line="252" w:lineRule="auto"/>
              <w:jc w:val="center"/>
            </w:pPr>
            <w:r>
              <w:rPr>
                <w:b/>
                <w:sz w:val="17"/>
              </w:rPr>
              <w:t>2.5</w:t>
            </w:r>
          </w:p>
        </w:tc>
        <w:tc>
          <w:tcPr>
            <w:tcW w:type="dxa" w:w="1150"/>
          </w:tcPr>
          <w:p>
            <w:pPr>
              <w:spacing w:before="0" w:after="0" w:line="252" w:lineRule="auto"/>
              <w:jc w:val="center"/>
            </w:pPr>
            <w:r>
              <w:rPr>
                <w:sz w:val="17"/>
              </w:rPr>
              <w:t>4.0</w:t>
            </w:r>
          </w:p>
        </w:tc>
        <w:tc>
          <w:tcPr>
            <w:tcW w:type="dxa" w:w="1017"/>
          </w:tcPr>
          <w:p>
            <w:pPr>
              <w:spacing w:before="0" w:after="0" w:line="252" w:lineRule="auto"/>
            </w:pPr>
            <w:r>
              <w:rPr>
                <w:sz w:val="17"/>
              </w:rPr>
              <w:t>€M</w:t>
            </w:r>
          </w:p>
        </w:tc>
        <w:tc>
          <w:tcPr>
            <w:tcW w:type="dxa" w:w="1490"/>
          </w:tcPr>
          <w:p>
            <w:pPr>
              <w:spacing w:before="0" w:after="0" w:line="252" w:lineRule="auto"/>
            </w:pPr>
            <w:r>
              <w:rPr>
                <w:sz w:val="17"/>
              </w:rPr>
              <w:t>ESTIMATE / L</w:t>
            </w:r>
          </w:p>
        </w:tc>
      </w:tr>
      <w:tr>
        <w:trPr>
          <w:cantSplit w:val="true"/>
        </w:trPr>
        <w:tc>
          <w:tcPr>
            <w:tcW w:type="dxa" w:w="1133"/>
            <w:shd w:val="clear" w:color="auto" w:fill="F2F5F9"/>
          </w:tcPr>
          <w:p>
            <w:pPr>
              <w:spacing w:before="0" w:after="0" w:line="252" w:lineRule="auto"/>
            </w:pPr>
            <w:r>
              <w:rPr>
                <w:sz w:val="17"/>
              </w:rPr>
              <w:t>A-FIX-10</w:t>
            </w:r>
          </w:p>
        </w:tc>
        <w:tc>
          <w:tcPr>
            <w:tcW w:type="dxa" w:w="2574"/>
            <w:shd w:val="clear" w:color="auto" w:fill="F2F5F9"/>
          </w:tcPr>
          <w:p>
            <w:pPr>
              <w:spacing w:before="0" w:after="0" w:line="252" w:lineRule="auto"/>
            </w:pPr>
            <w:r>
              <w:rPr>
                <w:sz w:val="17"/>
              </w:rPr>
              <w:t>Expansion capex to 90k m³ (P2)</w:t>
            </w:r>
          </w:p>
        </w:tc>
        <w:tc>
          <w:tcPr>
            <w:tcW w:type="dxa" w:w="1040"/>
            <w:shd w:val="clear" w:color="auto" w:fill="F2F5F9"/>
          </w:tcPr>
          <w:p>
            <w:pPr>
              <w:spacing w:before="0" w:after="0" w:line="252" w:lineRule="auto"/>
              <w:jc w:val="center"/>
            </w:pPr>
            <w:r>
              <w:rPr>
                <w:sz w:val="17"/>
              </w:rPr>
              <w:t>0.5</w:t>
            </w:r>
          </w:p>
        </w:tc>
        <w:tc>
          <w:tcPr>
            <w:tcW w:type="dxa" w:w="1233"/>
            <w:shd w:val="clear" w:color="auto" w:fill="F2F5F9"/>
          </w:tcPr>
          <w:p>
            <w:pPr>
              <w:spacing w:before="0" w:after="0" w:line="252" w:lineRule="auto"/>
              <w:jc w:val="center"/>
            </w:pPr>
            <w:r>
              <w:rPr>
                <w:b/>
                <w:sz w:val="17"/>
              </w:rPr>
              <w:t>1.0</w:t>
            </w:r>
          </w:p>
        </w:tc>
        <w:tc>
          <w:tcPr>
            <w:tcW w:type="dxa" w:w="1150"/>
            <w:shd w:val="clear" w:color="auto" w:fill="F2F5F9"/>
          </w:tcPr>
          <w:p>
            <w:pPr>
              <w:spacing w:before="0" w:after="0" w:line="252" w:lineRule="auto"/>
              <w:jc w:val="center"/>
            </w:pPr>
            <w:r>
              <w:rPr>
                <w:sz w:val="17"/>
              </w:rPr>
              <w:t>2.0</w:t>
            </w:r>
          </w:p>
        </w:tc>
        <w:tc>
          <w:tcPr>
            <w:tcW w:type="dxa" w:w="1017"/>
            <w:shd w:val="clear" w:color="auto" w:fill="F2F5F9"/>
          </w:tcPr>
          <w:p>
            <w:pPr>
              <w:spacing w:before="0" w:after="0" w:line="252" w:lineRule="auto"/>
            </w:pPr>
            <w:r>
              <w:rPr>
                <w:sz w:val="17"/>
              </w:rPr>
              <w:t>€M</w:t>
            </w:r>
          </w:p>
        </w:tc>
        <w:tc>
          <w:tcPr>
            <w:tcW w:type="dxa" w:w="1490"/>
            <w:shd w:val="clear" w:color="auto" w:fill="F2F5F9"/>
          </w:tcPr>
          <w:p>
            <w:pPr>
              <w:spacing w:before="0" w:after="0" w:line="252" w:lineRule="auto"/>
            </w:pPr>
            <w:r>
              <w:rPr>
                <w:sz w:val="17"/>
              </w:rPr>
              <w:t>ASSUMPTION / L</w:t>
            </w:r>
          </w:p>
        </w:tc>
      </w:tr>
      <w:tr>
        <w:trPr>
          <w:cantSplit w:val="true"/>
        </w:trPr>
        <w:tc>
          <w:tcPr>
            <w:tcW w:type="dxa" w:w="1133"/>
          </w:tcPr>
          <w:p>
            <w:pPr>
              <w:spacing w:before="0" w:after="0" w:line="252" w:lineRule="auto"/>
            </w:pPr>
            <w:r>
              <w:rPr>
                <w:sz w:val="17"/>
              </w:rPr>
              <w:t>A-OPT-05</w:t>
            </w:r>
          </w:p>
        </w:tc>
        <w:tc>
          <w:tcPr>
            <w:tcW w:type="dxa" w:w="2574"/>
          </w:tcPr>
          <w:p>
            <w:pPr>
              <w:spacing w:before="0" w:after="0" w:line="252" w:lineRule="auto"/>
            </w:pPr>
            <w:r>
              <w:rPr>
                <w:sz w:val="17"/>
              </w:rPr>
              <w:t>Contract crushing rate (unverified anchor)</w:t>
            </w:r>
          </w:p>
        </w:tc>
        <w:tc>
          <w:tcPr>
            <w:tcW w:type="dxa" w:w="1040"/>
          </w:tcPr>
          <w:p>
            <w:pPr>
              <w:spacing w:before="0" w:after="0" w:line="252" w:lineRule="auto"/>
              <w:jc w:val="center"/>
            </w:pPr>
            <w:r>
              <w:rPr>
                <w:sz w:val="17"/>
              </w:rPr>
              <w:t>5</w:t>
            </w:r>
          </w:p>
        </w:tc>
        <w:tc>
          <w:tcPr>
            <w:tcW w:type="dxa" w:w="1233"/>
          </w:tcPr>
          <w:p>
            <w:pPr>
              <w:spacing w:before="0" w:after="0" w:line="252" w:lineRule="auto"/>
              <w:jc w:val="center"/>
            </w:pPr>
            <w:r>
              <w:rPr>
                <w:b/>
                <w:sz w:val="17"/>
              </w:rPr>
              <w:t>7.5</w:t>
            </w:r>
          </w:p>
        </w:tc>
        <w:tc>
          <w:tcPr>
            <w:tcW w:type="dxa" w:w="1150"/>
          </w:tcPr>
          <w:p>
            <w:pPr>
              <w:spacing w:before="0" w:after="0" w:line="252" w:lineRule="auto"/>
              <w:jc w:val="center"/>
            </w:pPr>
            <w:r>
              <w:rPr>
                <w:sz w:val="17"/>
              </w:rPr>
              <w:t>10</w:t>
            </w:r>
          </w:p>
        </w:tc>
        <w:tc>
          <w:tcPr>
            <w:tcW w:type="dxa" w:w="1017"/>
          </w:tcPr>
          <w:p>
            <w:pPr>
              <w:spacing w:before="0" w:after="0" w:line="252" w:lineRule="auto"/>
            </w:pPr>
            <w:r>
              <w:rPr>
                <w:sz w:val="17"/>
              </w:rPr>
              <w:t>€/t</w:t>
            </w:r>
          </w:p>
        </w:tc>
        <w:tc>
          <w:tcPr>
            <w:tcW w:type="dxa" w:w="1490"/>
          </w:tcPr>
          <w:p>
            <w:pPr>
              <w:spacing w:before="0" w:after="0" w:line="252" w:lineRule="auto"/>
            </w:pPr>
            <w:r>
              <w:rPr>
                <w:sz w:val="17"/>
              </w:rPr>
              <w:t>ASSUMPTION / L</w:t>
            </w:r>
          </w:p>
        </w:tc>
      </w:tr>
      <w:tr>
        <w:trPr>
          <w:cantSplit w:val="true"/>
        </w:trPr>
        <w:tc>
          <w:tcPr>
            <w:tcW w:type="dxa" w:w="1133"/>
            <w:shd w:val="clear" w:color="auto" w:fill="F2F5F9"/>
          </w:tcPr>
          <w:p>
            <w:pPr>
              <w:spacing w:before="0" w:after="0" w:line="252" w:lineRule="auto"/>
            </w:pPr>
            <w:r>
              <w:rPr>
                <w:sz w:val="17"/>
              </w:rPr>
              <w:t>–</w:t>
            </w:r>
          </w:p>
        </w:tc>
        <w:tc>
          <w:tcPr>
            <w:tcW w:type="dxa" w:w="2574"/>
            <w:shd w:val="clear" w:color="auto" w:fill="F2F5F9"/>
          </w:tcPr>
          <w:p>
            <w:pPr>
              <w:spacing w:before="0" w:after="0" w:line="252" w:lineRule="auto"/>
            </w:pPr>
            <w:r>
              <w:rPr>
                <w:sz w:val="17"/>
              </w:rPr>
              <w:t>Discount rate (real)</w:t>
            </w:r>
          </w:p>
        </w:tc>
        <w:tc>
          <w:tcPr>
            <w:tcW w:type="dxa" w:w="1040"/>
            <w:shd w:val="clear" w:color="auto" w:fill="F2F5F9"/>
          </w:tcPr>
          <w:p>
            <w:pPr>
              <w:spacing w:before="0" w:after="0" w:line="252" w:lineRule="auto"/>
              <w:jc w:val="center"/>
            </w:pPr>
            <w:r>
              <w:rPr>
                <w:sz w:val="17"/>
              </w:rPr>
              <w:t>6</w:t>
            </w:r>
          </w:p>
        </w:tc>
        <w:tc>
          <w:tcPr>
            <w:tcW w:type="dxa" w:w="1233"/>
            <w:shd w:val="clear" w:color="auto" w:fill="F2F5F9"/>
          </w:tcPr>
          <w:p>
            <w:pPr>
              <w:spacing w:before="0" w:after="0" w:line="252" w:lineRule="auto"/>
              <w:jc w:val="center"/>
            </w:pPr>
            <w:r>
              <w:rPr>
                <w:b/>
                <w:sz w:val="17"/>
              </w:rPr>
              <w:t>8</w:t>
            </w:r>
          </w:p>
        </w:tc>
        <w:tc>
          <w:tcPr>
            <w:tcW w:type="dxa" w:w="1150"/>
            <w:shd w:val="clear" w:color="auto" w:fill="F2F5F9"/>
          </w:tcPr>
          <w:p>
            <w:pPr>
              <w:spacing w:before="0" w:after="0" w:line="252" w:lineRule="auto"/>
              <w:jc w:val="center"/>
            </w:pPr>
            <w:r>
              <w:rPr>
                <w:sz w:val="17"/>
              </w:rPr>
              <w:t>10</w:t>
            </w:r>
          </w:p>
        </w:tc>
        <w:tc>
          <w:tcPr>
            <w:tcW w:type="dxa" w:w="1017"/>
            <w:shd w:val="clear" w:color="auto" w:fill="F2F5F9"/>
          </w:tcPr>
          <w:p>
            <w:pPr>
              <w:spacing w:before="0" w:after="0" w:line="252" w:lineRule="auto"/>
            </w:pPr>
            <w:r>
              <w:rPr>
                <w:sz w:val="17"/>
              </w:rPr>
              <w:t>%</w:t>
            </w:r>
          </w:p>
        </w:tc>
        <w:tc>
          <w:tcPr>
            <w:tcW w:type="dxa" w:w="1490"/>
            <w:shd w:val="clear" w:color="auto" w:fill="F2F5F9"/>
          </w:tcPr>
          <w:p>
            <w:pPr>
              <w:spacing w:before="0" w:after="0" w:line="252" w:lineRule="auto"/>
            </w:pPr>
            <w:r>
              <w:rPr>
                <w:sz w:val="17"/>
              </w:rPr>
              <w:t>Client choice</w:t>
            </w:r>
          </w:p>
        </w:tc>
      </w:tr>
      <w:tr>
        <w:trPr>
          <w:cantSplit w:val="true"/>
        </w:trPr>
        <w:tc>
          <w:tcPr>
            <w:tcW w:type="dxa" w:w="1133"/>
          </w:tcPr>
          <w:p>
            <w:pPr>
              <w:spacing w:before="0" w:after="0" w:line="252" w:lineRule="auto"/>
            </w:pPr>
            <w:r>
              <w:rPr>
                <w:sz w:val="17"/>
              </w:rPr>
              <w:t>–</w:t>
            </w:r>
          </w:p>
        </w:tc>
        <w:tc>
          <w:tcPr>
            <w:tcW w:type="dxa" w:w="2574"/>
          </w:tcPr>
          <w:p>
            <w:pPr>
              <w:spacing w:before="0" w:after="0" w:line="252" w:lineRule="auto"/>
            </w:pPr>
            <w:r>
              <w:rPr>
                <w:sz w:val="17"/>
              </w:rPr>
              <w:t>Corporate tax (Vpb)</w:t>
            </w:r>
          </w:p>
        </w:tc>
        <w:tc>
          <w:tcPr>
            <w:tcW w:type="dxa" w:w="1040"/>
          </w:tcPr>
          <w:p>
            <w:pPr>
              <w:spacing w:before="0" w:after="0" w:line="252" w:lineRule="auto"/>
            </w:pPr>
            <w:r>
              <w:rPr>
                <w:sz w:val="17"/>
              </w:rPr>
              <w:t>–</w:t>
            </w:r>
          </w:p>
        </w:tc>
        <w:tc>
          <w:tcPr>
            <w:tcW w:type="dxa" w:w="1233"/>
          </w:tcPr>
          <w:p>
            <w:pPr>
              <w:spacing w:before="0" w:after="0" w:line="252" w:lineRule="auto"/>
            </w:pPr>
            <w:r>
              <w:rPr>
                <w:b/>
                <w:sz w:val="17"/>
              </w:rPr>
              <w:t>19% to €200k; 25.8% above</w:t>
            </w:r>
          </w:p>
        </w:tc>
        <w:tc>
          <w:tcPr>
            <w:tcW w:type="dxa" w:w="1150"/>
          </w:tcPr>
          <w:p>
            <w:pPr>
              <w:spacing w:before="0" w:after="0" w:line="252" w:lineRule="auto"/>
            </w:pPr>
            <w:r>
              <w:rPr>
                <w:sz w:val="17"/>
              </w:rPr>
              <w:t>–</w:t>
            </w:r>
          </w:p>
        </w:tc>
        <w:tc>
          <w:tcPr>
            <w:tcW w:type="dxa" w:w="1017"/>
          </w:tcPr>
          <w:p>
            <w:pPr>
              <w:spacing w:before="0" w:after="0" w:line="252" w:lineRule="auto"/>
            </w:pPr>
            <w:r>
              <w:rPr>
                <w:sz w:val="17"/>
              </w:rPr>
              <w:t>%</w:t>
            </w:r>
          </w:p>
        </w:tc>
        <w:tc>
          <w:tcPr>
            <w:tcW w:type="dxa" w:w="1490"/>
          </w:tcPr>
          <w:p>
            <w:pPr>
              <w:spacing w:before="0" w:after="0" w:line="252" w:lineRule="auto"/>
            </w:pPr>
            <w:r>
              <w:rPr>
                <w:sz w:val="17"/>
              </w:rPr>
              <w:t>VERIFIED</w:t>
            </w:r>
          </w:p>
        </w:tc>
      </w:tr>
    </w:tbl>
    <w:p>
      <w:pPr>
        <w:spacing w:before="0" w:after="40" w:line="240" w:lineRule="auto"/>
      </w:pPr>
    </w:p>
    <w:p>
      <w:r>
        <w:br w:type="page"/>
      </w:r>
    </w:p>
    <w:p>
      <w:pPr>
        <w:pStyle w:val="Heading1"/>
      </w:pPr>
      <w:r>
        <w:t>Appendix B — Key sources</w:t>
      </w:r>
    </w:p>
    <w:p>
      <w:r>
        <w:t xml:space="preserve">The full list has </w:t>
      </w:r>
      <w:r>
        <w:rPr>
          <w:b/>
        </w:rPr>
        <w:t>380 sources</w:t>
      </w:r>
      <w:r>
        <w:t xml:space="preserve"> with URLs and access dates: </w:t>
      </w:r>
      <w:r>
        <w:rPr>
          <w:rFonts w:ascii="Consolas" w:hAnsi="Consolas" w:eastAsia="Consolas"/>
          <w:color w:val="6B6B6B"/>
          <w:sz w:val="18"/>
        </w:rPr>
        <w:t>research/sources.md</w:t>
      </w:r>
      <w:r>
        <w:t>. All were accessed on 22 October 2026. "Secondary" = trade press or a supplier blog.</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793"/>
        <w:gridCol w:w="2702"/>
        <w:gridCol w:w="2334"/>
        <w:gridCol w:w="1048"/>
        <w:gridCol w:w="2759"/>
      </w:tblGrid>
      <w:tr>
        <w:trPr>
          <w:cantSplit w:val="true"/>
          <w:tblHeader w:val="true"/>
        </w:trPr>
        <w:tc>
          <w:tcPr>
            <w:tcW w:type="dxa" w:w="793"/>
            <w:shd w:val="clear" w:color="auto" w:fill="1F3A5F"/>
          </w:tcPr>
          <w:p>
            <w:pPr>
              <w:spacing w:before="0" w:after="0" w:line="252" w:lineRule="auto"/>
            </w:pPr>
            <w:r>
              <w:rPr>
                <w:b/>
                <w:color w:val="FFFFFF"/>
                <w:sz w:val="17"/>
              </w:rPr>
              <w:t>ID</w:t>
            </w:r>
          </w:p>
        </w:tc>
        <w:tc>
          <w:tcPr>
            <w:tcW w:type="dxa" w:w="2702"/>
            <w:shd w:val="clear" w:color="auto" w:fill="1F3A5F"/>
          </w:tcPr>
          <w:p>
            <w:pPr>
              <w:spacing w:before="0" w:after="0" w:line="252" w:lineRule="auto"/>
            </w:pPr>
            <w:r>
              <w:rPr>
                <w:b/>
                <w:color w:val="FFFFFF"/>
                <w:sz w:val="17"/>
              </w:rPr>
              <w:t>Title</w:t>
            </w:r>
          </w:p>
        </w:tc>
        <w:tc>
          <w:tcPr>
            <w:tcW w:type="dxa" w:w="2334"/>
            <w:shd w:val="clear" w:color="auto" w:fill="1F3A5F"/>
          </w:tcPr>
          <w:p>
            <w:pPr>
              <w:spacing w:before="0" w:after="0" w:line="252" w:lineRule="auto"/>
            </w:pPr>
            <w:r>
              <w:rPr>
                <w:b/>
                <w:color w:val="FFFFFF"/>
                <w:sz w:val="17"/>
              </w:rPr>
              <w:t>Publisher</w:t>
            </w:r>
          </w:p>
        </w:tc>
        <w:tc>
          <w:tcPr>
            <w:tcW w:type="dxa" w:w="1048"/>
            <w:shd w:val="clear" w:color="auto" w:fill="1F3A5F"/>
          </w:tcPr>
          <w:p>
            <w:pPr>
              <w:spacing w:before="0" w:after="0" w:line="252" w:lineRule="auto"/>
            </w:pPr>
            <w:r>
              <w:rPr>
                <w:b/>
                <w:color w:val="FFFFFF"/>
                <w:sz w:val="17"/>
              </w:rPr>
              <w:t>Date</w:t>
            </w:r>
          </w:p>
        </w:tc>
        <w:tc>
          <w:tcPr>
            <w:tcW w:type="dxa" w:w="2760"/>
            <w:shd w:val="clear" w:color="auto" w:fill="1F3A5F"/>
          </w:tcPr>
          <w:p>
            <w:pPr>
              <w:spacing w:before="0" w:after="0" w:line="252" w:lineRule="auto"/>
            </w:pPr>
            <w:r>
              <w:rPr>
                <w:b/>
                <w:color w:val="FFFFFF"/>
                <w:sz w:val="17"/>
              </w:rPr>
              <w:t>Used for</w:t>
            </w:r>
          </w:p>
        </w:tc>
      </w:tr>
      <w:tr>
        <w:trPr>
          <w:cantSplit w:val="true"/>
        </w:trPr>
        <w:tc>
          <w:tcPr>
            <w:tcW w:type="dxa" w:w="793"/>
          </w:tcPr>
          <w:p>
            <w:pPr>
              <w:spacing w:before="0" w:after="0" w:line="252" w:lineRule="auto"/>
            </w:pPr>
            <w:r>
              <w:rPr>
                <w:sz w:val="17"/>
              </w:rPr>
              <w:t>POL-01</w:t>
            </w:r>
          </w:p>
        </w:tc>
        <w:tc>
          <w:tcPr>
            <w:tcW w:type="dxa" w:w="2702"/>
          </w:tcPr>
          <w:p>
            <w:pPr>
              <w:spacing w:before="0" w:after="0" w:line="252" w:lineRule="auto"/>
            </w:pPr>
            <w:r>
              <w:rPr>
                <w:sz w:val="17"/>
              </w:rPr>
              <w:t>De koers naar 2030</w:t>
            </w:r>
          </w:p>
        </w:tc>
        <w:tc>
          <w:tcPr>
            <w:tcW w:type="dxa" w:w="2334"/>
          </w:tcPr>
          <w:p>
            <w:pPr>
              <w:spacing w:before="0" w:after="0" w:line="252" w:lineRule="auto"/>
            </w:pPr>
            <w:r>
              <w:rPr>
                <w:sz w:val="17"/>
              </w:rPr>
              <w:t>Betonakkoord (expert committee)</w:t>
            </w:r>
          </w:p>
        </w:tc>
        <w:tc>
          <w:tcPr>
            <w:tcW w:type="dxa" w:w="1048"/>
          </w:tcPr>
          <w:p>
            <w:pPr>
              <w:spacing w:before="0" w:after="0" w:line="252" w:lineRule="auto"/>
              <w:jc w:val="center"/>
            </w:pPr>
            <w:r>
              <w:rPr>
                <w:sz w:val="17"/>
              </w:rPr>
              <w:t>2025-06</w:t>
            </w:r>
          </w:p>
        </w:tc>
        <w:tc>
          <w:tcPr>
            <w:tcW w:type="dxa" w:w="2760"/>
          </w:tcPr>
          <w:p>
            <w:pPr>
              <w:spacing w:before="0" w:after="0" w:line="252" w:lineRule="auto"/>
            </w:pPr>
            <w:r>
              <w:rPr>
                <w:sz w:val="17"/>
              </w:rPr>
              <w:t>MKI/CO₂ ceiling and front-runner values; rubble-to-concrete path</w:t>
            </w:r>
          </w:p>
        </w:tc>
      </w:tr>
      <w:tr>
        <w:trPr>
          <w:cantSplit w:val="true"/>
        </w:trPr>
        <w:tc>
          <w:tcPr>
            <w:tcW w:type="dxa" w:w="793"/>
            <w:shd w:val="clear" w:color="auto" w:fill="F2F5F9"/>
          </w:tcPr>
          <w:p>
            <w:pPr>
              <w:spacing w:before="0" w:after="0" w:line="252" w:lineRule="auto"/>
            </w:pPr>
            <w:r>
              <w:rPr>
                <w:sz w:val="17"/>
              </w:rPr>
              <w:t>POL-08</w:t>
            </w:r>
          </w:p>
        </w:tc>
        <w:tc>
          <w:tcPr>
            <w:tcW w:type="dxa" w:w="2702"/>
            <w:shd w:val="clear" w:color="auto" w:fill="F2F5F9"/>
          </w:tcPr>
          <w:p>
            <w:pPr>
              <w:spacing w:before="0" w:after="0" w:line="252" w:lineRule="auto"/>
            </w:pPr>
            <w:r>
              <w:rPr>
                <w:sz w:val="17"/>
              </w:rPr>
              <w:t>Milieuprestatie gebouwen (MPG)</w:t>
            </w:r>
          </w:p>
        </w:tc>
        <w:tc>
          <w:tcPr>
            <w:tcW w:type="dxa" w:w="2334"/>
            <w:shd w:val="clear" w:color="auto" w:fill="F2F5F9"/>
          </w:tcPr>
          <w:p>
            <w:pPr>
              <w:spacing w:before="0" w:after="0" w:line="252" w:lineRule="auto"/>
            </w:pPr>
            <w:r>
              <w:rPr>
                <w:sz w:val="17"/>
              </w:rPr>
              <w:t>RVO</w:t>
            </w:r>
          </w:p>
        </w:tc>
        <w:tc>
          <w:tcPr>
            <w:tcW w:type="dxa" w:w="1048"/>
            <w:shd w:val="clear" w:color="auto" w:fill="F2F5F9"/>
          </w:tcPr>
          <w:p>
            <w:pPr>
              <w:spacing w:before="0" w:after="0" w:line="252" w:lineRule="auto"/>
              <w:jc w:val="center"/>
            </w:pPr>
            <w:r>
              <w:rPr>
                <w:sz w:val="17"/>
              </w:rPr>
              <w:t>2026</w:t>
            </w:r>
          </w:p>
        </w:tc>
        <w:tc>
          <w:tcPr>
            <w:tcW w:type="dxa" w:w="2760"/>
            <w:shd w:val="clear" w:color="auto" w:fill="F2F5F9"/>
          </w:tcPr>
          <w:p>
            <w:pPr>
              <w:spacing w:before="0" w:after="0" w:line="252" w:lineRule="auto"/>
            </w:pPr>
            <w:r>
              <w:rPr>
                <w:sz w:val="17"/>
              </w:rPr>
              <w:t>MPG limits from 1 July 2026</w:t>
            </w:r>
          </w:p>
        </w:tc>
      </w:tr>
      <w:tr>
        <w:trPr>
          <w:cantSplit w:val="true"/>
        </w:trPr>
        <w:tc>
          <w:tcPr>
            <w:tcW w:type="dxa" w:w="793"/>
          </w:tcPr>
          <w:p>
            <w:pPr>
              <w:spacing w:before="0" w:after="0" w:line="252" w:lineRule="auto"/>
            </w:pPr>
            <w:r>
              <w:rPr>
                <w:sz w:val="17"/>
              </w:rPr>
              <w:t>POL-10</w:t>
            </w:r>
          </w:p>
        </w:tc>
        <w:tc>
          <w:tcPr>
            <w:tcW w:type="dxa" w:w="2702"/>
          </w:tcPr>
          <w:p>
            <w:pPr>
              <w:spacing w:before="0" w:after="0" w:line="252" w:lineRule="auto"/>
            </w:pPr>
            <w:r>
              <w:rPr>
                <w:sz w:val="17"/>
              </w:rPr>
              <w:t>Minister omarmt advies STOER</w:t>
            </w:r>
          </w:p>
        </w:tc>
        <w:tc>
          <w:tcPr>
            <w:tcW w:type="dxa" w:w="2334"/>
          </w:tcPr>
          <w:p>
            <w:pPr>
              <w:spacing w:before="0" w:after="0" w:line="252" w:lineRule="auto"/>
            </w:pPr>
            <w:r>
              <w:rPr>
                <w:sz w:val="17"/>
              </w:rPr>
              <w:t>Rijksoverheid</w:t>
            </w:r>
          </w:p>
        </w:tc>
        <w:tc>
          <w:tcPr>
            <w:tcW w:type="dxa" w:w="1048"/>
          </w:tcPr>
          <w:p>
            <w:pPr>
              <w:spacing w:before="0" w:after="0" w:line="252" w:lineRule="auto"/>
              <w:jc w:val="center"/>
            </w:pPr>
            <w:r>
              <w:rPr>
                <w:sz w:val="17"/>
              </w:rPr>
              <w:t>2025-06-23</w:t>
            </w:r>
          </w:p>
        </w:tc>
        <w:tc>
          <w:tcPr>
            <w:tcW w:type="dxa" w:w="2760"/>
          </w:tcPr>
          <w:p>
            <w:pPr>
              <w:spacing w:before="0" w:after="0" w:line="252" w:lineRule="auto"/>
            </w:pPr>
            <w:r>
              <w:rPr>
                <w:sz w:val="17"/>
              </w:rPr>
              <w:t>MPG tightening for homes cancelled</w:t>
            </w:r>
          </w:p>
        </w:tc>
      </w:tr>
      <w:tr>
        <w:trPr>
          <w:cantSplit w:val="true"/>
        </w:trPr>
        <w:tc>
          <w:tcPr>
            <w:tcW w:type="dxa" w:w="793"/>
            <w:shd w:val="clear" w:color="auto" w:fill="F2F5F9"/>
          </w:tcPr>
          <w:p>
            <w:pPr>
              <w:spacing w:before="0" w:after="0" w:line="252" w:lineRule="auto"/>
            </w:pPr>
            <w:r>
              <w:rPr>
                <w:sz w:val="17"/>
              </w:rPr>
              <w:t>POL-17</w:t>
            </w:r>
          </w:p>
        </w:tc>
        <w:tc>
          <w:tcPr>
            <w:tcW w:type="dxa" w:w="2702"/>
            <w:shd w:val="clear" w:color="auto" w:fill="F2F5F9"/>
          </w:tcPr>
          <w:p>
            <w:pPr>
              <w:spacing w:before="0" w:after="0" w:line="252" w:lineRule="auto"/>
            </w:pPr>
            <w:r>
              <w:rPr>
                <w:sz w:val="17"/>
              </w:rPr>
              <w:t>Consultatie Besluit milieuprestatie-eisen GWW</w:t>
            </w:r>
          </w:p>
        </w:tc>
        <w:tc>
          <w:tcPr>
            <w:tcW w:type="dxa" w:w="2334"/>
            <w:shd w:val="clear" w:color="auto" w:fill="F2F5F9"/>
          </w:tcPr>
          <w:p>
            <w:pPr>
              <w:spacing w:before="0" w:after="0" w:line="252" w:lineRule="auto"/>
            </w:pPr>
            <w:r>
              <w:rPr>
                <w:sz w:val="17"/>
              </w:rPr>
              <w:t>Internetconsultatie.nl</w:t>
            </w:r>
          </w:p>
        </w:tc>
        <w:tc>
          <w:tcPr>
            <w:tcW w:type="dxa" w:w="1048"/>
            <w:shd w:val="clear" w:color="auto" w:fill="F2F5F9"/>
          </w:tcPr>
          <w:p>
            <w:pPr>
              <w:spacing w:before="0" w:after="0" w:line="252" w:lineRule="auto"/>
              <w:jc w:val="center"/>
            </w:pPr>
            <w:r>
              <w:rPr>
                <w:sz w:val="17"/>
              </w:rPr>
              <w:t>2026-07</w:t>
            </w:r>
          </w:p>
        </w:tc>
        <w:tc>
          <w:tcPr>
            <w:tcW w:type="dxa" w:w="2760"/>
            <w:shd w:val="clear" w:color="auto" w:fill="F2F5F9"/>
          </w:tcPr>
          <w:p>
            <w:pPr>
              <w:spacing w:before="0" w:after="0" w:line="252" w:lineRule="auto"/>
            </w:pPr>
            <w:r>
              <w:rPr>
                <w:sz w:val="17"/>
              </w:rPr>
              <w:t>Compulsory MKI ceilings in public GWW tenders</w:t>
            </w:r>
          </w:p>
        </w:tc>
      </w:tr>
      <w:tr>
        <w:trPr>
          <w:cantSplit w:val="true"/>
        </w:trPr>
        <w:tc>
          <w:tcPr>
            <w:tcW w:type="dxa" w:w="793"/>
          </w:tcPr>
          <w:p>
            <w:pPr>
              <w:spacing w:before="0" w:after="0" w:line="252" w:lineRule="auto"/>
            </w:pPr>
            <w:r>
              <w:rPr>
                <w:sz w:val="17"/>
              </w:rPr>
              <w:t>POL-20</w:t>
            </w:r>
          </w:p>
        </w:tc>
        <w:tc>
          <w:tcPr>
            <w:tcW w:type="dxa" w:w="2702"/>
          </w:tcPr>
          <w:p>
            <w:pPr>
              <w:spacing w:before="0" w:after="0" w:line="252" w:lineRule="auto"/>
            </w:pPr>
            <w:r>
              <w:rPr>
                <w:sz w:val="17"/>
              </w:rPr>
              <w:t>Toepassingsgebied dwingende MKI in de GWW</w:t>
            </w:r>
          </w:p>
        </w:tc>
        <w:tc>
          <w:tcPr>
            <w:tcW w:type="dxa" w:w="2334"/>
          </w:tcPr>
          <w:p>
            <w:pPr>
              <w:spacing w:before="0" w:after="0" w:line="252" w:lineRule="auto"/>
            </w:pPr>
            <w:r>
              <w:rPr>
                <w:sz w:val="17"/>
              </w:rPr>
              <w:t>Rijksoverheid (Witteveen+Bos)</w:t>
            </w:r>
          </w:p>
        </w:tc>
        <w:tc>
          <w:tcPr>
            <w:tcW w:type="dxa" w:w="1048"/>
          </w:tcPr>
          <w:p>
            <w:pPr>
              <w:spacing w:before="0" w:after="0" w:line="252" w:lineRule="auto"/>
              <w:jc w:val="center"/>
            </w:pPr>
            <w:r>
              <w:rPr>
                <w:sz w:val="17"/>
              </w:rPr>
              <w:t>2024-02</w:t>
            </w:r>
          </w:p>
        </w:tc>
        <w:tc>
          <w:tcPr>
            <w:tcW w:type="dxa" w:w="2760"/>
          </w:tcPr>
          <w:p>
            <w:pPr>
              <w:spacing w:before="0" w:after="0" w:line="252" w:lineRule="auto"/>
            </w:pPr>
            <w:r>
              <w:rPr>
                <w:sz w:val="17"/>
              </w:rPr>
              <w:t>GWW client shares; MKI reduction targets</w:t>
            </w:r>
          </w:p>
        </w:tc>
      </w:tr>
      <w:tr>
        <w:trPr>
          <w:cantSplit w:val="true"/>
        </w:trPr>
        <w:tc>
          <w:tcPr>
            <w:tcW w:type="dxa" w:w="793"/>
            <w:shd w:val="clear" w:color="auto" w:fill="F2F5F9"/>
          </w:tcPr>
          <w:p>
            <w:pPr>
              <w:spacing w:before="0" w:after="0" w:line="252" w:lineRule="auto"/>
            </w:pPr>
            <w:r>
              <w:rPr>
                <w:sz w:val="17"/>
              </w:rPr>
              <w:t>POL-23</w:t>
            </w:r>
          </w:p>
        </w:tc>
        <w:tc>
          <w:tcPr>
            <w:tcW w:type="dxa" w:w="2702"/>
            <w:shd w:val="clear" w:color="auto" w:fill="F2F5F9"/>
          </w:tcPr>
          <w:p>
            <w:pPr>
              <w:spacing w:before="0" w:after="0" w:line="252" w:lineRule="auto"/>
            </w:pPr>
            <w:r>
              <w:rPr>
                <w:sz w:val="17"/>
              </w:rPr>
              <w:t>DuboCalc webinar opdrachtgevers</w:t>
            </w:r>
          </w:p>
        </w:tc>
        <w:tc>
          <w:tcPr>
            <w:tcW w:type="dxa" w:w="2334"/>
            <w:shd w:val="clear" w:color="auto" w:fill="F2F5F9"/>
          </w:tcPr>
          <w:p>
            <w:pPr>
              <w:spacing w:before="0" w:after="0" w:line="252" w:lineRule="auto"/>
            </w:pPr>
            <w:r>
              <w:rPr>
                <w:sz w:val="17"/>
              </w:rPr>
              <w:t>Rijkswaterstaat / Platform WOW</w:t>
            </w:r>
          </w:p>
        </w:tc>
        <w:tc>
          <w:tcPr>
            <w:tcW w:type="dxa" w:w="1048"/>
            <w:shd w:val="clear" w:color="auto" w:fill="F2F5F9"/>
          </w:tcPr>
          <w:p>
            <w:pPr>
              <w:spacing w:before="0" w:after="0" w:line="252" w:lineRule="auto"/>
              <w:jc w:val="center"/>
            </w:pPr>
            <w:r>
              <w:rPr>
                <w:sz w:val="17"/>
              </w:rPr>
              <w:t>2020</w:t>
            </w:r>
          </w:p>
        </w:tc>
        <w:tc>
          <w:tcPr>
            <w:tcW w:type="dxa" w:w="2760"/>
            <w:shd w:val="clear" w:color="auto" w:fill="F2F5F9"/>
          </w:tcPr>
          <w:p>
            <w:pPr>
              <w:spacing w:before="0" w:after="0" w:line="252" w:lineRule="auto"/>
            </w:pPr>
            <w:r>
              <w:rPr>
                <w:sz w:val="17"/>
              </w:rPr>
              <w:t>MKI valuation in tenders (€2 per € MKI)</w:t>
            </w:r>
          </w:p>
        </w:tc>
      </w:tr>
      <w:tr>
        <w:trPr>
          <w:cantSplit w:val="true"/>
        </w:trPr>
        <w:tc>
          <w:tcPr>
            <w:tcW w:type="dxa" w:w="793"/>
          </w:tcPr>
          <w:p>
            <w:pPr>
              <w:spacing w:before="0" w:after="0" w:line="252" w:lineRule="auto"/>
            </w:pPr>
            <w:r>
              <w:rPr>
                <w:sz w:val="17"/>
              </w:rPr>
              <w:t>POL-24</w:t>
            </w:r>
          </w:p>
        </w:tc>
        <w:tc>
          <w:tcPr>
            <w:tcW w:type="dxa" w:w="2702"/>
          </w:tcPr>
          <w:p>
            <w:pPr>
              <w:spacing w:before="0" w:after="0" w:line="252" w:lineRule="auto"/>
            </w:pPr>
            <w:r>
              <w:rPr>
                <w:sz w:val="17"/>
              </w:rPr>
              <w:t>MKI bij ProRail</w:t>
            </w:r>
          </w:p>
        </w:tc>
        <w:tc>
          <w:tcPr>
            <w:tcW w:type="dxa" w:w="2334"/>
          </w:tcPr>
          <w:p>
            <w:pPr>
              <w:spacing w:before="0" w:after="0" w:line="252" w:lineRule="auto"/>
            </w:pPr>
            <w:r>
              <w:rPr>
                <w:sz w:val="17"/>
              </w:rPr>
              <w:t>ProRail</w:t>
            </w:r>
          </w:p>
        </w:tc>
        <w:tc>
          <w:tcPr>
            <w:tcW w:type="dxa" w:w="1048"/>
          </w:tcPr>
          <w:p>
            <w:pPr>
              <w:spacing w:before="0" w:after="0" w:line="252" w:lineRule="auto"/>
              <w:jc w:val="center"/>
            </w:pPr>
            <w:r>
              <w:rPr>
                <w:sz w:val="17"/>
              </w:rPr>
              <w:t>2025-07</w:t>
            </w:r>
          </w:p>
        </w:tc>
        <w:tc>
          <w:tcPr>
            <w:tcW w:type="dxa" w:w="2760"/>
          </w:tcPr>
          <w:p>
            <w:pPr>
              <w:spacing w:before="0" w:after="0" w:line="252" w:lineRule="auto"/>
            </w:pPr>
            <w:r>
              <w:rPr>
                <w:sz w:val="17"/>
              </w:rPr>
              <w:t>±25% award advantage</w:t>
            </w:r>
          </w:p>
        </w:tc>
      </w:tr>
      <w:tr>
        <w:trPr>
          <w:cantSplit w:val="true"/>
        </w:trPr>
        <w:tc>
          <w:tcPr>
            <w:tcW w:type="dxa" w:w="793"/>
            <w:shd w:val="clear" w:color="auto" w:fill="F2F5F9"/>
          </w:tcPr>
          <w:p>
            <w:pPr>
              <w:spacing w:before="0" w:after="0" w:line="252" w:lineRule="auto"/>
            </w:pPr>
            <w:r>
              <w:rPr>
                <w:sz w:val="17"/>
              </w:rPr>
              <w:t>POL-30</w:t>
            </w:r>
          </w:p>
        </w:tc>
        <w:tc>
          <w:tcPr>
            <w:tcW w:type="dxa" w:w="2702"/>
            <w:shd w:val="clear" w:color="auto" w:fill="F2F5F9"/>
          </w:tcPr>
          <w:p>
            <w:pPr>
              <w:spacing w:before="0" w:after="0" w:line="252" w:lineRule="auto"/>
            </w:pPr>
            <w:r>
              <w:rPr>
                <w:sz w:val="17"/>
              </w:rPr>
              <w:t>Betongranulaat in gestorte betonconstructies</w:t>
            </w:r>
          </w:p>
        </w:tc>
        <w:tc>
          <w:tcPr>
            <w:tcW w:type="dxa" w:w="2334"/>
            <w:shd w:val="clear" w:color="auto" w:fill="F2F5F9"/>
          </w:tcPr>
          <w:p>
            <w:pPr>
              <w:spacing w:before="0" w:after="0" w:line="252" w:lineRule="auto"/>
            </w:pPr>
            <w:r>
              <w:rPr>
                <w:sz w:val="17"/>
              </w:rPr>
              <w:t>Betonhuis</w:t>
            </w:r>
          </w:p>
        </w:tc>
        <w:tc>
          <w:tcPr>
            <w:tcW w:type="dxa" w:w="1048"/>
            <w:shd w:val="clear" w:color="auto" w:fill="F2F5F9"/>
          </w:tcPr>
          <w:p>
            <w:pPr>
              <w:spacing w:before="0" w:after="0" w:line="252" w:lineRule="auto"/>
            </w:pPr>
            <w:r>
              <w:rPr>
                <w:sz w:val="17"/>
              </w:rPr>
              <w:t>n.d.</w:t>
            </w:r>
          </w:p>
        </w:tc>
        <w:tc>
          <w:tcPr>
            <w:tcW w:type="dxa" w:w="2760"/>
            <w:shd w:val="clear" w:color="auto" w:fill="F2F5F9"/>
          </w:tcPr>
          <w:p>
            <w:pPr>
              <w:spacing w:before="0" w:after="0" w:line="252" w:lineRule="auto"/>
            </w:pPr>
            <w:r>
              <w:rPr>
                <w:sz w:val="17"/>
              </w:rPr>
              <w:t>NEN 8005 and CUR 112 replacement limits</w:t>
            </w:r>
          </w:p>
        </w:tc>
      </w:tr>
      <w:tr>
        <w:trPr>
          <w:cantSplit w:val="true"/>
        </w:trPr>
        <w:tc>
          <w:tcPr>
            <w:tcW w:type="dxa" w:w="793"/>
          </w:tcPr>
          <w:p>
            <w:pPr>
              <w:spacing w:before="0" w:after="0" w:line="252" w:lineRule="auto"/>
            </w:pPr>
            <w:r>
              <w:rPr>
                <w:sz w:val="17"/>
              </w:rPr>
              <w:t>POL-39</w:t>
            </w:r>
          </w:p>
        </w:tc>
        <w:tc>
          <w:tcPr>
            <w:tcW w:type="dxa" w:w="2702"/>
          </w:tcPr>
          <w:p>
            <w:pPr>
              <w:spacing w:before="0" w:after="0" w:line="252" w:lineRule="auto"/>
            </w:pPr>
            <w:r>
              <w:rPr>
                <w:sz w:val="17"/>
              </w:rPr>
              <w:t>CBAM definitive regime 2026</w:t>
            </w:r>
          </w:p>
        </w:tc>
        <w:tc>
          <w:tcPr>
            <w:tcW w:type="dxa" w:w="2334"/>
          </w:tcPr>
          <w:p>
            <w:pPr>
              <w:spacing w:before="0" w:after="0" w:line="252" w:lineRule="auto"/>
            </w:pPr>
            <w:r>
              <w:rPr>
                <w:sz w:val="17"/>
              </w:rPr>
              <w:t>DEHSt</w:t>
            </w:r>
          </w:p>
        </w:tc>
        <w:tc>
          <w:tcPr>
            <w:tcW w:type="dxa" w:w="1048"/>
          </w:tcPr>
          <w:p>
            <w:pPr>
              <w:spacing w:before="0" w:after="0" w:line="252" w:lineRule="auto"/>
              <w:jc w:val="center"/>
            </w:pPr>
            <w:r>
              <w:rPr>
                <w:sz w:val="17"/>
              </w:rPr>
              <w:t>2026</w:t>
            </w:r>
          </w:p>
        </w:tc>
        <w:tc>
          <w:tcPr>
            <w:tcW w:type="dxa" w:w="2760"/>
          </w:tcPr>
          <w:p>
            <w:pPr>
              <w:spacing w:before="0" w:after="0" w:line="252" w:lineRule="auto"/>
            </w:pPr>
            <w:r>
              <w:rPr>
                <w:sz w:val="17"/>
              </w:rPr>
              <w:t>Free allocation phase-out 2026–2034</w:t>
            </w:r>
          </w:p>
        </w:tc>
      </w:tr>
      <w:tr>
        <w:trPr>
          <w:cantSplit w:val="true"/>
        </w:trPr>
        <w:tc>
          <w:tcPr>
            <w:tcW w:type="dxa" w:w="793"/>
            <w:shd w:val="clear" w:color="auto" w:fill="F2F5F9"/>
          </w:tcPr>
          <w:p>
            <w:pPr>
              <w:spacing w:before="0" w:after="0" w:line="252" w:lineRule="auto"/>
            </w:pPr>
            <w:r>
              <w:rPr>
                <w:sz w:val="17"/>
              </w:rPr>
              <w:t>POL-42</w:t>
            </w:r>
          </w:p>
        </w:tc>
        <w:tc>
          <w:tcPr>
            <w:tcW w:type="dxa" w:w="2702"/>
            <w:shd w:val="clear" w:color="auto" w:fill="F2F5F9"/>
          </w:tcPr>
          <w:p>
            <w:pPr>
              <w:spacing w:before="0" w:after="0" w:line="252" w:lineRule="auto"/>
            </w:pPr>
            <w:r>
              <w:rPr>
                <w:sz w:val="17"/>
              </w:rPr>
              <w:t>EU ETS review proposal</w:t>
            </w:r>
          </w:p>
        </w:tc>
        <w:tc>
          <w:tcPr>
            <w:tcW w:type="dxa" w:w="2334"/>
            <w:shd w:val="clear" w:color="auto" w:fill="F2F5F9"/>
          </w:tcPr>
          <w:p>
            <w:pPr>
              <w:spacing w:before="0" w:after="0" w:line="252" w:lineRule="auto"/>
            </w:pPr>
            <w:r>
              <w:rPr>
                <w:sz w:val="17"/>
              </w:rPr>
              <w:t>ICAP</w:t>
            </w:r>
          </w:p>
        </w:tc>
        <w:tc>
          <w:tcPr>
            <w:tcW w:type="dxa" w:w="1048"/>
            <w:shd w:val="clear" w:color="auto" w:fill="F2F5F9"/>
          </w:tcPr>
          <w:p>
            <w:pPr>
              <w:spacing w:before="0" w:after="0" w:line="252" w:lineRule="auto"/>
              <w:jc w:val="center"/>
            </w:pPr>
            <w:r>
              <w:rPr>
                <w:sz w:val="17"/>
              </w:rPr>
              <w:t>2026-07</w:t>
            </w:r>
          </w:p>
        </w:tc>
        <w:tc>
          <w:tcPr>
            <w:tcW w:type="dxa" w:w="2760"/>
            <w:shd w:val="clear" w:color="auto" w:fill="F2F5F9"/>
          </w:tcPr>
          <w:p>
            <w:pPr>
              <w:spacing w:before="0" w:after="0" w:line="252" w:lineRule="auto"/>
            </w:pPr>
            <w:r>
              <w:rPr>
                <w:sz w:val="17"/>
              </w:rPr>
              <w:t>Proposal to slow phase-out to 2038</w:t>
            </w:r>
          </w:p>
        </w:tc>
      </w:tr>
      <w:tr>
        <w:trPr>
          <w:cantSplit w:val="true"/>
        </w:trPr>
        <w:tc>
          <w:tcPr>
            <w:tcW w:type="dxa" w:w="793"/>
          </w:tcPr>
          <w:p>
            <w:pPr>
              <w:spacing w:before="0" w:after="0" w:line="252" w:lineRule="auto"/>
            </w:pPr>
            <w:r>
              <w:rPr>
                <w:sz w:val="17"/>
              </w:rPr>
              <w:t>POL-51</w:t>
            </w:r>
          </w:p>
        </w:tc>
        <w:tc>
          <w:tcPr>
            <w:tcW w:type="dxa" w:w="2702"/>
          </w:tcPr>
          <w:p>
            <w:pPr>
              <w:spacing w:before="0" w:after="0" w:line="252" w:lineRule="auto"/>
            </w:pPr>
            <w:r>
              <w:rPr>
                <w:sz w:val="17"/>
              </w:rPr>
              <w:t>Kabinet schrapt deel verhoging afvalheffingen</w:t>
            </w:r>
          </w:p>
        </w:tc>
        <w:tc>
          <w:tcPr>
            <w:tcW w:type="dxa" w:w="2334"/>
          </w:tcPr>
          <w:p>
            <w:pPr>
              <w:spacing w:before="0" w:after="0" w:line="252" w:lineRule="auto"/>
            </w:pPr>
            <w:r>
              <w:rPr>
                <w:sz w:val="17"/>
              </w:rPr>
              <w:t>AfvalOnline (secondary)</w:t>
            </w:r>
          </w:p>
        </w:tc>
        <w:tc>
          <w:tcPr>
            <w:tcW w:type="dxa" w:w="1048"/>
          </w:tcPr>
          <w:p>
            <w:pPr>
              <w:spacing w:before="0" w:after="0" w:line="252" w:lineRule="auto"/>
              <w:jc w:val="center"/>
            </w:pPr>
            <w:r>
              <w:rPr>
                <w:sz w:val="17"/>
              </w:rPr>
              <w:t>2026-09</w:t>
            </w:r>
          </w:p>
        </w:tc>
        <w:tc>
          <w:tcPr>
            <w:tcW w:type="dxa" w:w="2760"/>
          </w:tcPr>
          <w:p>
            <w:pPr>
              <w:spacing w:before="0" w:after="0" w:line="252" w:lineRule="auto"/>
            </w:pPr>
            <w:r>
              <w:rPr>
                <w:sz w:val="17"/>
              </w:rPr>
              <w:t>Landfill tax path to €81/t</w:t>
            </w:r>
          </w:p>
        </w:tc>
      </w:tr>
      <w:tr>
        <w:trPr>
          <w:cantSplit w:val="true"/>
        </w:trPr>
        <w:tc>
          <w:tcPr>
            <w:tcW w:type="dxa" w:w="793"/>
            <w:shd w:val="clear" w:color="auto" w:fill="F2F5F9"/>
          </w:tcPr>
          <w:p>
            <w:pPr>
              <w:spacing w:before="0" w:after="0" w:line="252" w:lineRule="auto"/>
            </w:pPr>
            <w:r>
              <w:rPr>
                <w:sz w:val="17"/>
              </w:rPr>
              <w:t>POL-55</w:t>
            </w:r>
          </w:p>
        </w:tc>
        <w:tc>
          <w:tcPr>
            <w:tcW w:type="dxa" w:w="2702"/>
            <w:shd w:val="clear" w:color="auto" w:fill="F2F5F9"/>
          </w:tcPr>
          <w:p>
            <w:pPr>
              <w:spacing w:before="0" w:after="0" w:line="252" w:lineRule="auto"/>
            </w:pPr>
            <w:r>
              <w:rPr>
                <w:sz w:val="17"/>
              </w:rPr>
              <w:t>Beton (ketenplan)</w:t>
            </w:r>
          </w:p>
        </w:tc>
        <w:tc>
          <w:tcPr>
            <w:tcW w:type="dxa" w:w="2334"/>
            <w:shd w:val="clear" w:color="auto" w:fill="F2F5F9"/>
          </w:tcPr>
          <w:p>
            <w:pPr>
              <w:spacing w:before="0" w:after="0" w:line="252" w:lineRule="auto"/>
            </w:pPr>
            <w:r>
              <w:rPr>
                <w:sz w:val="17"/>
              </w:rPr>
              <w:t>Circulair Materialenplan (IenW)</w:t>
            </w:r>
          </w:p>
        </w:tc>
        <w:tc>
          <w:tcPr>
            <w:tcW w:type="dxa" w:w="1048"/>
            <w:shd w:val="clear" w:color="auto" w:fill="F2F5F9"/>
          </w:tcPr>
          <w:p>
            <w:pPr>
              <w:spacing w:before="0" w:after="0" w:line="252" w:lineRule="auto"/>
              <w:jc w:val="center"/>
            </w:pPr>
            <w:r>
              <w:rPr>
                <w:sz w:val="17"/>
              </w:rPr>
              <w:t>2025-11</w:t>
            </w:r>
          </w:p>
        </w:tc>
        <w:tc>
          <w:tcPr>
            <w:tcW w:type="dxa" w:w="2760"/>
            <w:shd w:val="clear" w:color="auto" w:fill="F2F5F9"/>
          </w:tcPr>
          <w:p>
            <w:pPr>
              <w:spacing w:before="0" w:after="0" w:line="252" w:lineRule="auto"/>
            </w:pPr>
            <w:r>
              <w:rPr>
                <w:sz w:val="17"/>
              </w:rPr>
              <w:t>Minimum standard; &gt;90% of rubble to road base</w:t>
            </w:r>
          </w:p>
        </w:tc>
      </w:tr>
      <w:tr>
        <w:trPr>
          <w:cantSplit w:val="true"/>
        </w:trPr>
        <w:tc>
          <w:tcPr>
            <w:tcW w:type="dxa" w:w="793"/>
          </w:tcPr>
          <w:p>
            <w:pPr>
              <w:spacing w:before="0" w:after="0" w:line="252" w:lineRule="auto"/>
            </w:pPr>
            <w:r>
              <w:rPr>
                <w:sz w:val="17"/>
              </w:rPr>
              <w:t>POL-68</w:t>
            </w:r>
          </w:p>
        </w:tc>
        <w:tc>
          <w:tcPr>
            <w:tcW w:type="dxa" w:w="2702"/>
          </w:tcPr>
          <w:p>
            <w:pPr>
              <w:spacing w:before="0" w:after="0" w:line="252" w:lineRule="auto"/>
            </w:pPr>
            <w:r>
              <w:rPr>
                <w:sz w:val="17"/>
              </w:rPr>
              <w:t>Milieulijst 2026 (MIA/Vamil)</w:t>
            </w:r>
          </w:p>
        </w:tc>
        <w:tc>
          <w:tcPr>
            <w:tcW w:type="dxa" w:w="2334"/>
          </w:tcPr>
          <w:p>
            <w:pPr>
              <w:spacing w:before="0" w:after="0" w:line="252" w:lineRule="auto"/>
            </w:pPr>
            <w:r>
              <w:rPr>
                <w:sz w:val="17"/>
              </w:rPr>
              <w:t>RVO</w:t>
            </w:r>
          </w:p>
        </w:tc>
        <w:tc>
          <w:tcPr>
            <w:tcW w:type="dxa" w:w="1048"/>
          </w:tcPr>
          <w:p>
            <w:pPr>
              <w:spacing w:before="0" w:after="0" w:line="252" w:lineRule="auto"/>
              <w:jc w:val="center"/>
            </w:pPr>
            <w:r>
              <w:rPr>
                <w:sz w:val="17"/>
              </w:rPr>
              <w:t>2026-03</w:t>
            </w:r>
          </w:p>
        </w:tc>
        <w:tc>
          <w:tcPr>
            <w:tcW w:type="dxa" w:w="2760"/>
          </w:tcPr>
          <w:p>
            <w:pPr>
              <w:spacing w:before="0" w:after="0" w:line="252" w:lineRule="auto"/>
            </w:pPr>
            <w:r>
              <w:rPr>
                <w:sz w:val="17"/>
              </w:rPr>
              <w:t>Tax incentive rates</w:t>
            </w:r>
          </w:p>
        </w:tc>
      </w:tr>
      <w:tr>
        <w:trPr>
          <w:cantSplit w:val="true"/>
        </w:trPr>
        <w:tc>
          <w:tcPr>
            <w:tcW w:type="dxa" w:w="793"/>
            <w:shd w:val="clear" w:color="auto" w:fill="F2F5F9"/>
          </w:tcPr>
          <w:p>
            <w:pPr>
              <w:spacing w:before="0" w:after="0" w:line="252" w:lineRule="auto"/>
            </w:pPr>
            <w:r>
              <w:rPr>
                <w:sz w:val="17"/>
              </w:rPr>
              <w:t>MKT-05</w:t>
            </w:r>
          </w:p>
        </w:tc>
        <w:tc>
          <w:tcPr>
            <w:tcW w:type="dxa" w:w="2702"/>
            <w:shd w:val="clear" w:color="auto" w:fill="F2F5F9"/>
          </w:tcPr>
          <w:p>
            <w:pPr>
              <w:spacing w:before="0" w:after="0" w:line="252" w:lineRule="auto"/>
            </w:pPr>
            <w:r>
              <w:rPr>
                <w:sz w:val="17"/>
              </w:rPr>
              <w:t>De koers naar 2030</w:t>
            </w:r>
          </w:p>
        </w:tc>
        <w:tc>
          <w:tcPr>
            <w:tcW w:type="dxa" w:w="2334"/>
            <w:shd w:val="clear" w:color="auto" w:fill="F2F5F9"/>
          </w:tcPr>
          <w:p>
            <w:pPr>
              <w:spacing w:before="0" w:after="0" w:line="252" w:lineRule="auto"/>
            </w:pPr>
            <w:r>
              <w:rPr>
                <w:sz w:val="17"/>
              </w:rPr>
              <w:t>Betonakkoord</w:t>
            </w:r>
          </w:p>
        </w:tc>
        <w:tc>
          <w:tcPr>
            <w:tcW w:type="dxa" w:w="1048"/>
            <w:shd w:val="clear" w:color="auto" w:fill="F2F5F9"/>
          </w:tcPr>
          <w:p>
            <w:pPr>
              <w:spacing w:before="0" w:after="0" w:line="252" w:lineRule="auto"/>
              <w:jc w:val="center"/>
            </w:pPr>
            <w:r>
              <w:rPr>
                <w:sz w:val="17"/>
              </w:rPr>
              <w:t>2025-06</w:t>
            </w:r>
          </w:p>
        </w:tc>
        <w:tc>
          <w:tcPr>
            <w:tcW w:type="dxa" w:w="2760"/>
            <w:shd w:val="clear" w:color="auto" w:fill="F2F5F9"/>
          </w:tcPr>
          <w:p>
            <w:pPr>
              <w:spacing w:before="0" w:after="0" w:line="252" w:lineRule="auto"/>
            </w:pPr>
            <w:r>
              <w:rPr>
                <w:sz w:val="17"/>
              </w:rPr>
              <w:t>&lt;15% of ~15 Mt rubble back in concrete</w:t>
            </w:r>
          </w:p>
        </w:tc>
      </w:tr>
      <w:tr>
        <w:trPr>
          <w:cantSplit w:val="true"/>
        </w:trPr>
        <w:tc>
          <w:tcPr>
            <w:tcW w:type="dxa" w:w="793"/>
          </w:tcPr>
          <w:p>
            <w:pPr>
              <w:spacing w:before="0" w:after="0" w:line="252" w:lineRule="auto"/>
            </w:pPr>
            <w:r>
              <w:rPr>
                <w:sz w:val="17"/>
              </w:rPr>
              <w:t>MKT-09</w:t>
            </w:r>
          </w:p>
        </w:tc>
        <w:tc>
          <w:tcPr>
            <w:tcW w:type="dxa" w:w="2702"/>
          </w:tcPr>
          <w:p>
            <w:pPr>
              <w:spacing w:before="0" w:after="0" w:line="252" w:lineRule="auto"/>
            </w:pPr>
            <w:r>
              <w:rPr>
                <w:sz w:val="17"/>
              </w:rPr>
              <w:t>Hergebruik betonreststromen 2030–2050</w:t>
            </w:r>
          </w:p>
        </w:tc>
        <w:tc>
          <w:tcPr>
            <w:tcW w:type="dxa" w:w="2334"/>
          </w:tcPr>
          <w:p>
            <w:pPr>
              <w:spacing w:before="0" w:after="0" w:line="252" w:lineRule="auto"/>
            </w:pPr>
            <w:r>
              <w:rPr>
                <w:sz w:val="17"/>
              </w:rPr>
              <w:t>Betonhuis</w:t>
            </w:r>
          </w:p>
        </w:tc>
        <w:tc>
          <w:tcPr>
            <w:tcW w:type="dxa" w:w="1048"/>
          </w:tcPr>
          <w:p>
            <w:pPr>
              <w:spacing w:before="0" w:after="0" w:line="252" w:lineRule="auto"/>
              <w:jc w:val="center"/>
            </w:pPr>
            <w:r>
              <w:rPr>
                <w:sz w:val="17"/>
              </w:rPr>
              <w:t>2021-06</w:t>
            </w:r>
          </w:p>
        </w:tc>
        <w:tc>
          <w:tcPr>
            <w:tcW w:type="dxa" w:w="2760"/>
          </w:tcPr>
          <w:p>
            <w:pPr>
              <w:spacing w:before="0" w:after="0" w:line="252" w:lineRule="auto"/>
            </w:pPr>
            <w:r>
              <w:rPr>
                <w:sz w:val="17"/>
              </w:rPr>
              <w:t>Rubble volumes 2018–2030</w:t>
            </w:r>
          </w:p>
        </w:tc>
      </w:tr>
      <w:tr>
        <w:trPr>
          <w:cantSplit w:val="true"/>
        </w:trPr>
        <w:tc>
          <w:tcPr>
            <w:tcW w:type="dxa" w:w="793"/>
            <w:shd w:val="clear" w:color="auto" w:fill="F2F5F9"/>
          </w:tcPr>
          <w:p>
            <w:pPr>
              <w:spacing w:before="0" w:after="0" w:line="252" w:lineRule="auto"/>
            </w:pPr>
            <w:r>
              <w:rPr>
                <w:sz w:val="17"/>
              </w:rPr>
              <w:t>MKT-11</w:t>
            </w:r>
          </w:p>
        </w:tc>
        <w:tc>
          <w:tcPr>
            <w:tcW w:type="dxa" w:w="2702"/>
            <w:shd w:val="clear" w:color="auto" w:fill="F2F5F9"/>
          </w:tcPr>
          <w:p>
            <w:pPr>
              <w:spacing w:before="0" w:after="0" w:line="252" w:lineRule="auto"/>
            </w:pPr>
            <w:r>
              <w:rPr>
                <w:sz w:val="17"/>
              </w:rPr>
              <w:t>Circulariteitseisen Betonakkoord 2023</w:t>
            </w:r>
          </w:p>
        </w:tc>
        <w:tc>
          <w:tcPr>
            <w:tcW w:type="dxa" w:w="2334"/>
            <w:shd w:val="clear" w:color="auto" w:fill="F2F5F9"/>
          </w:tcPr>
          <w:p>
            <w:pPr>
              <w:spacing w:before="0" w:after="0" w:line="252" w:lineRule="auto"/>
            </w:pPr>
            <w:r>
              <w:rPr>
                <w:sz w:val="17"/>
              </w:rPr>
              <w:t>Betonakkoord</w:t>
            </w:r>
          </w:p>
        </w:tc>
        <w:tc>
          <w:tcPr>
            <w:tcW w:type="dxa" w:w="1048"/>
            <w:shd w:val="clear" w:color="auto" w:fill="F2F5F9"/>
          </w:tcPr>
          <w:p>
            <w:pPr>
              <w:spacing w:before="0" w:after="0" w:line="252" w:lineRule="auto"/>
              <w:jc w:val="center"/>
            </w:pPr>
            <w:r>
              <w:rPr>
                <w:sz w:val="17"/>
              </w:rPr>
              <w:t>2023-09</w:t>
            </w:r>
          </w:p>
        </w:tc>
        <w:tc>
          <w:tcPr>
            <w:tcW w:type="dxa" w:w="2760"/>
            <w:shd w:val="clear" w:color="auto" w:fill="F2F5F9"/>
          </w:tcPr>
          <w:p>
            <w:pPr>
              <w:spacing w:before="0" w:after="0" w:line="252" w:lineRule="auto"/>
            </w:pPr>
            <w:r>
              <w:rPr>
                <w:sz w:val="17"/>
              </w:rPr>
              <w:t>Cap on concrete in road-base granulate</w:t>
            </w:r>
          </w:p>
        </w:tc>
      </w:tr>
      <w:tr>
        <w:trPr>
          <w:cantSplit w:val="true"/>
        </w:trPr>
        <w:tc>
          <w:tcPr>
            <w:tcW w:type="dxa" w:w="793"/>
          </w:tcPr>
          <w:p>
            <w:pPr>
              <w:spacing w:before="0" w:after="0" w:line="252" w:lineRule="auto"/>
            </w:pPr>
            <w:r>
              <w:rPr>
                <w:sz w:val="17"/>
              </w:rPr>
              <w:t>MKT-15</w:t>
            </w:r>
          </w:p>
        </w:tc>
        <w:tc>
          <w:tcPr>
            <w:tcW w:type="dxa" w:w="2702"/>
          </w:tcPr>
          <w:p>
            <w:pPr>
              <w:spacing w:before="0" w:after="0" w:line="252" w:lineRule="auto"/>
            </w:pPr>
            <w:r>
              <w:rPr>
                <w:sz w:val="17"/>
              </w:rPr>
              <w:t>Landelijk beeld bouwgrondstoffen</w:t>
            </w:r>
          </w:p>
        </w:tc>
        <w:tc>
          <w:tcPr>
            <w:tcW w:type="dxa" w:w="2334"/>
          </w:tcPr>
          <w:p>
            <w:pPr>
              <w:spacing w:before="0" w:after="0" w:line="252" w:lineRule="auto"/>
            </w:pPr>
            <w:r>
              <w:rPr>
                <w:sz w:val="17"/>
              </w:rPr>
              <w:t>Tweede Kamer (IenW/VRO)</w:t>
            </w:r>
          </w:p>
        </w:tc>
        <w:tc>
          <w:tcPr>
            <w:tcW w:type="dxa" w:w="1048"/>
          </w:tcPr>
          <w:p>
            <w:pPr>
              <w:spacing w:before="0" w:after="0" w:line="252" w:lineRule="auto"/>
              <w:jc w:val="center"/>
            </w:pPr>
            <w:r>
              <w:rPr>
                <w:sz w:val="17"/>
              </w:rPr>
              <w:t>2026-06</w:t>
            </w:r>
          </w:p>
        </w:tc>
        <w:tc>
          <w:tcPr>
            <w:tcW w:type="dxa" w:w="2760"/>
          </w:tcPr>
          <w:p>
            <w:pPr>
              <w:spacing w:before="0" w:after="0" w:line="252" w:lineRule="auto"/>
            </w:pPr>
            <w:r>
              <w:rPr>
                <w:sz w:val="17"/>
              </w:rPr>
              <w:t>Gravel demand and outlook</w:t>
            </w:r>
          </w:p>
        </w:tc>
      </w:tr>
      <w:tr>
        <w:trPr>
          <w:cantSplit w:val="true"/>
        </w:trPr>
        <w:tc>
          <w:tcPr>
            <w:tcW w:type="dxa" w:w="793"/>
            <w:shd w:val="clear" w:color="auto" w:fill="F2F5F9"/>
          </w:tcPr>
          <w:p>
            <w:pPr>
              <w:spacing w:before="0" w:after="0" w:line="252" w:lineRule="auto"/>
            </w:pPr>
            <w:r>
              <w:rPr>
                <w:sz w:val="17"/>
              </w:rPr>
              <w:t>MKT-17</w:t>
            </w:r>
          </w:p>
        </w:tc>
        <w:tc>
          <w:tcPr>
            <w:tcW w:type="dxa" w:w="2702"/>
            <w:shd w:val="clear" w:color="auto" w:fill="F2F5F9"/>
          </w:tcPr>
          <w:p>
            <w:pPr>
              <w:spacing w:before="0" w:after="0" w:line="252" w:lineRule="auto"/>
            </w:pPr>
            <w:r>
              <w:rPr>
                <w:sz w:val="17"/>
              </w:rPr>
              <w:t>Surface mineral resources</w:t>
            </w:r>
          </w:p>
        </w:tc>
        <w:tc>
          <w:tcPr>
            <w:tcW w:type="dxa" w:w="2334"/>
            <w:shd w:val="clear" w:color="auto" w:fill="F2F5F9"/>
          </w:tcPr>
          <w:p>
            <w:pPr>
              <w:spacing w:before="0" w:after="0" w:line="252" w:lineRule="auto"/>
            </w:pPr>
            <w:r>
              <w:rPr>
                <w:sz w:val="17"/>
              </w:rPr>
              <w:t>TNO</w:t>
            </w:r>
          </w:p>
        </w:tc>
        <w:tc>
          <w:tcPr>
            <w:tcW w:type="dxa" w:w="1048"/>
            <w:shd w:val="clear" w:color="auto" w:fill="F2F5F9"/>
          </w:tcPr>
          <w:p>
            <w:pPr>
              <w:spacing w:before="0" w:after="0" w:line="252" w:lineRule="auto"/>
              <w:jc w:val="center"/>
            </w:pPr>
            <w:r>
              <w:rPr>
                <w:sz w:val="17"/>
              </w:rPr>
              <w:t>2025</w:t>
            </w:r>
          </w:p>
        </w:tc>
        <w:tc>
          <w:tcPr>
            <w:tcW w:type="dxa" w:w="2760"/>
            <w:shd w:val="clear" w:color="auto" w:fill="F2F5F9"/>
          </w:tcPr>
          <w:p>
            <w:pPr>
              <w:spacing w:before="0" w:after="0" w:line="252" w:lineRule="auto"/>
            </w:pPr>
            <w:r>
              <w:rPr>
                <w:sz w:val="17"/>
              </w:rPr>
              <w:t>~75% of coarse aggregate imported</w:t>
            </w:r>
          </w:p>
        </w:tc>
      </w:tr>
      <w:tr>
        <w:trPr>
          <w:cantSplit w:val="true"/>
        </w:trPr>
        <w:tc>
          <w:tcPr>
            <w:tcW w:type="dxa" w:w="793"/>
          </w:tcPr>
          <w:p>
            <w:pPr>
              <w:spacing w:before="0" w:after="0" w:line="252" w:lineRule="auto"/>
            </w:pPr>
            <w:r>
              <w:rPr>
                <w:sz w:val="17"/>
              </w:rPr>
              <w:t>MKT-20</w:t>
            </w:r>
          </w:p>
        </w:tc>
        <w:tc>
          <w:tcPr>
            <w:tcW w:type="dxa" w:w="2702"/>
          </w:tcPr>
          <w:p>
            <w:pPr>
              <w:spacing w:before="0" w:after="0" w:line="252" w:lineRule="auto"/>
            </w:pPr>
            <w:r>
              <w:rPr>
                <w:sz w:val="17"/>
              </w:rPr>
              <w:t>Prijslijst Betoncentrale en Breekwerf GWL</w:t>
            </w:r>
          </w:p>
        </w:tc>
        <w:tc>
          <w:tcPr>
            <w:tcW w:type="dxa" w:w="2334"/>
          </w:tcPr>
          <w:p>
            <w:pPr>
              <w:spacing w:before="0" w:after="0" w:line="252" w:lineRule="auto"/>
            </w:pPr>
            <w:r>
              <w:rPr>
                <w:sz w:val="17"/>
              </w:rPr>
              <w:t>GWL Recycling (BE)</w:t>
            </w:r>
          </w:p>
        </w:tc>
        <w:tc>
          <w:tcPr>
            <w:tcW w:type="dxa" w:w="1048"/>
          </w:tcPr>
          <w:p>
            <w:pPr>
              <w:spacing w:before="0" w:after="0" w:line="252" w:lineRule="auto"/>
              <w:jc w:val="center"/>
            </w:pPr>
            <w:r>
              <w:rPr>
                <w:sz w:val="17"/>
              </w:rPr>
              <w:t>2026-02</w:t>
            </w:r>
          </w:p>
        </w:tc>
        <w:tc>
          <w:tcPr>
            <w:tcW w:type="dxa" w:w="2760"/>
          </w:tcPr>
          <w:p>
            <w:pPr>
              <w:spacing w:before="0" w:after="0" w:line="252" w:lineRule="auto"/>
            </w:pPr>
            <w:r>
              <w:rPr>
                <w:sz w:val="17"/>
              </w:rPr>
              <w:t>Aggregate and rubble prices; €0/t gate fee; retail concrete prices; "recup" discount</w:t>
            </w:r>
          </w:p>
        </w:tc>
      </w:tr>
      <w:tr>
        <w:trPr>
          <w:cantSplit w:val="true"/>
        </w:trPr>
        <w:tc>
          <w:tcPr>
            <w:tcW w:type="dxa" w:w="793"/>
            <w:shd w:val="clear" w:color="auto" w:fill="F2F5F9"/>
          </w:tcPr>
          <w:p>
            <w:pPr>
              <w:spacing w:before="0" w:after="0" w:line="252" w:lineRule="auto"/>
            </w:pPr>
            <w:r>
              <w:rPr>
                <w:sz w:val="17"/>
              </w:rPr>
              <w:t>MKT-25</w:t>
            </w:r>
          </w:p>
        </w:tc>
        <w:tc>
          <w:tcPr>
            <w:tcW w:type="dxa" w:w="2702"/>
            <w:shd w:val="clear" w:color="auto" w:fill="F2F5F9"/>
          </w:tcPr>
          <w:p>
            <w:pPr>
              <w:spacing w:before="0" w:after="0" w:line="252" w:lineRule="auto"/>
            </w:pPr>
            <w:r>
              <w:rPr>
                <w:sz w:val="17"/>
              </w:rPr>
              <w:t>Prijslijst 2026</w:t>
            </w:r>
          </w:p>
        </w:tc>
        <w:tc>
          <w:tcPr>
            <w:tcW w:type="dxa" w:w="2334"/>
            <w:shd w:val="clear" w:color="auto" w:fill="F2F5F9"/>
          </w:tcPr>
          <w:p>
            <w:pPr>
              <w:spacing w:before="0" w:after="0" w:line="252" w:lineRule="auto"/>
            </w:pPr>
            <w:r>
              <w:rPr>
                <w:sz w:val="17"/>
              </w:rPr>
              <w:t>Heidelberg Materials NL Beton</w:t>
            </w:r>
          </w:p>
        </w:tc>
        <w:tc>
          <w:tcPr>
            <w:tcW w:type="dxa" w:w="1048"/>
            <w:shd w:val="clear" w:color="auto" w:fill="F2F5F9"/>
          </w:tcPr>
          <w:p>
            <w:pPr>
              <w:spacing w:before="0" w:after="0" w:line="252" w:lineRule="auto"/>
              <w:jc w:val="center"/>
            </w:pPr>
            <w:r>
              <w:rPr>
                <w:sz w:val="17"/>
              </w:rPr>
              <w:t>2025-12</w:t>
            </w:r>
          </w:p>
        </w:tc>
        <w:tc>
          <w:tcPr>
            <w:tcW w:type="dxa" w:w="2760"/>
            <w:shd w:val="clear" w:color="auto" w:fill="F2F5F9"/>
          </w:tcPr>
          <w:p>
            <w:pPr>
              <w:spacing w:before="0" w:after="0" w:line="252" w:lineRule="auto"/>
            </w:pPr>
            <w:r>
              <w:rPr>
                <w:sz w:val="17"/>
              </w:rPr>
              <w:t>List surcharges for recycled content; CEM III/B default</w:t>
            </w:r>
          </w:p>
        </w:tc>
      </w:tr>
      <w:tr>
        <w:trPr>
          <w:cantSplit w:val="true"/>
        </w:trPr>
        <w:tc>
          <w:tcPr>
            <w:tcW w:type="dxa" w:w="793"/>
          </w:tcPr>
          <w:p>
            <w:pPr>
              <w:spacing w:before="0" w:after="0" w:line="252" w:lineRule="auto"/>
            </w:pPr>
            <w:r>
              <w:rPr>
                <w:sz w:val="17"/>
              </w:rPr>
              <w:t>MKT-27</w:t>
            </w:r>
          </w:p>
        </w:tc>
        <w:tc>
          <w:tcPr>
            <w:tcW w:type="dxa" w:w="2702"/>
          </w:tcPr>
          <w:p>
            <w:pPr>
              <w:spacing w:before="0" w:after="0" w:line="252" w:lineRule="auto"/>
            </w:pPr>
            <w:r>
              <w:rPr>
                <w:sz w:val="17"/>
              </w:rPr>
              <w:t>Beton prijs per m³ (2026)</w:t>
            </w:r>
          </w:p>
        </w:tc>
        <w:tc>
          <w:tcPr>
            <w:tcW w:type="dxa" w:w="2334"/>
          </w:tcPr>
          <w:p>
            <w:pPr>
              <w:spacing w:before="0" w:after="0" w:line="252" w:lineRule="auto"/>
            </w:pPr>
            <w:r>
              <w:rPr>
                <w:sz w:val="17"/>
              </w:rPr>
              <w:t>Dutch Fiber Trading (secondary)</w:t>
            </w:r>
          </w:p>
        </w:tc>
        <w:tc>
          <w:tcPr>
            <w:tcW w:type="dxa" w:w="1048"/>
          </w:tcPr>
          <w:p>
            <w:pPr>
              <w:spacing w:before="0" w:after="0" w:line="252" w:lineRule="auto"/>
              <w:jc w:val="center"/>
            </w:pPr>
            <w:r>
              <w:rPr>
                <w:sz w:val="17"/>
              </w:rPr>
              <w:t>2026-07</w:t>
            </w:r>
          </w:p>
        </w:tc>
        <w:tc>
          <w:tcPr>
            <w:tcW w:type="dxa" w:w="2760"/>
          </w:tcPr>
          <w:p>
            <w:pPr>
              <w:spacing w:before="0" w:after="0" w:line="252" w:lineRule="auto"/>
            </w:pPr>
            <w:r>
              <w:rPr>
                <w:sz w:val="17"/>
              </w:rPr>
              <w:t>Indicative project prices</w:t>
            </w:r>
          </w:p>
        </w:tc>
      </w:tr>
      <w:tr>
        <w:trPr>
          <w:cantSplit w:val="true"/>
        </w:trPr>
        <w:tc>
          <w:tcPr>
            <w:tcW w:type="dxa" w:w="793"/>
            <w:shd w:val="clear" w:color="auto" w:fill="F2F5F9"/>
          </w:tcPr>
          <w:p>
            <w:pPr>
              <w:spacing w:before="0" w:after="0" w:line="252" w:lineRule="auto"/>
            </w:pPr>
            <w:r>
              <w:rPr>
                <w:sz w:val="17"/>
              </w:rPr>
              <w:t>MKT-47</w:t>
            </w:r>
          </w:p>
        </w:tc>
        <w:tc>
          <w:tcPr>
            <w:tcW w:type="dxa" w:w="2702"/>
            <w:shd w:val="clear" w:color="auto" w:fill="F2F5F9"/>
          </w:tcPr>
          <w:p>
            <w:pPr>
              <w:spacing w:before="0" w:after="0" w:line="252" w:lineRule="auto"/>
            </w:pPr>
            <w:r>
              <w:rPr>
                <w:sz w:val="17"/>
              </w:rPr>
              <w:t>Circulair beton — Rutte Groep</w:t>
            </w:r>
          </w:p>
        </w:tc>
        <w:tc>
          <w:tcPr>
            <w:tcW w:type="dxa" w:w="2334"/>
            <w:shd w:val="clear" w:color="auto" w:fill="F2F5F9"/>
          </w:tcPr>
          <w:p>
            <w:pPr>
              <w:spacing w:before="0" w:after="0" w:line="252" w:lineRule="auto"/>
            </w:pPr>
            <w:r>
              <w:rPr>
                <w:sz w:val="17"/>
              </w:rPr>
              <w:t>PBL</w:t>
            </w:r>
          </w:p>
        </w:tc>
        <w:tc>
          <w:tcPr>
            <w:tcW w:type="dxa" w:w="1048"/>
            <w:shd w:val="clear" w:color="auto" w:fill="F2F5F9"/>
          </w:tcPr>
          <w:p>
            <w:pPr>
              <w:spacing w:before="0" w:after="0" w:line="252" w:lineRule="auto"/>
              <w:jc w:val="center"/>
            </w:pPr>
            <w:r>
              <w:rPr>
                <w:sz w:val="17"/>
              </w:rPr>
              <w:t>2021-11</w:t>
            </w:r>
          </w:p>
        </w:tc>
        <w:tc>
          <w:tcPr>
            <w:tcW w:type="dxa" w:w="2760"/>
            <w:shd w:val="clear" w:color="auto" w:fill="F2F5F9"/>
          </w:tcPr>
          <w:p>
            <w:pPr>
              <w:spacing w:before="0" w:after="0" w:line="252" w:lineRule="auto"/>
            </w:pPr>
            <w:r>
              <w:rPr>
                <w:sz w:val="17"/>
              </w:rPr>
              <w:t>"~10% more expensive"; sector buys on price</w:t>
            </w:r>
          </w:p>
        </w:tc>
      </w:tr>
      <w:tr>
        <w:trPr>
          <w:cantSplit w:val="true"/>
        </w:trPr>
        <w:tc>
          <w:tcPr>
            <w:tcW w:type="dxa" w:w="793"/>
          </w:tcPr>
          <w:p>
            <w:pPr>
              <w:spacing w:before="0" w:after="0" w:line="252" w:lineRule="auto"/>
            </w:pPr>
            <w:r>
              <w:rPr>
                <w:sz w:val="17"/>
              </w:rPr>
              <w:t>CMP-04</w:t>
            </w:r>
          </w:p>
        </w:tc>
        <w:tc>
          <w:tcPr>
            <w:tcW w:type="dxa" w:w="2702"/>
          </w:tcPr>
          <w:p>
            <w:pPr>
              <w:spacing w:before="0" w:after="0" w:line="252" w:lineRule="auto"/>
            </w:pPr>
            <w:r>
              <w:rPr>
                <w:sz w:val="17"/>
              </w:rPr>
              <w:t>Urban Mine wordt SL Materials</w:t>
            </w:r>
          </w:p>
        </w:tc>
        <w:tc>
          <w:tcPr>
            <w:tcW w:type="dxa" w:w="2334"/>
          </w:tcPr>
          <w:p>
            <w:pPr>
              <w:spacing w:before="0" w:after="0" w:line="252" w:lineRule="auto"/>
            </w:pPr>
            <w:r>
              <w:rPr>
                <w:sz w:val="17"/>
              </w:rPr>
              <w:t>SL Materials</w:t>
            </w:r>
          </w:p>
        </w:tc>
        <w:tc>
          <w:tcPr>
            <w:tcW w:type="dxa" w:w="1048"/>
          </w:tcPr>
          <w:p>
            <w:pPr>
              <w:spacing w:before="0" w:after="0" w:line="252" w:lineRule="auto"/>
              <w:jc w:val="center"/>
            </w:pPr>
            <w:r>
              <w:rPr>
                <w:sz w:val="17"/>
              </w:rPr>
              <w:t>2026-07</w:t>
            </w:r>
          </w:p>
        </w:tc>
        <w:tc>
          <w:tcPr>
            <w:tcW w:type="dxa" w:w="2760"/>
          </w:tcPr>
          <w:p>
            <w:pPr>
              <w:spacing w:before="0" w:after="0" w:line="252" w:lineRule="auto"/>
            </w:pPr>
            <w:r>
              <w:rPr>
                <w:sz w:val="17"/>
              </w:rPr>
              <w:t>Competitor profile</w:t>
            </w:r>
          </w:p>
        </w:tc>
      </w:tr>
      <w:tr>
        <w:trPr>
          <w:cantSplit w:val="true"/>
        </w:trPr>
        <w:tc>
          <w:tcPr>
            <w:tcW w:type="dxa" w:w="793"/>
            <w:shd w:val="clear" w:color="auto" w:fill="F2F5F9"/>
          </w:tcPr>
          <w:p>
            <w:pPr>
              <w:spacing w:before="0" w:after="0" w:line="252" w:lineRule="auto"/>
            </w:pPr>
            <w:r>
              <w:rPr>
                <w:sz w:val="17"/>
              </w:rPr>
              <w:t>CMP-05</w:t>
            </w:r>
          </w:p>
        </w:tc>
        <w:tc>
          <w:tcPr>
            <w:tcW w:type="dxa" w:w="2702"/>
            <w:shd w:val="clear" w:color="auto" w:fill="F2F5F9"/>
          </w:tcPr>
          <w:p>
            <w:pPr>
              <w:spacing w:before="0" w:after="0" w:line="252" w:lineRule="auto"/>
            </w:pPr>
            <w:r>
              <w:rPr>
                <w:sz w:val="17"/>
              </w:rPr>
              <w:t>€100 million commitment (press release)</w:t>
            </w:r>
          </w:p>
        </w:tc>
        <w:tc>
          <w:tcPr>
            <w:tcW w:type="dxa" w:w="2334"/>
            <w:shd w:val="clear" w:color="auto" w:fill="F2F5F9"/>
          </w:tcPr>
          <w:p>
            <w:pPr>
              <w:spacing w:before="0" w:after="0" w:line="252" w:lineRule="auto"/>
            </w:pPr>
            <w:r>
              <w:rPr>
                <w:sz w:val="17"/>
              </w:rPr>
              <w:t>SL Materials</w:t>
            </w:r>
          </w:p>
        </w:tc>
        <w:tc>
          <w:tcPr>
            <w:tcW w:type="dxa" w:w="1048"/>
            <w:shd w:val="clear" w:color="auto" w:fill="F2F5F9"/>
          </w:tcPr>
          <w:p>
            <w:pPr>
              <w:spacing w:before="0" w:after="0" w:line="252" w:lineRule="auto"/>
              <w:jc w:val="center"/>
            </w:pPr>
            <w:r>
              <w:rPr>
                <w:sz w:val="17"/>
              </w:rPr>
              <w:t>2026-10</w:t>
            </w:r>
          </w:p>
        </w:tc>
        <w:tc>
          <w:tcPr>
            <w:tcW w:type="dxa" w:w="2760"/>
            <w:shd w:val="clear" w:color="auto" w:fill="F2F5F9"/>
          </w:tcPr>
          <w:p>
            <w:pPr>
              <w:spacing w:before="0" w:after="0" w:line="252" w:lineRule="auto"/>
            </w:pPr>
            <w:r>
              <w:rPr>
                <w:sz w:val="17"/>
              </w:rPr>
              <w:t>Competitor funding</w:t>
            </w:r>
          </w:p>
        </w:tc>
      </w:tr>
      <w:tr>
        <w:trPr>
          <w:cantSplit w:val="true"/>
        </w:trPr>
        <w:tc>
          <w:tcPr>
            <w:tcW w:type="dxa" w:w="793"/>
          </w:tcPr>
          <w:p>
            <w:pPr>
              <w:spacing w:before="0" w:after="0" w:line="252" w:lineRule="auto"/>
            </w:pPr>
            <w:r>
              <w:rPr>
                <w:sz w:val="17"/>
              </w:rPr>
              <w:t>CMP-17</w:t>
            </w:r>
          </w:p>
        </w:tc>
        <w:tc>
          <w:tcPr>
            <w:tcW w:type="dxa" w:w="2702"/>
          </w:tcPr>
          <w:p>
            <w:pPr>
              <w:spacing w:before="0" w:after="0" w:line="252" w:lineRule="auto"/>
            </w:pPr>
            <w:r>
              <w:rPr>
                <w:sz w:val="17"/>
              </w:rPr>
              <w:t>Everox first commercial-scale plant</w:t>
            </w:r>
          </w:p>
        </w:tc>
        <w:tc>
          <w:tcPr>
            <w:tcW w:type="dxa" w:w="2334"/>
          </w:tcPr>
          <w:p>
            <w:pPr>
              <w:spacing w:before="0" w:after="0" w:line="252" w:lineRule="auto"/>
            </w:pPr>
            <w:r>
              <w:rPr>
                <w:sz w:val="17"/>
              </w:rPr>
              <w:t>Construction Briefing (secondary)</w:t>
            </w:r>
          </w:p>
        </w:tc>
        <w:tc>
          <w:tcPr>
            <w:tcW w:type="dxa" w:w="1048"/>
          </w:tcPr>
          <w:p>
            <w:pPr>
              <w:spacing w:before="0" w:after="0" w:line="252" w:lineRule="auto"/>
              <w:jc w:val="center"/>
            </w:pPr>
            <w:r>
              <w:rPr>
                <w:sz w:val="17"/>
              </w:rPr>
              <w:t>2026-09</w:t>
            </w:r>
          </w:p>
        </w:tc>
        <w:tc>
          <w:tcPr>
            <w:tcW w:type="dxa" w:w="2760"/>
          </w:tcPr>
          <w:p>
            <w:pPr>
              <w:spacing w:before="0" w:after="0" w:line="252" w:lineRule="auto"/>
            </w:pPr>
            <w:r>
              <w:rPr>
                <w:sz w:val="17"/>
              </w:rPr>
              <w:t>everox plant, 100 kt/yr</w:t>
            </w:r>
          </w:p>
        </w:tc>
      </w:tr>
      <w:tr>
        <w:trPr>
          <w:cantSplit w:val="true"/>
        </w:trPr>
        <w:tc>
          <w:tcPr>
            <w:tcW w:type="dxa" w:w="793"/>
            <w:shd w:val="clear" w:color="auto" w:fill="F2F5F9"/>
          </w:tcPr>
          <w:p>
            <w:pPr>
              <w:spacing w:before="0" w:after="0" w:line="252" w:lineRule="auto"/>
            </w:pPr>
            <w:r>
              <w:rPr>
                <w:sz w:val="17"/>
              </w:rPr>
              <w:t>CMP-27</w:t>
            </w:r>
          </w:p>
        </w:tc>
        <w:tc>
          <w:tcPr>
            <w:tcW w:type="dxa" w:w="2702"/>
            <w:shd w:val="clear" w:color="auto" w:fill="F2F5F9"/>
          </w:tcPr>
          <w:p>
            <w:pPr>
              <w:spacing w:before="0" w:after="0" w:line="252" w:lineRule="auto"/>
            </w:pPr>
            <w:r>
              <w:rPr>
                <w:sz w:val="17"/>
              </w:rPr>
              <w:t>Mebin bouwt aan een beter milieu</w:t>
            </w:r>
          </w:p>
        </w:tc>
        <w:tc>
          <w:tcPr>
            <w:tcW w:type="dxa" w:w="2334"/>
            <w:shd w:val="clear" w:color="auto" w:fill="F2F5F9"/>
          </w:tcPr>
          <w:p>
            <w:pPr>
              <w:spacing w:before="0" w:after="0" w:line="252" w:lineRule="auto"/>
            </w:pPr>
            <w:r>
              <w:rPr>
                <w:sz w:val="17"/>
              </w:rPr>
              <w:t>Heidelberg Materials / Mebin</w:t>
            </w:r>
          </w:p>
        </w:tc>
        <w:tc>
          <w:tcPr>
            <w:tcW w:type="dxa" w:w="1048"/>
            <w:shd w:val="clear" w:color="auto" w:fill="F2F5F9"/>
          </w:tcPr>
          <w:p>
            <w:pPr>
              <w:spacing w:before="0" w:after="0" w:line="252" w:lineRule="auto"/>
              <w:jc w:val="center"/>
            </w:pPr>
            <w:r>
              <w:rPr>
                <w:sz w:val="17"/>
              </w:rPr>
              <w:t>2020-03</w:t>
            </w:r>
          </w:p>
        </w:tc>
        <w:tc>
          <w:tcPr>
            <w:tcW w:type="dxa" w:w="2760"/>
            <w:shd w:val="clear" w:color="auto" w:fill="F2F5F9"/>
          </w:tcPr>
          <w:p>
            <w:pPr>
              <w:spacing w:before="0" w:after="0" w:line="252" w:lineRule="auto"/>
            </w:pPr>
            <w:r>
              <w:rPr>
                <w:sz w:val="17"/>
              </w:rPr>
              <w:t>CEM III/B in ~85% of products; CO₂ by cement type</w:t>
            </w:r>
          </w:p>
        </w:tc>
      </w:tr>
      <w:tr>
        <w:trPr>
          <w:cantSplit w:val="true"/>
        </w:trPr>
        <w:tc>
          <w:tcPr>
            <w:tcW w:type="dxa" w:w="793"/>
          </w:tcPr>
          <w:p>
            <w:pPr>
              <w:spacing w:before="0" w:after="0" w:line="252" w:lineRule="auto"/>
            </w:pPr>
            <w:r>
              <w:rPr>
                <w:sz w:val="17"/>
              </w:rPr>
              <w:t>CMP-35</w:t>
            </w:r>
          </w:p>
        </w:tc>
        <w:tc>
          <w:tcPr>
            <w:tcW w:type="dxa" w:w="2702"/>
          </w:tcPr>
          <w:p>
            <w:pPr>
              <w:spacing w:before="0" w:after="0" w:line="252" w:lineRule="auto"/>
            </w:pPr>
            <w:r>
              <w:rPr>
                <w:sz w:val="17"/>
              </w:rPr>
              <w:t>Prijslijst Betoncentrale Landgraaf 2026</w:t>
            </w:r>
          </w:p>
        </w:tc>
        <w:tc>
          <w:tcPr>
            <w:tcW w:type="dxa" w:w="2334"/>
          </w:tcPr>
          <w:p>
            <w:pPr>
              <w:spacing w:before="0" w:after="0" w:line="252" w:lineRule="auto"/>
            </w:pPr>
            <w:r>
              <w:rPr>
                <w:sz w:val="17"/>
              </w:rPr>
              <w:t>Holcim Cement Nederland</w:t>
            </w:r>
          </w:p>
        </w:tc>
        <w:tc>
          <w:tcPr>
            <w:tcW w:type="dxa" w:w="1048"/>
          </w:tcPr>
          <w:p>
            <w:pPr>
              <w:spacing w:before="0" w:after="0" w:line="252" w:lineRule="auto"/>
              <w:jc w:val="center"/>
            </w:pPr>
            <w:r>
              <w:rPr>
                <w:sz w:val="17"/>
              </w:rPr>
              <w:t>2025-11</w:t>
            </w:r>
          </w:p>
        </w:tc>
        <w:tc>
          <w:tcPr>
            <w:tcW w:type="dxa" w:w="2760"/>
          </w:tcPr>
          <w:p>
            <w:pPr>
              <w:spacing w:before="0" w:after="0" w:line="252" w:lineRule="auto"/>
            </w:pPr>
            <w:r>
              <w:rPr>
                <w:sz w:val="17"/>
              </w:rPr>
              <w:t>ECOPact premium +€5–9/m³</w:t>
            </w:r>
          </w:p>
        </w:tc>
      </w:tr>
      <w:tr>
        <w:trPr>
          <w:cantSplit w:val="true"/>
        </w:trPr>
        <w:tc>
          <w:tcPr>
            <w:tcW w:type="dxa" w:w="793"/>
            <w:shd w:val="clear" w:color="auto" w:fill="F2F5F9"/>
          </w:tcPr>
          <w:p>
            <w:pPr>
              <w:spacing w:before="0" w:after="0" w:line="252" w:lineRule="auto"/>
            </w:pPr>
            <w:r>
              <w:rPr>
                <w:sz w:val="17"/>
              </w:rPr>
              <w:t>CMP-43</w:t>
            </w:r>
          </w:p>
        </w:tc>
        <w:tc>
          <w:tcPr>
            <w:tcW w:type="dxa" w:w="2702"/>
            <w:shd w:val="clear" w:color="auto" w:fill="F2F5F9"/>
          </w:tcPr>
          <w:p>
            <w:pPr>
              <w:spacing w:before="0" w:after="0" w:line="252" w:lineRule="auto"/>
            </w:pPr>
            <w:r>
              <w:rPr>
                <w:sz w:val="17"/>
              </w:rPr>
              <w:t>Ready-Mixed Concrete Industry Statistics 2023</w:t>
            </w:r>
          </w:p>
        </w:tc>
        <w:tc>
          <w:tcPr>
            <w:tcW w:type="dxa" w:w="2334"/>
            <w:shd w:val="clear" w:color="auto" w:fill="F2F5F9"/>
          </w:tcPr>
          <w:p>
            <w:pPr>
              <w:spacing w:before="0" w:after="0" w:line="252" w:lineRule="auto"/>
            </w:pPr>
            <w:r>
              <w:rPr>
                <w:sz w:val="17"/>
              </w:rPr>
              <w:t>ERMCO</w:t>
            </w:r>
          </w:p>
        </w:tc>
        <w:tc>
          <w:tcPr>
            <w:tcW w:type="dxa" w:w="1048"/>
            <w:shd w:val="clear" w:color="auto" w:fill="F2F5F9"/>
          </w:tcPr>
          <w:p>
            <w:pPr>
              <w:spacing w:before="0" w:after="0" w:line="252" w:lineRule="auto"/>
              <w:jc w:val="center"/>
            </w:pPr>
            <w:r>
              <w:rPr>
                <w:sz w:val="17"/>
              </w:rPr>
              <w:t>2024-09</w:t>
            </w:r>
          </w:p>
        </w:tc>
        <w:tc>
          <w:tcPr>
            <w:tcW w:type="dxa" w:w="2760"/>
            <w:shd w:val="clear" w:color="auto" w:fill="F2F5F9"/>
          </w:tcPr>
          <w:p>
            <w:pPr>
              <w:spacing w:before="0" w:after="0" w:line="252" w:lineRule="auto"/>
            </w:pPr>
            <w:r>
              <w:rPr>
                <w:sz w:val="17"/>
              </w:rPr>
              <w:t>6.0 Mm³, 178 plants, 33.7k m³/plant; truck sizes</w:t>
            </w:r>
          </w:p>
        </w:tc>
      </w:tr>
      <w:tr>
        <w:trPr>
          <w:cantSplit w:val="true"/>
        </w:trPr>
        <w:tc>
          <w:tcPr>
            <w:tcW w:type="dxa" w:w="793"/>
          </w:tcPr>
          <w:p>
            <w:pPr>
              <w:spacing w:before="0" w:after="0" w:line="252" w:lineRule="auto"/>
            </w:pPr>
            <w:r>
              <w:rPr>
                <w:sz w:val="17"/>
              </w:rPr>
              <w:t>TEC-01</w:t>
            </w:r>
          </w:p>
        </w:tc>
        <w:tc>
          <w:tcPr>
            <w:tcW w:type="dxa" w:w="2702"/>
          </w:tcPr>
          <w:p>
            <w:pPr>
              <w:spacing w:before="0" w:after="0" w:line="252" w:lineRule="auto"/>
            </w:pPr>
            <w:r>
              <w:rPr>
                <w:sz w:val="17"/>
              </w:rPr>
              <w:t>Betongranulaat in gestorte betonconstructies</w:t>
            </w:r>
          </w:p>
        </w:tc>
        <w:tc>
          <w:tcPr>
            <w:tcW w:type="dxa" w:w="2334"/>
          </w:tcPr>
          <w:p>
            <w:pPr>
              <w:spacing w:before="0" w:after="0" w:line="252" w:lineRule="auto"/>
            </w:pPr>
            <w:r>
              <w:rPr>
                <w:sz w:val="17"/>
              </w:rPr>
              <w:t>Betonhuis</w:t>
            </w:r>
          </w:p>
        </w:tc>
        <w:tc>
          <w:tcPr>
            <w:tcW w:type="dxa" w:w="1048"/>
          </w:tcPr>
          <w:p>
            <w:pPr>
              <w:spacing w:before="0" w:after="0" w:line="252" w:lineRule="auto"/>
            </w:pPr>
            <w:r>
              <w:rPr>
                <w:sz w:val="17"/>
              </w:rPr>
              <w:t>n.d.</w:t>
            </w:r>
          </w:p>
        </w:tc>
        <w:tc>
          <w:tcPr>
            <w:tcW w:type="dxa" w:w="2760"/>
          </w:tcPr>
          <w:p>
            <w:pPr>
              <w:spacing w:before="0" w:after="0" w:line="252" w:lineRule="auto"/>
            </w:pPr>
            <w:r>
              <w:rPr>
                <w:sz w:val="17"/>
              </w:rPr>
              <w:t>Norm limits; CROW-CUR 127</w:t>
            </w:r>
          </w:p>
        </w:tc>
      </w:tr>
      <w:tr>
        <w:trPr>
          <w:cantSplit w:val="true"/>
        </w:trPr>
        <w:tc>
          <w:tcPr>
            <w:tcW w:type="dxa" w:w="793"/>
            <w:shd w:val="clear" w:color="auto" w:fill="F2F5F9"/>
          </w:tcPr>
          <w:p>
            <w:pPr>
              <w:spacing w:before="0" w:after="0" w:line="252" w:lineRule="auto"/>
            </w:pPr>
            <w:r>
              <w:rPr>
                <w:sz w:val="17"/>
              </w:rPr>
              <w:t>TEC-04</w:t>
            </w:r>
          </w:p>
        </w:tc>
        <w:tc>
          <w:tcPr>
            <w:tcW w:type="dxa" w:w="2702"/>
            <w:shd w:val="clear" w:color="auto" w:fill="F2F5F9"/>
          </w:tcPr>
          <w:p>
            <w:pPr>
              <w:spacing w:before="0" w:after="0" w:line="252" w:lineRule="auto"/>
            </w:pPr>
            <w:r>
              <w:rPr>
                <w:sz w:val="17"/>
              </w:rPr>
              <w:t>Categorie 3 LCA rapport betonmortel (v6)</w:t>
            </w:r>
          </w:p>
        </w:tc>
        <w:tc>
          <w:tcPr>
            <w:tcW w:type="dxa" w:w="2334"/>
            <w:shd w:val="clear" w:color="auto" w:fill="F2F5F9"/>
          </w:tcPr>
          <w:p>
            <w:pPr>
              <w:spacing w:before="0" w:after="0" w:line="252" w:lineRule="auto"/>
            </w:pPr>
            <w:r>
              <w:rPr>
                <w:sz w:val="17"/>
              </w:rPr>
              <w:t>Stichting NMD</w:t>
            </w:r>
          </w:p>
        </w:tc>
        <w:tc>
          <w:tcPr>
            <w:tcW w:type="dxa" w:w="1048"/>
            <w:shd w:val="clear" w:color="auto" w:fill="F2F5F9"/>
          </w:tcPr>
          <w:p>
            <w:pPr>
              <w:spacing w:before="0" w:after="0" w:line="252" w:lineRule="auto"/>
              <w:jc w:val="center"/>
            </w:pPr>
            <w:r>
              <w:rPr>
                <w:sz w:val="17"/>
              </w:rPr>
              <w:t>2025-03</w:t>
            </w:r>
          </w:p>
        </w:tc>
        <w:tc>
          <w:tcPr>
            <w:tcW w:type="dxa" w:w="2760"/>
            <w:shd w:val="clear" w:color="auto" w:fill="F2F5F9"/>
          </w:tcPr>
          <w:p>
            <w:pPr>
              <w:spacing w:before="0" w:after="0" w:line="252" w:lineRule="auto"/>
            </w:pPr>
            <w:r>
              <w:rPr>
                <w:sz w:val="17"/>
              </w:rPr>
              <w:t>Reference mixes; MKI per module</w:t>
            </w:r>
          </w:p>
        </w:tc>
      </w:tr>
      <w:tr>
        <w:trPr>
          <w:cantSplit w:val="true"/>
        </w:trPr>
        <w:tc>
          <w:tcPr>
            <w:tcW w:type="dxa" w:w="793"/>
          </w:tcPr>
          <w:p>
            <w:pPr>
              <w:spacing w:before="0" w:after="0" w:line="252" w:lineRule="auto"/>
            </w:pPr>
            <w:r>
              <w:rPr>
                <w:sz w:val="17"/>
              </w:rPr>
              <w:t>TEC-33</w:t>
            </w:r>
          </w:p>
        </w:tc>
        <w:tc>
          <w:tcPr>
            <w:tcW w:type="dxa" w:w="2702"/>
          </w:tcPr>
          <w:p>
            <w:pPr>
              <w:spacing w:before="0" w:after="0" w:line="252" w:lineRule="auto"/>
            </w:pPr>
            <w:r>
              <w:rPr>
                <w:sz w:val="17"/>
              </w:rPr>
              <w:t>Selective demolition and recycling of Dutch infrastructure concrete</w:t>
            </w:r>
          </w:p>
        </w:tc>
        <w:tc>
          <w:tcPr>
            <w:tcW w:type="dxa" w:w="2334"/>
          </w:tcPr>
          <w:p>
            <w:pPr>
              <w:spacing w:before="0" w:after="0" w:line="252" w:lineRule="auto"/>
            </w:pPr>
            <w:r>
              <w:rPr>
                <w:sz w:val="17"/>
              </w:rPr>
              <w:t>Construction and Building Materials</w:t>
            </w:r>
          </w:p>
        </w:tc>
        <w:tc>
          <w:tcPr>
            <w:tcW w:type="dxa" w:w="1048"/>
          </w:tcPr>
          <w:p>
            <w:pPr>
              <w:spacing w:before="0" w:after="0" w:line="252" w:lineRule="auto"/>
              <w:jc w:val="center"/>
            </w:pPr>
            <w:r>
              <w:rPr>
                <w:sz w:val="17"/>
              </w:rPr>
              <w:t>2026-05</w:t>
            </w:r>
          </w:p>
        </w:tc>
        <w:tc>
          <w:tcPr>
            <w:tcW w:type="dxa" w:w="2760"/>
          </w:tcPr>
          <w:p>
            <w:pPr>
              <w:spacing w:before="0" w:after="0" w:line="252" w:lineRule="auto"/>
            </w:pPr>
            <w:r>
              <w:rPr>
                <w:sz w:val="17"/>
              </w:rPr>
              <w:t>RCA quality data</w:t>
            </w:r>
          </w:p>
        </w:tc>
      </w:tr>
      <w:tr>
        <w:trPr>
          <w:cantSplit w:val="true"/>
        </w:trPr>
        <w:tc>
          <w:tcPr>
            <w:tcW w:type="dxa" w:w="793"/>
            <w:shd w:val="clear" w:color="auto" w:fill="F2F5F9"/>
          </w:tcPr>
          <w:p>
            <w:pPr>
              <w:spacing w:before="0" w:after="0" w:line="252" w:lineRule="auto"/>
            </w:pPr>
            <w:r>
              <w:rPr>
                <w:sz w:val="17"/>
              </w:rPr>
              <w:t>CST-01</w:t>
            </w:r>
          </w:p>
        </w:tc>
        <w:tc>
          <w:tcPr>
            <w:tcW w:type="dxa" w:w="2702"/>
            <w:shd w:val="clear" w:color="auto" w:fill="F2F5F9"/>
          </w:tcPr>
          <w:p>
            <w:pPr>
              <w:spacing w:before="0" w:after="0" w:line="252" w:lineRule="auto"/>
            </w:pPr>
            <w:r>
              <w:rPr>
                <w:sz w:val="17"/>
              </w:rPr>
              <w:t>Boundary conditions category 3 data</w:t>
            </w:r>
          </w:p>
        </w:tc>
        <w:tc>
          <w:tcPr>
            <w:tcW w:type="dxa" w:w="2334"/>
            <w:shd w:val="clear" w:color="auto" w:fill="F2F5F9"/>
          </w:tcPr>
          <w:p>
            <w:pPr>
              <w:spacing w:before="0" w:after="0" w:line="252" w:lineRule="auto"/>
            </w:pPr>
            <w:r>
              <w:rPr>
                <w:sz w:val="17"/>
              </w:rPr>
              <w:t>Stichting NMD</w:t>
            </w:r>
          </w:p>
        </w:tc>
        <w:tc>
          <w:tcPr>
            <w:tcW w:type="dxa" w:w="1048"/>
            <w:shd w:val="clear" w:color="auto" w:fill="F2F5F9"/>
          </w:tcPr>
          <w:p>
            <w:pPr>
              <w:spacing w:before="0" w:after="0" w:line="252" w:lineRule="auto"/>
              <w:jc w:val="center"/>
            </w:pPr>
            <w:r>
              <w:rPr>
                <w:sz w:val="17"/>
              </w:rPr>
              <w:t>2026</w:t>
            </w:r>
          </w:p>
        </w:tc>
        <w:tc>
          <w:tcPr>
            <w:tcW w:type="dxa" w:w="2760"/>
            <w:shd w:val="clear" w:color="auto" w:fill="F2F5F9"/>
          </w:tcPr>
          <w:p>
            <w:pPr>
              <w:spacing w:before="0" w:after="0" w:line="252" w:lineRule="auto"/>
            </w:pPr>
            <w:r>
              <w:rPr>
                <w:sz w:val="17"/>
              </w:rPr>
              <w:t>×1.3 markup on generic data</w:t>
            </w:r>
          </w:p>
        </w:tc>
      </w:tr>
      <w:tr>
        <w:trPr>
          <w:cantSplit w:val="true"/>
        </w:trPr>
        <w:tc>
          <w:tcPr>
            <w:tcW w:type="dxa" w:w="793"/>
          </w:tcPr>
          <w:p>
            <w:pPr>
              <w:spacing w:before="0" w:after="0" w:line="252" w:lineRule="auto"/>
            </w:pPr>
            <w:r>
              <w:rPr>
                <w:sz w:val="17"/>
              </w:rPr>
              <w:t>CST-06</w:t>
            </w:r>
          </w:p>
        </w:tc>
        <w:tc>
          <w:tcPr>
            <w:tcW w:type="dxa" w:w="2702"/>
          </w:tcPr>
          <w:p>
            <w:pPr>
              <w:spacing w:before="0" w:after="0" w:line="252" w:lineRule="auto"/>
            </w:pPr>
            <w:r>
              <w:rPr>
                <w:sz w:val="17"/>
              </w:rPr>
              <w:t>Samenvatting CAO Mortelbedrijven 2026</w:t>
            </w:r>
          </w:p>
        </w:tc>
        <w:tc>
          <w:tcPr>
            <w:tcW w:type="dxa" w:w="2334"/>
          </w:tcPr>
          <w:p>
            <w:pPr>
              <w:spacing w:before="0" w:after="0" w:line="252" w:lineRule="auto"/>
            </w:pPr>
            <w:r>
              <w:rPr>
                <w:sz w:val="17"/>
              </w:rPr>
              <w:t>salaris-informatie.nl (secondary)</w:t>
            </w:r>
          </w:p>
        </w:tc>
        <w:tc>
          <w:tcPr>
            <w:tcW w:type="dxa" w:w="1048"/>
          </w:tcPr>
          <w:p>
            <w:pPr>
              <w:spacing w:before="0" w:after="0" w:line="252" w:lineRule="auto"/>
              <w:jc w:val="center"/>
            </w:pPr>
            <w:r>
              <w:rPr>
                <w:sz w:val="17"/>
              </w:rPr>
              <w:t>2026-07</w:t>
            </w:r>
          </w:p>
        </w:tc>
        <w:tc>
          <w:tcPr>
            <w:tcW w:type="dxa" w:w="2760"/>
          </w:tcPr>
          <w:p>
            <w:pPr>
              <w:spacing w:before="0" w:after="0" w:line="252" w:lineRule="auto"/>
            </w:pPr>
            <w:r>
              <w:rPr>
                <w:sz w:val="17"/>
              </w:rPr>
              <w:t>Wage levels</w:t>
            </w:r>
          </w:p>
        </w:tc>
      </w:tr>
      <w:tr>
        <w:trPr>
          <w:cantSplit w:val="true"/>
        </w:trPr>
        <w:tc>
          <w:tcPr>
            <w:tcW w:type="dxa" w:w="793"/>
            <w:shd w:val="clear" w:color="auto" w:fill="F2F5F9"/>
          </w:tcPr>
          <w:p>
            <w:pPr>
              <w:spacing w:before="0" w:after="0" w:line="252" w:lineRule="auto"/>
            </w:pPr>
            <w:r>
              <w:rPr>
                <w:sz w:val="17"/>
              </w:rPr>
              <w:t>OPT-01</w:t>
            </w:r>
          </w:p>
        </w:tc>
        <w:tc>
          <w:tcPr>
            <w:tcW w:type="dxa" w:w="2702"/>
            <w:shd w:val="clear" w:color="auto" w:fill="F2F5F9"/>
          </w:tcPr>
          <w:p>
            <w:pPr>
              <w:spacing w:before="0" w:after="0" w:line="252" w:lineRule="auto"/>
            </w:pPr>
            <w:r>
              <w:rPr>
                <w:sz w:val="17"/>
              </w:rPr>
              <w:t>Cementir 2024 results</w:t>
            </w:r>
          </w:p>
        </w:tc>
        <w:tc>
          <w:tcPr>
            <w:tcW w:type="dxa" w:w="2334"/>
            <w:shd w:val="clear" w:color="auto" w:fill="F2F5F9"/>
          </w:tcPr>
          <w:p>
            <w:pPr>
              <w:spacing w:before="0" w:after="0" w:line="252" w:lineRule="auto"/>
            </w:pPr>
            <w:r>
              <w:rPr>
                <w:sz w:val="17"/>
              </w:rPr>
              <w:t>Cementir Holding</w:t>
            </w:r>
          </w:p>
        </w:tc>
        <w:tc>
          <w:tcPr>
            <w:tcW w:type="dxa" w:w="1048"/>
            <w:shd w:val="clear" w:color="auto" w:fill="F2F5F9"/>
          </w:tcPr>
          <w:p>
            <w:pPr>
              <w:spacing w:before="0" w:after="0" w:line="252" w:lineRule="auto"/>
              <w:jc w:val="center"/>
            </w:pPr>
            <w:r>
              <w:rPr>
                <w:sz w:val="17"/>
              </w:rPr>
              <w:t>2025-03</w:t>
            </w:r>
          </w:p>
        </w:tc>
        <w:tc>
          <w:tcPr>
            <w:tcW w:type="dxa" w:w="2760"/>
            <w:shd w:val="clear" w:color="auto" w:fill="F2F5F9"/>
          </w:tcPr>
          <w:p>
            <w:pPr>
              <w:spacing w:before="0" w:after="0" w:line="252" w:lineRule="auto"/>
            </w:pPr>
            <w:r>
              <w:rPr>
                <w:sz w:val="17"/>
              </w:rPr>
              <w:t>Plant deal (price not confirmed — unverified)</w:t>
            </w:r>
          </w:p>
        </w:tc>
      </w:tr>
      <w:tr>
        <w:trPr>
          <w:cantSplit w:val="true"/>
        </w:trPr>
        <w:tc>
          <w:tcPr>
            <w:tcW w:type="dxa" w:w="793"/>
          </w:tcPr>
          <w:p>
            <w:pPr>
              <w:spacing w:before="0" w:after="0" w:line="252" w:lineRule="auto"/>
            </w:pPr>
            <w:r>
              <w:rPr>
                <w:sz w:val="17"/>
              </w:rPr>
              <w:t>OPT-04</w:t>
            </w:r>
          </w:p>
        </w:tc>
        <w:tc>
          <w:tcPr>
            <w:tcW w:type="dxa" w:w="2702"/>
          </w:tcPr>
          <w:p>
            <w:pPr>
              <w:spacing w:before="0" w:after="0" w:line="252" w:lineRule="auto"/>
            </w:pPr>
            <w:r>
              <w:rPr>
                <w:sz w:val="17"/>
              </w:rPr>
              <w:t>On-site crushing price</w:t>
            </w:r>
          </w:p>
        </w:tc>
        <w:tc>
          <w:tcPr>
            <w:tcW w:type="dxa" w:w="2334"/>
          </w:tcPr>
          <w:p>
            <w:pPr>
              <w:spacing w:before="0" w:after="0" w:line="252" w:lineRule="auto"/>
            </w:pPr>
            <w:r>
              <w:rPr>
                <w:sz w:val="17"/>
              </w:rPr>
              <w:t>SK Groundworks (UK)</w:t>
            </w:r>
          </w:p>
        </w:tc>
        <w:tc>
          <w:tcPr>
            <w:tcW w:type="dxa" w:w="1048"/>
          </w:tcPr>
          <w:p>
            <w:pPr>
              <w:spacing w:before="0" w:after="0" w:line="252" w:lineRule="auto"/>
            </w:pPr>
            <w:r>
              <w:rPr>
                <w:sz w:val="17"/>
              </w:rPr>
              <w:t>n.d.</w:t>
            </w:r>
          </w:p>
        </w:tc>
        <w:tc>
          <w:tcPr>
            <w:tcW w:type="dxa" w:w="2760"/>
          </w:tcPr>
          <w:p>
            <w:pPr>
              <w:spacing w:before="0" w:after="0" w:line="252" w:lineRule="auto"/>
            </w:pPr>
            <w:r>
              <w:rPr>
                <w:sz w:val="17"/>
              </w:rPr>
              <w:t xml:space="preserve">Contract crushing rate — </w:t>
            </w:r>
            <w:r>
              <w:rPr>
                <w:b/>
                <w:sz w:val="17"/>
              </w:rPr>
              <w:t>unverified</w:t>
            </w:r>
          </w:p>
        </w:tc>
      </w:tr>
      <w:tr>
        <w:trPr>
          <w:cantSplit w:val="true"/>
        </w:trPr>
        <w:tc>
          <w:tcPr>
            <w:tcW w:type="dxa" w:w="793"/>
            <w:shd w:val="clear" w:color="auto" w:fill="F2F5F9"/>
          </w:tcPr>
          <w:p>
            <w:pPr>
              <w:spacing w:before="0" w:after="0" w:line="252" w:lineRule="auto"/>
            </w:pPr>
            <w:r>
              <w:rPr>
                <w:sz w:val="17"/>
              </w:rPr>
              <w:t>FIX-S01</w:t>
            </w:r>
          </w:p>
        </w:tc>
        <w:tc>
          <w:tcPr>
            <w:tcW w:type="dxa" w:w="2702"/>
            <w:shd w:val="clear" w:color="auto" w:fill="F2F5F9"/>
          </w:tcPr>
          <w:p>
            <w:pPr>
              <w:spacing w:before="0" w:after="0" w:line="252" w:lineRule="auto"/>
            </w:pPr>
            <w:r>
              <w:rPr>
                <w:sz w:val="17"/>
              </w:rPr>
              <w:t>4K-Beton results (5.7% EBITDA margin)</w:t>
            </w:r>
          </w:p>
        </w:tc>
        <w:tc>
          <w:tcPr>
            <w:tcW w:type="dxa" w:w="2334"/>
            <w:shd w:val="clear" w:color="auto" w:fill="F2F5F9"/>
          </w:tcPr>
          <w:p>
            <w:pPr>
              <w:spacing w:before="0" w:after="0" w:line="252" w:lineRule="auto"/>
            </w:pPr>
            <w:r>
              <w:rPr>
                <w:sz w:val="17"/>
              </w:rPr>
              <w:t>Cemnet (via red team; not opened by us)</w:t>
            </w:r>
          </w:p>
        </w:tc>
        <w:tc>
          <w:tcPr>
            <w:tcW w:type="dxa" w:w="1048"/>
            <w:shd w:val="clear" w:color="auto" w:fill="F2F5F9"/>
          </w:tcPr>
          <w:p>
            <w:pPr>
              <w:spacing w:before="0" w:after="0" w:line="252" w:lineRule="auto"/>
            </w:pPr>
            <w:r>
              <w:rPr>
                <w:sz w:val="17"/>
              </w:rPr>
              <w:t>n.d.</w:t>
            </w:r>
          </w:p>
        </w:tc>
        <w:tc>
          <w:tcPr>
            <w:tcW w:type="dxa" w:w="2760"/>
            <w:shd w:val="clear" w:color="auto" w:fill="F2F5F9"/>
          </w:tcPr>
          <w:p>
            <w:pPr>
              <w:spacing w:before="0" w:after="0" w:line="252" w:lineRule="auto"/>
            </w:pPr>
            <w:r>
              <w:rPr>
                <w:sz w:val="17"/>
              </w:rPr>
              <w:t>Thin ready-mix margins</w:t>
            </w:r>
          </w:p>
        </w:tc>
      </w:tr>
    </w:tbl>
    <w:p>
      <w:pPr>
        <w:spacing w:before="0" w:after="40" w:line="240" w:lineRule="auto"/>
      </w:pPr>
    </w:p>
    <w:p>
      <w:r>
        <w:br w:type="page"/>
      </w:r>
    </w:p>
    <w:p>
      <w:pPr>
        <w:pStyle w:val="Heading1"/>
      </w:pPr>
      <w:r>
        <w:t>Appendix C — Method and red-team review</w:t>
      </w:r>
    </w:p>
    <w:p>
      <w:pPr>
        <w:pStyle w:val="Heading2"/>
      </w:pPr>
      <w:r>
        <w:t>C.1 Method</w:t>
      </w:r>
    </w:p>
    <w:p>
      <w:pPr>
        <w:tabs>
          <w:tab w:pos="425" w:val="left"/>
        </w:tabs>
        <w:spacing w:before="0" w:after="60" w:line="276" w:lineRule="auto"/>
        <w:ind w:left="425" w:hanging="340"/>
      </w:pPr>
      <w:r>
        <w:t>1.</w:t>
        <w:tab/>
      </w:r>
      <w:r>
        <w:rPr>
          <w:b/>
        </w:rPr>
        <w:t>Scope and criteria (Phase 0).</w:t>
      </w:r>
      <w:r>
        <w:t xml:space="preserve"> The client confirmed the base case (ready-mix/prefab), national scope, an 8% real discount rate and the four viability criteria </w:t>
      </w:r>
      <w:r>
        <w:rPr>
          <w:b/>
        </w:rPr>
        <w:t>before</w:t>
      </w:r>
      <w:r>
        <w:t xml:space="preserve"> any research or modelling.</w:t>
      </w:r>
    </w:p>
    <w:p>
      <w:pPr>
        <w:tabs>
          <w:tab w:pos="425" w:val="left"/>
        </w:tabs>
        <w:spacing w:before="0" w:after="60" w:line="276" w:lineRule="auto"/>
        <w:ind w:left="425" w:hanging="340"/>
      </w:pPr>
      <w:r>
        <w:t>2.</w:t>
        <w:tab/>
      </w:r>
      <w:r>
        <w:rPr>
          <w:b/>
        </w:rPr>
        <w:t>Research (Phase 1).</w:t>
      </w:r>
      <w:r>
        <w:t xml:space="preserve"> Four parallel research streams: policy, market, technology, competitors. Every claim is labelled VERIFIED / ESTIMATE / ASSUMPTION and logged with an ID. Only public sources; no expert interviews.</w:t>
      </w:r>
    </w:p>
    <w:p>
      <w:pPr>
        <w:tabs>
          <w:tab w:pos="425" w:val="left"/>
        </w:tabs>
        <w:spacing w:before="0" w:after="60" w:line="276" w:lineRule="auto"/>
        <w:ind w:left="425" w:hanging="340"/>
      </w:pPr>
      <w:r>
        <w:t>3.</w:t>
        <w:tab/>
      </w:r>
      <w:r>
        <w:rPr>
          <w:b/>
        </w:rPr>
        <w:t>Economics (Phase 2).</w:t>
      </w:r>
      <w:r>
        <w:t xml:space="preserve"> A unit-cost breakdown with low/base/high values per line, then a 10-year financial model in Excel (live formulas) and Python. The two give </w:t>
      </w:r>
      <w:r>
        <w:rPr>
          <w:b/>
        </w:rPr>
        <w:t>the same numbers in 23 test cases</w:t>
      </w:r>
      <w:r>
        <w:t xml:space="preserve"> (difference &lt; €0.0001).</w:t>
      </w:r>
    </w:p>
    <w:p>
      <w:pPr>
        <w:tabs>
          <w:tab w:pos="425" w:val="left"/>
        </w:tabs>
        <w:spacing w:before="0" w:after="60" w:line="276" w:lineRule="auto"/>
        <w:ind w:left="425" w:hanging="340"/>
      </w:pPr>
      <w:r>
        <w:t>4.</w:t>
        <w:tab/>
      </w:r>
      <w:r>
        <w:rPr>
          <w:b/>
        </w:rPr>
        <w:t>Viability gate (Phase 3).</w:t>
      </w:r>
      <w:r>
        <w:t xml:space="preserve"> The fixed criteria gave NOT VIABLE, so 10 options and 2 packages were tested in the same model.</w:t>
      </w:r>
    </w:p>
    <w:p>
      <w:pPr>
        <w:tabs>
          <w:tab w:pos="425" w:val="left"/>
        </w:tabs>
        <w:spacing w:before="0" w:after="60" w:line="276" w:lineRule="auto"/>
        <w:ind w:left="425" w:hanging="340"/>
      </w:pPr>
      <w:r>
        <w:t>5.</w:t>
        <w:tab/>
      </w:r>
      <w:r>
        <w:rPr>
          <w:b/>
        </w:rPr>
        <w:t>Go-to-market (Phase 4)</w:t>
      </w:r>
      <w:r>
        <w:t xml:space="preserve"> for the closest route.</w:t>
      </w:r>
    </w:p>
    <w:p>
      <w:pPr>
        <w:tabs>
          <w:tab w:pos="425" w:val="left"/>
        </w:tabs>
        <w:spacing w:before="0" w:after="60" w:line="276" w:lineRule="auto"/>
        <w:ind w:left="425" w:hanging="340"/>
      </w:pPr>
      <w:r>
        <w:t>6.</w:t>
        <w:tab/>
      </w:r>
      <w:r>
        <w:rPr>
          <w:b/>
        </w:rPr>
        <w:t>Red team (Phase 5).</w:t>
      </w:r>
      <w:r>
        <w:t xml:space="preserve"> An independent critic re-ran the model, checked about 25 key numbers and spot-checked 12 sources. It found </w:t>
      </w:r>
      <w:r>
        <w:rPr>
          <w:b/>
        </w:rPr>
        <w:t>no arithmetic or logic errors</w:t>
      </w:r>
      <w:r>
        <w:t>, but 24 issues (5 high, 10 medium, 9 low). All high issues were fixed; all others were answered.</w:t>
      </w:r>
    </w:p>
    <w:p>
      <w:pPr>
        <w:pStyle w:val="Heading2"/>
      </w:pPr>
      <w:r>
        <w:t>C.2 What the red team corrected</w:t>
      </w:r>
    </w:p>
    <w:tbl>
      <w:tblPr>
        <w:tblW w:type="auto" w:w="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top w:w="50" w:type="dxa"/>
          <w:left w:w="80" w:type="dxa"/>
          <w:bottom w:w="50" w:type="dxa"/>
          <w:right w:w="80" w:type="dxa"/>
        </w:tblCellMar>
        <w:tblLook w:firstColumn="1" w:firstRow="1" w:lastColumn="0" w:lastRow="0" w:noHBand="0" w:noVBand="1" w:val="04A0"/>
      </w:tblPr>
      <w:tblGrid>
        <w:gridCol w:w="648"/>
        <w:gridCol w:w="2923"/>
        <w:gridCol w:w="3974"/>
        <w:gridCol w:w="2091"/>
      </w:tblGrid>
      <w:tr>
        <w:trPr>
          <w:cantSplit w:val="true"/>
          <w:tblHeader w:val="true"/>
        </w:trPr>
        <w:tc>
          <w:tcPr>
            <w:tcW w:type="dxa" w:w="648"/>
            <w:shd w:val="clear" w:color="auto" w:fill="1F3A5F"/>
          </w:tcPr>
          <w:p>
            <w:pPr>
              <w:spacing w:before="0" w:after="0" w:line="252" w:lineRule="auto"/>
            </w:pPr>
            <w:r>
              <w:rPr>
                <w:b/>
                <w:color w:val="FFFFFF"/>
                <w:sz w:val="18"/>
              </w:rPr>
              <w:t>Issue</w:t>
            </w:r>
          </w:p>
        </w:tc>
        <w:tc>
          <w:tcPr>
            <w:tcW w:type="dxa" w:w="2923"/>
            <w:shd w:val="clear" w:color="auto" w:fill="1F3A5F"/>
          </w:tcPr>
          <w:p>
            <w:pPr>
              <w:spacing w:before="0" w:after="0" w:line="252" w:lineRule="auto"/>
            </w:pPr>
            <w:r>
              <w:rPr>
                <w:b/>
                <w:color w:val="FFFFFF"/>
                <w:sz w:val="18"/>
              </w:rPr>
              <w:t>Finding</w:t>
            </w:r>
          </w:p>
        </w:tc>
        <w:tc>
          <w:tcPr>
            <w:tcW w:type="dxa" w:w="3974"/>
            <w:shd w:val="clear" w:color="auto" w:fill="1F3A5F"/>
          </w:tcPr>
          <w:p>
            <w:pPr>
              <w:spacing w:before="0" w:after="0" w:line="252" w:lineRule="auto"/>
            </w:pPr>
            <w:r>
              <w:rPr>
                <w:b/>
                <w:color w:val="FFFFFF"/>
                <w:sz w:val="18"/>
              </w:rPr>
              <w:t>Fix</w:t>
            </w:r>
          </w:p>
        </w:tc>
        <w:tc>
          <w:tcPr>
            <w:tcW w:type="dxa" w:w="2092"/>
            <w:shd w:val="clear" w:color="auto" w:fill="1F3A5F"/>
          </w:tcPr>
          <w:p>
            <w:pPr>
              <w:spacing w:before="0" w:after="0" w:line="252" w:lineRule="auto"/>
            </w:pPr>
            <w:r>
              <w:rPr>
                <w:b/>
                <w:color w:val="FFFFFF"/>
                <w:sz w:val="18"/>
              </w:rPr>
              <w:t>Effect</w:t>
            </w:r>
          </w:p>
        </w:tc>
      </w:tr>
      <w:tr>
        <w:trPr>
          <w:cantSplit w:val="true"/>
        </w:trPr>
        <w:tc>
          <w:tcPr>
            <w:tcW w:type="dxa" w:w="648"/>
          </w:tcPr>
          <w:p>
            <w:pPr>
              <w:spacing w:before="0" w:after="0" w:line="252" w:lineRule="auto"/>
            </w:pPr>
            <w:r>
              <w:rPr>
                <w:sz w:val="18"/>
              </w:rPr>
              <w:t>M1</w:t>
            </w:r>
          </w:p>
        </w:tc>
        <w:tc>
          <w:tcPr>
            <w:tcW w:type="dxa" w:w="2923"/>
          </w:tcPr>
          <w:p>
            <w:pPr>
              <w:spacing w:before="0" w:after="0" w:line="252" w:lineRule="auto"/>
            </w:pPr>
            <w:r>
              <w:rPr>
                <w:sz w:val="18"/>
              </w:rPr>
              <w:t>First sales in 2027 were optimistic</w:t>
            </w:r>
          </w:p>
        </w:tc>
        <w:tc>
          <w:tcPr>
            <w:tcW w:type="dxa" w:w="3974"/>
          </w:tcPr>
          <w:p>
            <w:pPr>
              <w:spacing w:before="0" w:after="0" w:line="252" w:lineRule="auto"/>
            </w:pPr>
            <w:r>
              <w:rPr>
                <w:sz w:val="18"/>
              </w:rPr>
              <w:t xml:space="preserve">First sales </w:t>
            </w:r>
            <w:r>
              <w:rPr>
                <w:b/>
                <w:sz w:val="18"/>
              </w:rPr>
              <w:t>2028</w:t>
            </w:r>
            <w:r>
              <w:rPr>
                <w:sz w:val="18"/>
              </w:rPr>
              <w:t xml:space="preserve"> (permits 2026, build 2027)</w:t>
            </w:r>
          </w:p>
        </w:tc>
        <w:tc>
          <w:tcPr>
            <w:tcW w:type="dxa" w:w="2092"/>
          </w:tcPr>
          <w:p>
            <w:pPr>
              <w:spacing w:before="0" w:after="0" w:line="252" w:lineRule="auto"/>
            </w:pPr>
            <w:r>
              <w:rPr>
                <w:sz w:val="18"/>
              </w:rPr>
              <w:t>Base NPV −€4.48M → −€4.38M</w:t>
            </w:r>
          </w:p>
        </w:tc>
      </w:tr>
      <w:tr>
        <w:trPr>
          <w:cantSplit w:val="true"/>
        </w:trPr>
        <w:tc>
          <w:tcPr>
            <w:tcW w:type="dxa" w:w="648"/>
            <w:shd w:val="clear" w:color="auto" w:fill="F2F5F9"/>
          </w:tcPr>
          <w:p>
            <w:pPr>
              <w:spacing w:before="0" w:after="0" w:line="252" w:lineRule="auto"/>
            </w:pPr>
            <w:r>
              <w:rPr>
                <w:sz w:val="18"/>
              </w:rPr>
              <w:t>M2</w:t>
            </w:r>
          </w:p>
        </w:tc>
        <w:tc>
          <w:tcPr>
            <w:tcW w:type="dxa" w:w="2923"/>
            <w:shd w:val="clear" w:color="auto" w:fill="F2F5F9"/>
          </w:tcPr>
          <w:p>
            <w:pPr>
              <w:spacing w:before="0" w:after="0" w:line="252" w:lineRule="auto"/>
            </w:pPr>
            <w:r>
              <w:rPr>
                <w:sz w:val="18"/>
              </w:rPr>
              <w:t>Delivery cost assumed 10 m³ per truck</w:t>
            </w:r>
          </w:p>
        </w:tc>
        <w:tc>
          <w:tcPr>
            <w:tcW w:type="dxa" w:w="3974"/>
            <w:shd w:val="clear" w:color="auto" w:fill="F2F5F9"/>
          </w:tcPr>
          <w:p>
            <w:pPr>
              <w:spacing w:before="0" w:after="0" w:line="252" w:lineRule="auto"/>
            </w:pPr>
            <w:r>
              <w:rPr>
                <w:sz w:val="18"/>
              </w:rPr>
              <w:t xml:space="preserve">Average load </w:t>
            </w:r>
            <w:r>
              <w:rPr>
                <w:b/>
                <w:sz w:val="18"/>
              </w:rPr>
              <w:t>9 m³</w:t>
            </w:r>
            <w:r>
              <w:rPr>
                <w:sz w:val="18"/>
              </w:rPr>
              <w:t xml:space="preserve"> (ERMCO data)</w:t>
            </w:r>
          </w:p>
        </w:tc>
        <w:tc>
          <w:tcPr>
            <w:tcW w:type="dxa" w:w="2092"/>
            <w:shd w:val="clear" w:color="auto" w:fill="F2F5F9"/>
          </w:tcPr>
          <w:p>
            <w:pPr>
              <w:spacing w:before="0" w:after="0" w:line="252" w:lineRule="auto"/>
            </w:pPr>
            <w:r>
              <w:rPr>
                <w:sz w:val="18"/>
              </w:rPr>
              <w:t>→ −€5.15M</w:t>
            </w:r>
          </w:p>
        </w:tc>
      </w:tr>
      <w:tr>
        <w:trPr>
          <w:cantSplit w:val="true"/>
        </w:trPr>
        <w:tc>
          <w:tcPr>
            <w:tcW w:type="dxa" w:w="648"/>
          </w:tcPr>
          <w:p>
            <w:pPr>
              <w:spacing w:before="0" w:after="0" w:line="252" w:lineRule="auto"/>
            </w:pPr>
            <w:r>
              <w:rPr>
                <w:sz w:val="18"/>
              </w:rPr>
              <w:t>M3</w:t>
            </w:r>
          </w:p>
        </w:tc>
        <w:tc>
          <w:tcPr>
            <w:tcW w:type="dxa" w:w="2923"/>
          </w:tcPr>
          <w:p>
            <w:pPr>
              <w:spacing w:before="0" w:after="0" w:line="252" w:lineRule="auto"/>
            </w:pPr>
            <w:r>
              <w:rPr>
                <w:sz w:val="18"/>
              </w:rPr>
              <w:t>Green premium evidence was one-sided</w:t>
            </w:r>
          </w:p>
        </w:tc>
        <w:tc>
          <w:tcPr>
            <w:tcW w:type="dxa" w:w="3974"/>
          </w:tcPr>
          <w:p>
            <w:pPr>
              <w:spacing w:before="0" w:after="0" w:line="252" w:lineRule="auto"/>
            </w:pPr>
            <w:r>
              <w:rPr>
                <w:sz w:val="18"/>
              </w:rPr>
              <w:t xml:space="preserve">Public premium </w:t>
            </w:r>
            <w:r>
              <w:rPr>
                <w:b/>
                <w:sz w:val="18"/>
              </w:rPr>
              <w:t>1.5%</w:t>
            </w:r>
            <w:r>
              <w:rPr>
                <w:sz w:val="18"/>
              </w:rPr>
              <w:t xml:space="preserve"> (was 3%); counter-evidence added</w:t>
            </w:r>
          </w:p>
        </w:tc>
        <w:tc>
          <w:tcPr>
            <w:tcW w:type="dxa" w:w="2092"/>
          </w:tcPr>
          <w:p>
            <w:pPr>
              <w:spacing w:before="0" w:after="0" w:line="252" w:lineRule="auto"/>
            </w:pPr>
            <w:r>
              <w:rPr>
                <w:sz w:val="18"/>
              </w:rPr>
              <w:t xml:space="preserve">→ </w:t>
            </w:r>
            <w:r>
              <w:rPr>
                <w:b/>
                <w:sz w:val="18"/>
              </w:rPr>
              <w:t>−€5.33M (new base)</w:t>
            </w:r>
          </w:p>
        </w:tc>
      </w:tr>
      <w:tr>
        <w:trPr>
          <w:cantSplit w:val="true"/>
        </w:trPr>
        <w:tc>
          <w:tcPr>
            <w:tcW w:type="dxa" w:w="648"/>
            <w:shd w:val="clear" w:color="auto" w:fill="F2F5F9"/>
          </w:tcPr>
          <w:p>
            <w:pPr>
              <w:spacing w:before="0" w:after="0" w:line="252" w:lineRule="auto"/>
            </w:pPr>
            <w:r>
              <w:rPr>
                <w:sz w:val="18"/>
              </w:rPr>
              <w:t>H1</w:t>
            </w:r>
          </w:p>
        </w:tc>
        <w:tc>
          <w:tcPr>
            <w:tcW w:type="dxa" w:w="2923"/>
            <w:shd w:val="clear" w:color="auto" w:fill="F2F5F9"/>
          </w:tcPr>
          <w:p>
            <w:pPr>
              <w:spacing w:before="0" w:after="0" w:line="252" w:lineRule="auto"/>
            </w:pPr>
            <w:r>
              <w:rPr>
                <w:sz w:val="18"/>
              </w:rPr>
              <w:t>#1 driver (price €135/m³) rests on a secondary blog</w:t>
            </w:r>
          </w:p>
        </w:tc>
        <w:tc>
          <w:tcPr>
            <w:tcW w:type="dxa" w:w="3974"/>
            <w:shd w:val="clear" w:color="auto" w:fill="F2F5F9"/>
          </w:tcPr>
          <w:p>
            <w:pPr>
              <w:spacing w:before="0" w:after="0" w:line="252" w:lineRule="auto"/>
            </w:pPr>
            <w:r>
              <w:rPr>
                <w:sz w:val="18"/>
              </w:rPr>
              <w:t>Kept, re-labelled confidence low; primary list added; error direction stated (likely lower)</w:t>
            </w:r>
          </w:p>
        </w:tc>
        <w:tc>
          <w:tcPr>
            <w:tcW w:type="dxa" w:w="2092"/>
            <w:shd w:val="clear" w:color="auto" w:fill="F2F5F9"/>
          </w:tcPr>
          <w:p>
            <w:pPr>
              <w:spacing w:before="0" w:after="0" w:line="252" w:lineRule="auto"/>
            </w:pPr>
            <w:r>
              <w:rPr>
                <w:sz w:val="18"/>
              </w:rPr>
              <w:t>Text only</w:t>
            </w:r>
          </w:p>
        </w:tc>
      </w:tr>
      <w:tr>
        <w:trPr>
          <w:cantSplit w:val="true"/>
        </w:trPr>
        <w:tc>
          <w:tcPr>
            <w:tcW w:type="dxa" w:w="648"/>
          </w:tcPr>
          <w:p>
            <w:pPr>
              <w:spacing w:before="0" w:after="0" w:line="252" w:lineRule="auto"/>
            </w:pPr>
            <w:r>
              <w:rPr>
                <w:sz w:val="18"/>
              </w:rPr>
              <w:t>H2–H5</w:t>
            </w:r>
          </w:p>
        </w:tc>
        <w:tc>
          <w:tcPr>
            <w:tcW w:type="dxa" w:w="2923"/>
          </w:tcPr>
          <w:p>
            <w:pPr>
              <w:spacing w:before="0" w:after="0" w:line="252" w:lineRule="auto"/>
            </w:pPr>
            <w:r>
              <w:rPr>
                <w:sz w:val="18"/>
              </w:rPr>
              <w:t>Package P2 shown as "break-even (+€414)": false precision and favourable choices stacked</w:t>
            </w:r>
          </w:p>
        </w:tc>
        <w:tc>
          <w:tcPr>
            <w:tcW w:type="dxa" w:w="3974"/>
          </w:tcPr>
          <w:p>
            <w:pPr>
              <w:spacing w:before="0" w:after="0" w:line="252" w:lineRule="auto"/>
            </w:pPr>
            <w:r>
              <w:rPr>
                <w:sz w:val="18"/>
              </w:rPr>
              <w:t>Gate fee €1/t (was €5), steel 1% split 50/50, washing €3/t, acquired-plant ramp, exact distance, +€1.0M expansion; P2 shown as a range</w:t>
            </w:r>
          </w:p>
        </w:tc>
        <w:tc>
          <w:tcPr>
            <w:tcW w:type="dxa" w:w="2092"/>
          </w:tcPr>
          <w:p>
            <w:pPr>
              <w:spacing w:before="0" w:after="0" w:line="252" w:lineRule="auto"/>
            </w:pPr>
            <w:r>
              <w:rPr>
                <w:sz w:val="18"/>
              </w:rPr>
              <w:t xml:space="preserve">P2 +€0.0M → </w:t>
            </w:r>
            <w:r>
              <w:rPr>
                <w:b/>
                <w:sz w:val="18"/>
              </w:rPr>
              <w:t>−€4.01M (range −€6.77M to −€1.42M)</w:t>
            </w:r>
          </w:p>
        </w:tc>
      </w:tr>
      <w:tr>
        <w:trPr>
          <w:cantSplit w:val="true"/>
        </w:trPr>
        <w:tc>
          <w:tcPr>
            <w:tcW w:type="dxa" w:w="648"/>
            <w:shd w:val="clear" w:color="auto" w:fill="F2F5F9"/>
          </w:tcPr>
          <w:p>
            <w:pPr>
              <w:spacing w:before="0" w:after="0" w:line="252" w:lineRule="auto"/>
            </w:pPr>
            <w:r>
              <w:rPr>
                <w:sz w:val="18"/>
              </w:rPr>
              <w:t>M4</w:t>
            </w:r>
          </w:p>
        </w:tc>
        <w:tc>
          <w:tcPr>
            <w:tcW w:type="dxa" w:w="2923"/>
            <w:shd w:val="clear" w:color="auto" w:fill="F2F5F9"/>
          </w:tcPr>
          <w:p>
            <w:pPr>
              <w:spacing w:before="0" w:after="0" w:line="252" w:lineRule="auto"/>
            </w:pPr>
            <w:r>
              <w:rPr>
                <w:sz w:val="18"/>
              </w:rPr>
              <w:t>Margin squeeze comes from two unsourced pass-through rates</w:t>
            </w:r>
          </w:p>
        </w:tc>
        <w:tc>
          <w:tcPr>
            <w:tcW w:type="dxa" w:w="3974"/>
            <w:shd w:val="clear" w:color="auto" w:fill="F2F5F9"/>
          </w:tcPr>
          <w:p>
            <w:pPr>
              <w:spacing w:before="0" w:after="0" w:line="252" w:lineRule="auto"/>
            </w:pPr>
            <w:r>
              <w:rPr>
                <w:sz w:val="18"/>
              </w:rPr>
              <w:t>Labelled key judgement calls; 100% case shown</w:t>
            </w:r>
          </w:p>
        </w:tc>
        <w:tc>
          <w:tcPr>
            <w:tcW w:type="dxa" w:w="2092"/>
            <w:shd w:val="clear" w:color="auto" w:fill="F2F5F9"/>
          </w:tcPr>
          <w:p>
            <w:pPr>
              <w:spacing w:before="0" w:after="0" w:line="252" w:lineRule="auto"/>
            </w:pPr>
            <w:r>
              <w:rPr>
                <w:sz w:val="18"/>
              </w:rPr>
              <w:t>100%: −€4.93M</w:t>
            </w:r>
          </w:p>
        </w:tc>
      </w:tr>
      <w:tr>
        <w:trPr>
          <w:cantSplit w:val="true"/>
        </w:trPr>
        <w:tc>
          <w:tcPr>
            <w:tcW w:type="dxa" w:w="648"/>
          </w:tcPr>
          <w:p>
            <w:pPr>
              <w:spacing w:before="0" w:after="0" w:line="252" w:lineRule="auto"/>
            </w:pPr>
            <w:r>
              <w:rPr>
                <w:sz w:val="18"/>
              </w:rPr>
              <w:t>M6</w:t>
            </w:r>
          </w:p>
        </w:tc>
        <w:tc>
          <w:tcPr>
            <w:tcW w:type="dxa" w:w="2923"/>
          </w:tcPr>
          <w:p>
            <w:pPr>
              <w:spacing w:before="0" w:after="0" w:line="252" w:lineRule="auto"/>
            </w:pPr>
            <w:r>
              <w:rPr>
                <w:sz w:val="18"/>
              </w:rPr>
              <w:t>Plant purchase price and margins not confirmed</w:t>
            </w:r>
          </w:p>
        </w:tc>
        <w:tc>
          <w:tcPr>
            <w:tcW w:type="dxa" w:w="3974"/>
          </w:tcPr>
          <w:p>
            <w:pPr>
              <w:spacing w:before="0" w:after="0" w:line="252" w:lineRule="auto"/>
            </w:pPr>
            <w:r>
              <w:rPr>
                <w:sz w:val="18"/>
              </w:rPr>
              <w:t>Sources marked unverified; 4K-Beton 5.7% margin added</w:t>
            </w:r>
          </w:p>
        </w:tc>
        <w:tc>
          <w:tcPr>
            <w:tcW w:type="dxa" w:w="2092"/>
          </w:tcPr>
          <w:p>
            <w:pPr>
              <w:spacing w:before="0" w:after="0" w:line="252" w:lineRule="auto"/>
            </w:pPr>
            <w:r>
              <w:rPr>
                <w:sz w:val="18"/>
              </w:rPr>
              <w:t>Text + P2 expansion capex</w:t>
            </w:r>
          </w:p>
        </w:tc>
      </w:tr>
      <w:tr>
        <w:trPr>
          <w:cantSplit w:val="true"/>
        </w:trPr>
        <w:tc>
          <w:tcPr>
            <w:tcW w:type="dxa" w:w="648"/>
            <w:shd w:val="clear" w:color="auto" w:fill="F2F5F9"/>
          </w:tcPr>
          <w:p>
            <w:pPr>
              <w:spacing w:before="0" w:after="0" w:line="252" w:lineRule="auto"/>
            </w:pPr>
            <w:r>
              <w:rPr>
                <w:sz w:val="18"/>
              </w:rPr>
              <w:t>M7</w:t>
            </w:r>
          </w:p>
        </w:tc>
        <w:tc>
          <w:tcPr>
            <w:tcW w:type="dxa" w:w="2923"/>
            <w:shd w:val="clear" w:color="auto" w:fill="F2F5F9"/>
          </w:tcPr>
          <w:p>
            <w:pPr>
              <w:spacing w:before="0" w:after="0" w:line="252" w:lineRule="auto"/>
            </w:pPr>
            <w:r>
              <w:rPr>
                <w:sz w:val="18"/>
              </w:rPr>
              <w:t>Partial double count in O5</w:t>
            </w:r>
          </w:p>
        </w:tc>
        <w:tc>
          <w:tcPr>
            <w:tcW w:type="dxa" w:w="3974"/>
            <w:shd w:val="clear" w:color="auto" w:fill="F2F5F9"/>
          </w:tcPr>
          <w:p>
            <w:pPr>
              <w:spacing w:before="0" w:after="0" w:line="252" w:lineRule="auto"/>
            </w:pPr>
            <w:r>
              <w:rPr>
                <w:sz w:val="18"/>
              </w:rPr>
              <w:t>MKI value netted against public premium</w:t>
            </w:r>
          </w:p>
        </w:tc>
        <w:tc>
          <w:tcPr>
            <w:tcW w:type="dxa" w:w="2092"/>
            <w:shd w:val="clear" w:color="auto" w:fill="F2F5F9"/>
          </w:tcPr>
          <w:p>
            <w:pPr>
              <w:spacing w:before="0" w:after="0" w:line="252" w:lineRule="auto"/>
            </w:pPr>
            <w:r>
              <w:rPr>
                <w:sz w:val="18"/>
              </w:rPr>
              <w:t>O5 −€5.86M</w:t>
            </w:r>
          </w:p>
        </w:tc>
      </w:tr>
      <w:tr>
        <w:trPr>
          <w:cantSplit w:val="true"/>
        </w:trPr>
        <w:tc>
          <w:tcPr>
            <w:tcW w:type="dxa" w:w="648"/>
          </w:tcPr>
          <w:p>
            <w:pPr>
              <w:spacing w:before="0" w:after="0" w:line="252" w:lineRule="auto"/>
            </w:pPr>
            <w:r>
              <w:rPr>
                <w:sz w:val="18"/>
              </w:rPr>
              <w:t>M8</w:t>
            </w:r>
          </w:p>
        </w:tc>
        <w:tc>
          <w:tcPr>
            <w:tcW w:type="dxa" w:w="2923"/>
          </w:tcPr>
          <w:p>
            <w:pPr>
              <w:spacing w:before="0" w:after="0" w:line="252" w:lineRule="auto"/>
            </w:pPr>
            <w:r>
              <w:rPr>
                <w:sz w:val="18"/>
              </w:rPr>
              <w:t>Range presented as "plausible"</w:t>
            </w:r>
          </w:p>
        </w:tc>
        <w:tc>
          <w:tcPr>
            <w:tcW w:type="dxa" w:w="3974"/>
          </w:tcPr>
          <w:p>
            <w:pPr>
              <w:spacing w:before="0" w:after="0" w:line="252" w:lineRule="auto"/>
            </w:pPr>
            <w:r>
              <w:rPr>
                <w:sz w:val="18"/>
              </w:rPr>
              <w:t>Labelled "indicative, not a probability interval"</w:t>
            </w:r>
          </w:p>
        </w:tc>
        <w:tc>
          <w:tcPr>
            <w:tcW w:type="dxa" w:w="2092"/>
          </w:tcPr>
          <w:p>
            <w:pPr>
              <w:spacing w:before="0" w:after="0" w:line="252" w:lineRule="auto"/>
              <w:jc w:val="center"/>
            </w:pPr>
            <w:r>
              <w:rPr>
                <w:sz w:val="18"/>
              </w:rPr>
              <w:t>−€15.3M to +€2.1M</w:t>
            </w:r>
          </w:p>
        </w:tc>
      </w:tr>
      <w:tr>
        <w:trPr>
          <w:cantSplit w:val="true"/>
        </w:trPr>
        <w:tc>
          <w:tcPr>
            <w:tcW w:type="dxa" w:w="648"/>
            <w:shd w:val="clear" w:color="auto" w:fill="F2F5F9"/>
          </w:tcPr>
          <w:p>
            <w:pPr>
              <w:spacing w:before="0" w:after="0" w:line="252" w:lineRule="auto"/>
            </w:pPr>
            <w:r>
              <w:rPr>
                <w:sz w:val="18"/>
              </w:rPr>
              <w:t>M9</w:t>
            </w:r>
          </w:p>
        </w:tc>
        <w:tc>
          <w:tcPr>
            <w:tcW w:type="dxa" w:w="2923"/>
            <w:shd w:val="clear" w:color="auto" w:fill="F2F5F9"/>
          </w:tcPr>
          <w:p>
            <w:pPr>
              <w:spacing w:before="0" w:after="0" w:line="252" w:lineRule="auto"/>
            </w:pPr>
            <w:r>
              <w:rPr>
                <w:sz w:val="18"/>
              </w:rPr>
              <w:t>Inconsistent market totals</w:t>
            </w:r>
          </w:p>
        </w:tc>
        <w:tc>
          <w:tcPr>
            <w:tcW w:type="dxa" w:w="3974"/>
            <w:shd w:val="clear" w:color="auto" w:fill="F2F5F9"/>
          </w:tcPr>
          <w:p>
            <w:pPr>
              <w:spacing w:before="0" w:after="0" w:line="252" w:lineRule="auto"/>
            </w:pPr>
            <w:r>
              <w:rPr>
                <w:sz w:val="18"/>
              </w:rPr>
              <w:t>ERMCO 2023 (6.0 Mm³) used everywhere for ready-mix</w:t>
            </w:r>
          </w:p>
        </w:tc>
        <w:tc>
          <w:tcPr>
            <w:tcW w:type="dxa" w:w="2092"/>
            <w:shd w:val="clear" w:color="auto" w:fill="F2F5F9"/>
          </w:tcPr>
          <w:p>
            <w:pPr>
              <w:spacing w:before="0" w:after="0" w:line="252" w:lineRule="auto"/>
            </w:pPr>
            <w:r>
              <w:rPr>
                <w:sz w:val="18"/>
              </w:rPr>
              <w:t>TAM €2.7bn → €2.5bn</w:t>
            </w:r>
          </w:p>
        </w:tc>
      </w:tr>
      <w:tr>
        <w:trPr>
          <w:cantSplit w:val="true"/>
        </w:trPr>
        <w:tc>
          <w:tcPr>
            <w:tcW w:type="dxa" w:w="648"/>
          </w:tcPr>
          <w:p>
            <w:pPr>
              <w:spacing w:before="0" w:after="0" w:line="252" w:lineRule="auto"/>
            </w:pPr>
            <w:r>
              <w:rPr>
                <w:sz w:val="18"/>
              </w:rPr>
              <w:t>M10</w:t>
            </w:r>
          </w:p>
        </w:tc>
        <w:tc>
          <w:tcPr>
            <w:tcW w:type="dxa" w:w="2923"/>
          </w:tcPr>
          <w:p>
            <w:pPr>
              <w:spacing w:before="0" w:after="0" w:line="252" w:lineRule="auto"/>
            </w:pPr>
            <w:r>
              <w:rPr>
                <w:sz w:val="18"/>
              </w:rPr>
              <w:t>Recommendation framed too positively</w:t>
            </w:r>
          </w:p>
        </w:tc>
        <w:tc>
          <w:tcPr>
            <w:tcW w:type="dxa" w:w="3974"/>
          </w:tcPr>
          <w:p>
            <w:pPr>
              <w:spacing w:before="0" w:after="0" w:line="252" w:lineRule="auto"/>
            </w:pPr>
            <w:r>
              <w:rPr>
                <w:sz w:val="18"/>
              </w:rPr>
              <w:t>"No route is investable; at most a €50–100k diligence phase"</w:t>
            </w:r>
          </w:p>
        </w:tc>
        <w:tc>
          <w:tcPr>
            <w:tcW w:type="dxa" w:w="2092"/>
          </w:tcPr>
          <w:p>
            <w:pPr>
              <w:spacing w:before="0" w:after="0" w:line="252" w:lineRule="auto"/>
            </w:pPr>
            <w:r>
              <w:rPr>
                <w:sz w:val="18"/>
              </w:rPr>
              <w:t>Recommendation in this report</w:t>
            </w:r>
          </w:p>
        </w:tc>
      </w:tr>
      <w:tr>
        <w:trPr>
          <w:cantSplit w:val="true"/>
        </w:trPr>
        <w:tc>
          <w:tcPr>
            <w:tcW w:type="dxa" w:w="648"/>
            <w:shd w:val="clear" w:color="auto" w:fill="F2F5F9"/>
          </w:tcPr>
          <w:p>
            <w:pPr>
              <w:spacing w:before="0" w:after="0" w:line="252" w:lineRule="auto"/>
            </w:pPr>
            <w:r>
              <w:rPr>
                <w:sz w:val="18"/>
              </w:rPr>
              <w:t>L1–L9</w:t>
            </w:r>
          </w:p>
        </w:tc>
        <w:tc>
          <w:tcPr>
            <w:tcW w:type="dxa" w:w="2923"/>
            <w:shd w:val="clear" w:color="auto" w:fill="F2F5F9"/>
          </w:tcPr>
          <w:p>
            <w:pPr>
              <w:spacing w:before="0" w:after="0" w:line="252" w:lineRule="auto"/>
            </w:pPr>
            <w:r>
              <w:rPr>
                <w:sz w:val="18"/>
              </w:rPr>
              <w:t>Conservative choices, labels, chart decimals, unverified anchors</w:t>
            </w:r>
          </w:p>
        </w:tc>
        <w:tc>
          <w:tcPr>
            <w:tcW w:type="dxa" w:w="3974"/>
            <w:shd w:val="clear" w:color="auto" w:fill="F2F5F9"/>
          </w:tcPr>
          <w:p>
            <w:pPr>
              <w:spacing w:before="0" w:after="0" w:line="252" w:lineRule="auto"/>
            </w:pPr>
            <w:r>
              <w:rPr>
                <w:sz w:val="18"/>
              </w:rPr>
              <w:t>Disclosed or corrected</w:t>
            </w:r>
          </w:p>
        </w:tc>
        <w:tc>
          <w:tcPr>
            <w:tcW w:type="dxa" w:w="2092"/>
            <w:shd w:val="clear" w:color="auto" w:fill="F2F5F9"/>
          </w:tcPr>
          <w:p>
            <w:pPr>
              <w:spacing w:before="0" w:after="0" w:line="252" w:lineRule="auto"/>
            </w:pPr>
            <w:r>
              <w:rPr>
                <w:sz w:val="18"/>
              </w:rPr>
              <w:t>Undoing all conservative choices: −€3.42M</w:t>
            </w:r>
          </w:p>
        </w:tc>
      </w:tr>
    </w:tbl>
    <w:p>
      <w:pPr>
        <w:spacing w:before="0" w:after="40" w:line="240" w:lineRule="auto"/>
      </w:pPr>
    </w:p>
    <w:p>
      <w:r>
        <w:t>[review/critique.md; review/response.md].</w:t>
      </w:r>
    </w:p>
    <w:p>
      <w:pPr>
        <w:pStyle w:val="Heading2"/>
      </w:pPr>
      <w:r>
        <w:t>C.3 Notes on numbers in the research files</w:t>
      </w:r>
    </w:p>
    <w:p>
      <w:r>
        <w:t>The numbers in this report come from the model after the review (</w:t>
      </w:r>
      <w:r>
        <w:rPr>
          <w:rFonts w:ascii="Consolas" w:hAnsi="Consolas" w:eastAsia="Consolas"/>
          <w:color w:val="6B6B6B"/>
          <w:sz w:val="18"/>
        </w:rPr>
        <w:t>model/results.json</w:t>
      </w:r>
      <w:r>
        <w:t xml:space="preserve">, </w:t>
      </w:r>
      <w:r>
        <w:rPr>
          <w:rFonts w:ascii="Consolas" w:hAnsi="Consolas" w:eastAsia="Consolas"/>
          <w:color w:val="6B6B6B"/>
          <w:sz w:val="18"/>
        </w:rPr>
        <w:t>model/results_options.json</w:t>
      </w:r>
      <w:r>
        <w:t xml:space="preserve">, </w:t>
      </w:r>
      <w:r>
        <w:rPr>
          <w:rFonts w:ascii="Consolas" w:hAnsi="Consolas" w:eastAsia="Consolas"/>
          <w:color w:val="6B6B6B"/>
          <w:sz w:val="18"/>
        </w:rPr>
        <w:t>model/model_summary.md</w:t>
      </w:r>
      <w:r>
        <w:t>). Some research files still show pre-review numbers. They are marked there, and they do not change the verdict:</w:t>
      </w:r>
    </w:p>
    <w:p>
      <w:pPr>
        <w:pStyle w:val="ListBullet"/>
      </w:pPr>
      <w:r>
        <w:rPr>
          <w:rFonts w:ascii="Consolas" w:hAnsi="Consolas" w:eastAsia="Consolas"/>
          <w:color w:val="6B6B6B"/>
          <w:sz w:val="18"/>
        </w:rPr>
        <w:t>price_breakdown.md</w:t>
      </w:r>
      <w:r>
        <w:t xml:space="preserve"> §0, §9–§10 and §13 use the 2026 basis (10 m³ loads, 3% premium, gate fee €5/t). This report uses 2030 model values (EBITDA €4.6/m³) and the revised gate fee (€1/t).</w:t>
      </w:r>
    </w:p>
    <w:p>
      <w:pPr>
        <w:pStyle w:val="ListBullet"/>
      </w:pPr>
      <w:r>
        <w:rPr>
          <w:rFonts w:ascii="Consolas" w:hAnsi="Consolas" w:eastAsia="Consolas"/>
          <w:color w:val="6B6B6B"/>
          <w:sz w:val="18"/>
        </w:rPr>
        <w:t>viability_gate.md</w:t>
      </w:r>
      <w:r>
        <w:t xml:space="preserve"> shows the original gate (−€4.48M) in its first part; the re-run is at the end of that file.</w:t>
      </w:r>
    </w:p>
    <w:p>
      <w:pPr>
        <w:pStyle w:val="ListBullet"/>
      </w:pPr>
      <w:r>
        <w:rPr>
          <w:rFonts w:ascii="Consolas" w:hAnsi="Consolas" w:eastAsia="Consolas"/>
          <w:color w:val="6B6B6B"/>
          <w:sz w:val="18"/>
        </w:rPr>
        <w:t>technology.md</w:t>
      </w:r>
      <w:r>
        <w:t xml:space="preserve"> gives delivery at €19/m³ (10 m³ load); the model uses €21.1/m³ (9 m³ load).</w:t>
      </w:r>
    </w:p>
    <w:p>
      <w:pPr>
        <w:pStyle w:val="ListBullet"/>
      </w:pPr>
      <w:r>
        <w:t>The critique's figure "−€2.7M after undoing conservative choices" refers to the original base; on the new base it is −€3.42M.</w:t>
      </w:r>
    </w:p>
    <w:p>
      <w:pPr>
        <w:pStyle w:val="Heading2"/>
      </w:pPr>
      <w:r>
        <w:t>C.4 Known limits</w:t>
      </w:r>
    </w:p>
    <w:p>
      <w:pPr>
        <w:pStyle w:val="ListBullet"/>
      </w:pPr>
      <w:r>
        <w:t>Public sources only. Many real prices (gate fees, project prices, plant transaction prices) are not published. We used ranges and labelled them.</w:t>
      </w:r>
    </w:p>
    <w:p>
      <w:pPr>
        <w:pStyle w:val="ListBullet"/>
      </w:pPr>
      <w:r>
        <w:t>No expert interviews. Section 11.3 lists the interviews that would reduce the uncertainty most.</w:t>
      </w:r>
    </w:p>
    <w:p>
      <w:pPr>
        <w:pStyle w:val="ListBullet"/>
      </w:pPr>
      <w:r>
        <w:t>Capex is not based on a vendor quote.</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Page </w:t>
    </w:r>
    <w:r>
      <w:rPr>
        <w:color w:val="6B6B6B"/>
        <w:sz w:val="16"/>
      </w:rPr>
      <w:fldChar w:fldCharType="begin"/>
    </w:r>
    <w:r>
      <w:rPr>
        <w:color w:val="6B6B6B"/>
        <w:sz w:val="16"/>
      </w:rPr>
      <w:instrText xml:space="preserve">PAGE</w:instrText>
    </w:r>
    <w:r>
      <w:rPr>
        <w:color w:val="6B6B6B"/>
        <w:sz w:val="16"/>
      </w:rPr>
      <w:fldChar w:fldCharType="separate"/>
    </w:r>
    <w:r>
      <w:rPr>
        <w:color w:val="6B6B6B"/>
        <w:sz w:val="16"/>
      </w:rPr>
      <w:t>1</w:t>
    </w:r>
    <w:r>
      <w:rPr>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6B6B"/>
        <w:sz w:val="16"/>
      </w:rPr>
      <w:t>Circular concrete NL — business plan and viability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76"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Concrete in the Netherlands — Business Plan and Viability Assessment</dc:title>
  <dc:subject>Circular ready-mix concrete business case, verdict NOT VIABLE</dc:subject>
  <dc:creator>Business case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