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44"/>
          <w:szCs w:val="44"/>
        </w:rPr>
        <w:t xml:space="preserve">Ethics Audit &amp; Stakeholder Map</w:t>
      </w:r>
    </w:p>
    <w:p>
      <w:pPr>
        <w:spacing w:after="60"/>
      </w:pPr>
      <w:r>
        <w:rPr>
          <w:rFonts w:ascii="Arial" w:cs="Arial" w:eastAsia="Arial" w:hAnsi="Arial"/>
          <w:i/>
          <w:iCs/>
          <w:color w:val="2E5090"/>
          <w:sz w:val="26"/>
          <w:szCs w:val="26"/>
        </w:rPr>
        <w:t xml:space="preserve">Premia — AI-Assisted Analyst Workbench for Institutional Asset Management</w:t>
      </w:r>
    </w:p>
    <w:p>
      <w:pPr>
        <w:spacing w:after="280"/>
      </w:pPr>
      <w:r>
        <w:rPr>
          <w:rFonts w:ascii="Arial" w:cs="Arial" w:eastAsia="Arial" w:hAnsi="Arial"/>
          <w:color w:val="888888"/>
          <w:sz w:val="20"/>
          <w:szCs w:val="20"/>
        </w:rPr>
        <w:t xml:space="preserve">Module 1 — AI Fundamentals &amp; Orientation</w:t>
      </w:r>
    </w:p>
    <w:p>
      <w:pPr>
        <w:pBdr>
          <w:bottom w:val="single" w:color="CCCCCC" w:sz="4"/>
        </w:pBdr>
        <w:spacing w:after="80" w:before="80"/>
      </w:pPr>
    </w:p>
    <w:p>
      <w:pPr>
        <w:spacing w:after="100"/>
      </w:pPr>
    </w:p>
    <w:p>
      <w:pPr>
        <w:spacing w:after="120"/>
      </w:pPr>
      <w:r>
        <w:rPr>
          <w:rFonts w:ascii="Arial" w:cs="Arial" w:eastAsia="Arial" w:hAnsi="Arial"/>
          <w:sz w:val="22"/>
          <w:szCs w:val="22"/>
        </w:rPr>
        <w:t xml:space="preserve">Premia is an AI-assisted analyst workbench for institutional asset managers. Its agents process earnings call transcripts, classify investment thesis status, flag challenge conditions, score management credibility, and draft recommendations to portfolio managers. Because its outputs influence decisions about real capital held in client accounts, the ethics and stakeholder considerations are more consequential than in a typical enterprise software product.</w:t>
      </w:r>
    </w:p>
    <w:p>
      <w:pPr>
        <w:spacing w:after="100"/>
      </w:pPr>
    </w:p>
    <w:p>
      <w:pPr>
        <w:pStyle w:val="Heading1"/>
        <w:spacing w:after="100" w:before="320"/>
      </w:pPr>
      <w:r>
        <w:rPr>
          <w:rFonts w:ascii="Arial" w:cs="Arial" w:eastAsia="Arial" w:hAnsi="Arial"/>
          <w:b/>
          <w:bCs/>
          <w:color w:val="1F3864"/>
          <w:sz w:val="28"/>
          <w:szCs w:val="28"/>
        </w:rPr>
        <w:t xml:space="preserve">Part 1 — Ethics Audit</w:t>
      </w:r>
    </w:p>
    <w:p>
      <w:pPr>
        <w:pStyle w:val="Heading2"/>
        <w:spacing w:after="80" w:before="220"/>
      </w:pPr>
      <w:r>
        <w:rPr>
          <w:rFonts w:ascii="Arial" w:cs="Arial" w:eastAsia="Arial" w:hAnsi="Arial"/>
          <w:b/>
          <w:bCs/>
          <w:color w:val="2E5090"/>
          <w:sz w:val="24"/>
          <w:szCs w:val="24"/>
        </w:rPr>
        <w:t xml:space="preserve">1. Data Check</w:t>
      </w:r>
    </w:p>
    <w:p>
      <w:pPr>
        <w:spacing w:after="120"/>
      </w:pPr>
      <w:r>
        <w:rPr>
          <w:rFonts w:ascii="Arial" w:cs="Arial" w:eastAsia="Arial" w:hAnsi="Arial"/>
          <w:sz w:val="22"/>
          <w:szCs w:val="22"/>
        </w:rPr>
        <w:t xml:space="preserve">Premia uses earnings call transcripts, prior analyst research notes, KPI registries, engagement logs, model assumptions, consensus estimates from FactSet and MSCI, and historical thesis classification decisions — sourced primarily from the firm's proprietary data store.</w:t>
      </w:r>
    </w:p>
    <w:p>
      <w:pPr>
        <w:spacing w:after="100"/>
      </w:pPr>
    </w:p>
    <w:p>
      <w:pPr>
        <w:spacing w:after="120"/>
      </w:pPr>
      <w:r>
        <w:rPr>
          <w:rFonts w:ascii="Arial" w:cs="Arial" w:eastAsia="Arial" w:hAnsi="Arial"/>
          <w:sz w:val="22"/>
          <w:szCs w:val="22"/>
        </w:rPr>
        <w:t xml:space="preserve">Bias risk one: the institutional memory RAG layer learns from notes written predominantly by senior analysts. Junior contributions are underrepresented, meaning the system's pattern recognition implicitly privileges established perspectives over fresh analysis. A junior analyst whose thesis contradicts the firm's prior view will see less supporting evidence surfaced.</w:t>
      </w:r>
    </w:p>
    <w:p>
      <w:pPr>
        <w:spacing w:after="100"/>
      </w:pPr>
    </w:p>
    <w:p>
      <w:pPr>
        <w:spacing w:after="120"/>
      </w:pPr>
      <w:r>
        <w:rPr>
          <w:rFonts w:ascii="Arial" w:cs="Arial" w:eastAsia="Arial" w:hAnsi="Arial"/>
          <w:sz w:val="22"/>
          <w:szCs w:val="22"/>
        </w:rPr>
        <w:t xml:space="preserve">Bias risk two: if historical thesis classifications skew toward Maintain — the path of least resistance for analysts reluctant to admit a mistake — Premia's credibility scoring and challenge flag calibration will replicate that conservatism. The system learns from what analysts did, not from what they should have done.</w:t>
      </w:r>
    </w:p>
    <w:p>
      <w:pPr>
        <w:spacing w:after="100"/>
      </w:pPr>
    </w:p>
    <w:p>
      <w:pPr>
        <w:pBdr>
          <w:left w:val="single" w:color="2E5090" w:sz="12"/>
        </w:pBdr>
        <w:shd w:fill="EEF2F8"/>
        <w:spacing w:after="160"/>
        <w:ind w:left="360"/>
      </w:pPr>
      <w:r>
        <w:rPr>
          <w:rFonts w:ascii="Arial" w:cs="Arial" w:eastAsia="Arial" w:hAnsi="Arial"/>
          <w:b/>
          <w:bCs/>
          <w:color w:val="2E5090"/>
          <w:sz w:val="22"/>
          <w:szCs w:val="22"/>
        </w:rPr>
        <w:t xml:space="preserve">Action as builder: </w:t>
      </w:r>
      <w:r>
        <w:rPr>
          <w:rFonts w:ascii="Arial" w:cs="Arial" w:eastAsia="Arial" w:hAnsi="Arial"/>
          <w:sz w:val="22"/>
          <w:szCs w:val="22"/>
        </w:rPr>
        <w:t xml:space="preserve">Audit the historical thesis classification data before deployment. Measure the distribution of Maintain / Modify / Close by sector and market regime. If Maintain is disproportionately frequent in periods when positions subsequently underperformed, the training signal encodes the wrong behavior. Build a post-mortem tracker that measures whether AI-suggested classifications correlated with realized returns and flag systematic divergence quarterly.</w:t>
      </w:r>
    </w:p>
    <w:p>
      <w:pPr>
        <w:spacing w:after="100"/>
      </w:pPr>
    </w:p>
    <w:p>
      <w:pPr>
        <w:pStyle w:val="Heading2"/>
        <w:spacing w:after="80" w:before="220"/>
      </w:pPr>
      <w:r>
        <w:rPr>
          <w:rFonts w:ascii="Arial" w:cs="Arial" w:eastAsia="Arial" w:hAnsi="Arial"/>
          <w:b/>
          <w:bCs/>
          <w:color w:val="2E5090"/>
          <w:sz w:val="24"/>
          <w:szCs w:val="24"/>
        </w:rPr>
        <w:t xml:space="preserve">2. Impact Check</w:t>
      </w:r>
    </w:p>
    <w:p>
      <w:pPr>
        <w:spacing w:after="120"/>
      </w:pPr>
      <w:r>
        <w:rPr>
          <w:rFonts w:ascii="Arial" w:cs="Arial" w:eastAsia="Arial" w:hAnsi="Arial"/>
          <w:sz w:val="22"/>
          <w:szCs w:val="22"/>
        </w:rPr>
        <w:t xml:space="preserve">Analysts are the primary affected group — Premia creates accountability pressure that did not previously exist. It tracks miss rates, flags unanswered challenge conditions, and maintains a permanent accuracy record. This asymmetric accountability affects analysts differently by sector: a semiconductor analyst in a cyclical downturn will show a higher miss rate than a utilities analyst in the same period, not because of worse work but because of sector volatility. Raw miss rates without normalization punish analysts for their coverage assignment, not their analytical quality.</w:t>
      </w:r>
    </w:p>
    <w:p>
      <w:pPr>
        <w:spacing w:after="100"/>
      </w:pPr>
    </w:p>
    <w:p>
      <w:pPr>
        <w:spacing w:after="120"/>
      </w:pPr>
      <w:r>
        <w:rPr>
          <w:rFonts w:ascii="Arial" w:cs="Arial" w:eastAsia="Arial" w:hAnsi="Arial"/>
          <w:sz w:val="22"/>
          <w:szCs w:val="22"/>
        </w:rPr>
        <w:t xml:space="preserve">Junior analysts and associates face additional exposure: if the gaming detection logic — the 3:30pm timestamp rule, consecutive miss tracker — is surfaced to managers without developmental context, it could be used punitively rather than as a coaching tool.</w:t>
      </w:r>
    </w:p>
    <w:p>
      <w:pPr>
        <w:spacing w:after="100"/>
      </w:pPr>
    </w:p>
    <w:p>
      <w:pPr>
        <w:pBdr>
          <w:left w:val="single" w:color="2E5090" w:sz="12"/>
        </w:pBdr>
        <w:shd w:fill="EEF2F8"/>
        <w:spacing w:after="160"/>
        <w:ind w:left="360"/>
      </w:pPr>
      <w:r>
        <w:rPr>
          <w:rFonts w:ascii="Arial" w:cs="Arial" w:eastAsia="Arial" w:hAnsi="Arial"/>
          <w:b/>
          <w:bCs/>
          <w:color w:val="2E5090"/>
          <w:sz w:val="22"/>
          <w:szCs w:val="22"/>
        </w:rPr>
        <w:t xml:space="preserve">Action as builder: </w:t>
      </w:r>
      <w:r>
        <w:rPr>
          <w:rFonts w:ascii="Arial" w:cs="Arial" w:eastAsia="Arial" w:hAnsi="Arial"/>
          <w:sz w:val="22"/>
          <w:szCs w:val="22"/>
        </w:rPr>
        <w:t xml:space="preserve">Normalize accuracy metrics by sector and market regime before displaying them in any management-visible dashboard. A semiconductor analyst's miss rate must be benchmarked against peer semiconductor analysts in the same period, not the firm average. Document the normalization methodology in the Coverage Policy Statement and make it visible to the affected analysts.</w:t>
      </w:r>
    </w:p>
    <w:p>
      <w:pPr>
        <w:spacing w:after="100"/>
      </w:pPr>
    </w:p>
    <w:p>
      <w:pPr>
        <w:pStyle w:val="Heading2"/>
        <w:spacing w:after="80" w:before="220"/>
      </w:pPr>
      <w:r>
        <w:rPr>
          <w:rFonts w:ascii="Arial" w:cs="Arial" w:eastAsia="Arial" w:hAnsi="Arial"/>
          <w:b/>
          <w:bCs/>
          <w:color w:val="2E5090"/>
          <w:sz w:val="24"/>
          <w:szCs w:val="24"/>
        </w:rPr>
        <w:t xml:space="preserve">3. Transparency Check</w:t>
      </w:r>
    </w:p>
    <w:p>
      <w:pPr>
        <w:spacing w:after="120"/>
      </w:pPr>
      <w:r>
        <w:rPr>
          <w:rFonts w:ascii="Arial" w:cs="Arial" w:eastAsia="Arial" w:hAnsi="Arial"/>
          <w:sz w:val="22"/>
          <w:szCs w:val="22"/>
        </w:rPr>
        <w:t xml:space="preserve">Portfolio managers receiving AI-drafted PM memos need to know the AI's role in producing them. If a PM believes a memo represents unassisted analyst judgment when it is substantially AI-drafted — even if analyst-reviewed — the PM is making decisions on a misrepresentation of provenance.</w:t>
      </w:r>
    </w:p>
    <w:p>
      <w:pPr>
        <w:spacing w:after="100"/>
      </w:pPr>
    </w:p>
    <w:p>
      <w:pPr>
        <w:spacing w:after="120"/>
      </w:pPr>
      <w:r>
        <w:rPr>
          <w:rFonts w:ascii="Arial" w:cs="Arial" w:eastAsia="Arial" w:hAnsi="Arial"/>
          <w:sz w:val="22"/>
          <w:szCs w:val="22"/>
        </w:rPr>
        <w:t xml:space="preserve">A second transparency gap: the management credibility scoring model assigns a composite score that feeds conditional model revision logic. If the score is wrong — penalizing cautious language rather than genuine evasiveness — downstream revision proposals will be biased. The PM has no visibility into this chain unless it is surfaced explicitly.</w:t>
      </w:r>
    </w:p>
    <w:p>
      <w:pPr>
        <w:spacing w:after="100"/>
      </w:pPr>
    </w:p>
    <w:p>
      <w:pPr>
        <w:pBdr>
          <w:left w:val="single" w:color="2E5090" w:sz="12"/>
        </w:pBdr>
        <w:shd w:fill="EEF2F8"/>
        <w:spacing w:after="160"/>
        <w:ind w:left="360"/>
      </w:pPr>
      <w:r>
        <w:rPr>
          <w:rFonts w:ascii="Arial" w:cs="Arial" w:eastAsia="Arial" w:hAnsi="Arial"/>
          <w:b/>
          <w:bCs/>
          <w:color w:val="2E5090"/>
          <w:sz w:val="22"/>
          <w:szCs w:val="22"/>
        </w:rPr>
        <w:t xml:space="preserve">Action as builder: </w:t>
      </w:r>
      <w:r>
        <w:rPr>
          <w:rFonts w:ascii="Arial" w:cs="Arial" w:eastAsia="Arial" w:hAnsi="Arial"/>
          <w:sz w:val="22"/>
          <w:szCs w:val="22"/>
        </w:rPr>
        <w:t xml:space="preserve">Every AI-generated output in the decision registry carries a provenance tag: model used, source transcript, timestamp, confidence level, and whether the analyst confirmed, modified, or overrode the AI suggestion. The PM memo template includes a standard disclosure line. The credibility score and its component inputs are visible to the analyst before any model revision proposal is generated.</w:t>
      </w:r>
    </w:p>
    <w:p>
      <w:pPr>
        <w:spacing w:after="100"/>
      </w:pPr>
    </w:p>
    <w:p>
      <w:pPr>
        <w:pStyle w:val="Heading2"/>
        <w:spacing w:after="80" w:before="220"/>
      </w:pPr>
      <w:r>
        <w:rPr>
          <w:rFonts w:ascii="Arial" w:cs="Arial" w:eastAsia="Arial" w:hAnsi="Arial"/>
          <w:b/>
          <w:bCs/>
          <w:color w:val="2E5090"/>
          <w:sz w:val="24"/>
          <w:szCs w:val="24"/>
        </w:rPr>
        <w:t xml:space="preserve">4. Proportionality Check</w:t>
      </w:r>
    </w:p>
    <w:p>
      <w:pPr>
        <w:spacing w:after="120"/>
      </w:pPr>
      <w:r>
        <w:rPr>
          <w:rFonts w:ascii="Arial" w:cs="Arial" w:eastAsia="Arial" w:hAnsi="Arial"/>
          <w:sz w:val="22"/>
          <w:szCs w:val="22"/>
        </w:rPr>
        <w:t xml:space="preserve">AI is appropriate for pattern-recognition tasks on structured text: extracting KPI results, detecting guidance changes, identifying tone shifts, surfacing Q&amp;A evasion patterns, drafting structured memo sections from confirmed inputs. These are faster and more consistent than manual extraction during a live earnings event.</w:t>
      </w:r>
    </w:p>
    <w:p>
      <w:pPr>
        <w:spacing w:after="100"/>
      </w:pPr>
    </w:p>
    <w:p>
      <w:pPr>
        <w:spacing w:after="120"/>
      </w:pPr>
      <w:r>
        <w:rPr>
          <w:rFonts w:ascii="Arial" w:cs="Arial" w:eastAsia="Arial" w:hAnsi="Arial"/>
          <w:sz w:val="22"/>
          <w:szCs w:val="22"/>
        </w:rPr>
        <w:t xml:space="preserve">AI is not appropriate for the recoverable miss judgment node. Whether a load-bearing KPI miss is recoverable depends on competitive dynamics, management track record, and supply chain visibility that no general-purpose model can assess reliably from a single transcript. This node must remain human-owned — the system raises the question, the analyst answers it.</w:t>
      </w:r>
    </w:p>
    <w:p>
      <w:pPr>
        <w:spacing w:after="100"/>
      </w:pPr>
    </w:p>
    <w:p>
      <w:pPr>
        <w:pBdr>
          <w:left w:val="single" w:color="2E5090" w:sz="12"/>
        </w:pBdr>
        <w:shd w:fill="EEF2F8"/>
        <w:spacing w:after="160"/>
        <w:ind w:left="360"/>
      </w:pPr>
      <w:r>
        <w:rPr>
          <w:rFonts w:ascii="Arial" w:cs="Arial" w:eastAsia="Arial" w:hAnsi="Arial"/>
          <w:b/>
          <w:bCs/>
          <w:color w:val="2E5090"/>
          <w:sz w:val="22"/>
          <w:szCs w:val="22"/>
        </w:rPr>
        <w:t xml:space="preserve">Action as builder: </w:t>
      </w:r>
      <w:r>
        <w:rPr>
          <w:rFonts w:ascii="Arial" w:cs="Arial" w:eastAsia="Arial" w:hAnsi="Arial"/>
          <w:sz w:val="22"/>
          <w:szCs w:val="22"/>
        </w:rPr>
        <w:t xml:space="preserve">Document all human handoff points in the Coverage Policy Statement and surface them explicitly in the UI. When the system reaches a node requiring analyst judgment, the interface displays: 'This classification requires your judgment. The system has surfaced the available evidence. The decision is yours.' This prevents automation surprise — analysts deferring to AI outputs because they look authoritative.</w:t>
      </w:r>
    </w:p>
    <w:p>
      <w:pPr>
        <w:spacing w:after="100"/>
      </w:pPr>
    </w:p>
    <w:p>
      <w:pPr>
        <w:pBdr>
          <w:bottom w:val="single" w:color="CCCCCC" w:sz="4"/>
        </w:pBdr>
        <w:spacing w:after="80" w:before="80"/>
      </w:pPr>
    </w:p>
    <w:p>
      <w:pPr>
        <w:pStyle w:val="Heading1"/>
        <w:spacing w:after="100" w:before="320"/>
      </w:pPr>
      <w:r>
        <w:rPr>
          <w:rFonts w:ascii="Arial" w:cs="Arial" w:eastAsia="Arial" w:hAnsi="Arial"/>
          <w:b/>
          <w:bCs/>
          <w:color w:val="1F3864"/>
          <w:sz w:val="28"/>
          <w:szCs w:val="28"/>
        </w:rPr>
        <w:t xml:space="preserve">Part 2 — Stakeholder Map</w:t>
      </w:r>
    </w:p>
    <w:p>
      <w:pPr>
        <w:spacing w:after="120"/>
      </w:pPr>
      <w:r>
        <w:rPr>
          <w:rFonts w:ascii="Arial" w:cs="Arial" w:eastAsia="Arial" w:hAnsi="Arial"/>
          <w:sz w:val="22"/>
          <w:szCs w:val="22"/>
        </w:rPr>
        <w:t xml:space="preserve">Every person or group affected by Premia — directly or indirectly — is listed below. The table identifies what each stakeholder needs from the system, what could go wrong for them specifically, and how the design protects their interests. Empathy in system design means seeing the product through every set of eyes, not just the primary user's.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300"/>
        <w:gridCol w:w="2300"/>
        <w:gridCol w:w="3160"/>
      </w:tblGrid>
      <w:tr>
        <w:trPr>
          <w:tblHeader/>
        </w:trPr>
        <w:tc>
          <w:tcPr>
            <w:tcW w:type="dxa" w:w="1600"/>
            <w:shd w:fill="1F3864" w:val="solid"/>
            <w:vAlign w:val="center"/>
          </w:tcPr>
          <w:p>
            <w:pPr>
              <w:jc w:val="center"/>
            </w:pPr>
            <w:r>
              <w:rPr>
                <w:rFonts w:ascii="Arial" w:cs="Arial" w:eastAsia="Arial" w:hAnsi="Arial"/>
                <w:b/>
                <w:bCs/>
                <w:color w:val="FFFFFF"/>
                <w:sz w:val="20"/>
                <w:szCs w:val="20"/>
              </w:rPr>
              <w:t xml:space="preserve">Stakeholder</w:t>
            </w:r>
          </w:p>
        </w:tc>
        <w:tc>
          <w:tcPr>
            <w:tcW w:type="dxa" w:w="2300"/>
            <w:shd w:fill="1F3864" w:val="solid"/>
            <w:vAlign w:val="center"/>
          </w:tcPr>
          <w:p>
            <w:pPr>
              <w:jc w:val="center"/>
            </w:pPr>
            <w:r>
              <w:rPr>
                <w:rFonts w:ascii="Arial" w:cs="Arial" w:eastAsia="Arial" w:hAnsi="Arial"/>
                <w:b/>
                <w:bCs/>
                <w:color w:val="FFFFFF"/>
                <w:sz w:val="20"/>
                <w:szCs w:val="20"/>
              </w:rPr>
              <w:t xml:space="preserve">What they need</w:t>
            </w:r>
          </w:p>
        </w:tc>
        <w:tc>
          <w:tcPr>
            <w:tcW w:type="dxa" w:w="2300"/>
            <w:shd w:fill="1F3864" w:val="solid"/>
            <w:vAlign w:val="center"/>
          </w:tcPr>
          <w:p>
            <w:pPr>
              <w:jc w:val="center"/>
            </w:pPr>
            <w:r>
              <w:rPr>
                <w:rFonts w:ascii="Arial" w:cs="Arial" w:eastAsia="Arial" w:hAnsi="Arial"/>
                <w:b/>
                <w:bCs/>
                <w:color w:val="FFFFFF"/>
                <w:sz w:val="20"/>
                <w:szCs w:val="20"/>
              </w:rPr>
              <w:t xml:space="preserve">What could go wrong</w:t>
            </w:r>
          </w:p>
        </w:tc>
        <w:tc>
          <w:tcPr>
            <w:tcW w:type="dxa" w:w="3160"/>
            <w:shd w:fill="1F3864" w:val="solid"/>
            <w:vAlign w:val="center"/>
          </w:tcPr>
          <w:p>
            <w:pPr>
              <w:jc w:val="center"/>
            </w:pPr>
            <w:r>
              <w:rPr>
                <w:rFonts w:ascii="Arial" w:cs="Arial" w:eastAsia="Arial" w:hAnsi="Arial"/>
                <w:b/>
                <w:bCs/>
                <w:color w:val="FFFFFF"/>
                <w:sz w:val="20"/>
                <w:szCs w:val="20"/>
              </w:rPr>
              <w:t xml:space="preserve">How the design protects them</w:t>
            </w:r>
          </w:p>
        </w:tc>
      </w:tr>
      <w:tr>
        <w:tc>
          <w:tcPr>
            <w:tcW w:type="dxa" w:w="1600"/>
            <w:shd w:fill="E8F0FB" w:val="solid"/>
            <w:vAlign w:val="center"/>
          </w:tcPr>
          <w:p>
            <w:pPr>
              <w:jc w:val="center"/>
            </w:pPr>
            <w:r>
              <w:rPr>
                <w:rFonts w:ascii="Arial" w:cs="Arial" w:eastAsia="Arial" w:hAnsi="Arial"/>
                <w:b/>
                <w:bCs/>
                <w:color w:val="1F3864"/>
                <w:sz w:val="20"/>
                <w:szCs w:val="20"/>
              </w:rPr>
              <w:t xml:space="preserve">Equity analyst
(primary user)</w:t>
            </w:r>
          </w:p>
        </w:tc>
        <w:tc>
          <w:tcPr>
            <w:tcW w:type="dxa" w:w="2300"/>
            <w:shd w:fill="F9FAFB" w:val="solid"/>
            <w:vAlign w:val="top"/>
          </w:tcPr>
          <w:p>
            <w:pPr>
              <w:spacing w:after="60"/>
            </w:pPr>
            <w:r>
              <w:rPr>
                <w:rFonts w:ascii="Arial" w:cs="Arial" w:eastAsia="Arial" w:hAnsi="Arial"/>
                <w:b w:val="false"/>
                <w:bCs w:val="false"/>
                <w:sz w:val="19"/>
                <w:szCs w:val="19"/>
              </w:rPr>
              <w:t xml:space="preserve">Accurate pre-call prep brief. Reliable KPI extraction. A system that augments judgment without replacing it. Accountability tracking that is fair and normalised.</w:t>
            </w:r>
          </w:p>
        </w:tc>
        <w:tc>
          <w:tcPr>
            <w:tcW w:type="dxa" w:w="2300"/>
            <w:shd w:fill="FFF8F8" w:val="solid"/>
            <w:vAlign w:val="top"/>
          </w:tcPr>
          <w:p>
            <w:pPr>
              <w:spacing w:after="60"/>
            </w:pPr>
            <w:r>
              <w:rPr>
                <w:rFonts w:ascii="Arial" w:cs="Arial" w:eastAsia="Arial" w:hAnsi="Arial"/>
                <w:b w:val="false"/>
                <w:bCs w:val="false"/>
                <w:sz w:val="19"/>
                <w:szCs w:val="19"/>
              </w:rPr>
              <w:t xml:space="preserve">Miss rate displayed without sector normalisation, penalising assignment not quality. AI classification overridden by habit without analyst review. Gaming detection used punitively. Stale model flagged but analyst blamed for AI input error.</w:t>
            </w:r>
          </w:p>
        </w:tc>
        <w:tc>
          <w:tcPr>
            <w:tcW w:type="dxa" w:w="3160"/>
            <w:shd w:fill="F4FBF7" w:val="solid"/>
            <w:vAlign w:val="top"/>
          </w:tcPr>
          <w:p>
            <w:pPr>
              <w:spacing w:after="60"/>
            </w:pPr>
            <w:r>
              <w:rPr>
                <w:rFonts w:ascii="Arial" w:cs="Arial" w:eastAsia="Arial" w:hAnsi="Arial"/>
                <w:b w:val="false"/>
                <w:bCs w:val="false"/>
                <w:sz w:val="19"/>
                <w:szCs w:val="19"/>
              </w:rPr>
              <w:t xml:space="preserve">Hard checkpoints require explicit analyst confirmation on every classification. Miss rates normalised by sector and regime. Gaming detection surfaced to analyst before management. Model staleness flag attributed to data pipeline, not analyst failure.</w:t>
            </w:r>
          </w:p>
        </w:tc>
      </w:tr>
      <w:tr>
        <w:tc>
          <w:tcPr>
            <w:tcW w:type="dxa" w:w="1600"/>
            <w:shd w:fill="FFFFFF" w:val="solid"/>
            <w:vAlign w:val="center"/>
          </w:tcPr>
          <w:p>
            <w:pPr>
              <w:jc w:val="center"/>
            </w:pPr>
            <w:r>
              <w:rPr>
                <w:rFonts w:ascii="Arial" w:cs="Arial" w:eastAsia="Arial" w:hAnsi="Arial"/>
                <w:b/>
                <w:bCs/>
                <w:color w:val="1F3864"/>
                <w:sz w:val="20"/>
                <w:szCs w:val="20"/>
              </w:rPr>
              <w:t xml:space="preserve">Portfolio manager</w:t>
            </w:r>
          </w:p>
        </w:tc>
        <w:tc>
          <w:tcPr>
            <w:tcW w:type="dxa" w:w="2300"/>
            <w:shd w:fill="FFFFFF" w:val="solid"/>
            <w:vAlign w:val="top"/>
          </w:tcPr>
          <w:p>
            <w:pPr>
              <w:spacing w:after="60"/>
            </w:pPr>
            <w:r>
              <w:rPr>
                <w:rFonts w:ascii="Arial" w:cs="Arial" w:eastAsia="Arial" w:hAnsi="Arial"/>
                <w:b w:val="false"/>
                <w:bCs w:val="false"/>
                <w:sz w:val="19"/>
                <w:szCs w:val="19"/>
              </w:rPr>
              <w:t xml:space="preserve">Timely, accurate PM memos. Reliable thesis status verdicts. Clear indication of analyst conviction and confidence level. Visibility into challenge flags on owned positions.</w:t>
            </w:r>
          </w:p>
        </w:tc>
        <w:tc>
          <w:tcPr>
            <w:tcW w:type="dxa" w:w="2300"/>
            <w:shd w:fill="FFFFFF" w:val="solid"/>
            <w:vAlign w:val="top"/>
          </w:tcPr>
          <w:p>
            <w:pPr>
              <w:spacing w:after="60"/>
            </w:pPr>
            <w:r>
              <w:rPr>
                <w:rFonts w:ascii="Arial" w:cs="Arial" w:eastAsia="Arial" w:hAnsi="Arial"/>
                <w:b w:val="false"/>
                <w:bCs w:val="false"/>
                <w:sz w:val="19"/>
                <w:szCs w:val="19"/>
              </w:rPr>
              <w:t xml:space="preserve">AI-drafted memo presented as unassisted analyst judgment. Maintain classification on a deteriorating position because AI missed the load-bearing KPI signal. Overconfident AI output with no uncertainty signal.</w:t>
            </w:r>
          </w:p>
        </w:tc>
        <w:tc>
          <w:tcPr>
            <w:tcW w:type="dxa" w:w="3160"/>
            <w:shd w:fill="FFFFFF" w:val="solid"/>
            <w:vAlign w:val="top"/>
          </w:tcPr>
          <w:p>
            <w:pPr>
              <w:spacing w:after="60"/>
            </w:pPr>
            <w:r>
              <w:rPr>
                <w:rFonts w:ascii="Arial" w:cs="Arial" w:eastAsia="Arial" w:hAnsi="Arial"/>
                <w:b w:val="false"/>
                <w:bCs w:val="false"/>
                <w:sz w:val="19"/>
                <w:szCs w:val="19"/>
              </w:rPr>
              <w:t xml:space="preserve">Provenance tag on every AI-generated output. Confidence level and reasoning surfaced in memo. Challenge flag escalation path to PM when analyst does not respond within 5 days. PM memo always reflects analyst's confirmed call, not AI suggestion alone.</w:t>
            </w:r>
          </w:p>
        </w:tc>
      </w:tr>
      <w:tr>
        <w:tc>
          <w:tcPr>
            <w:tcW w:type="dxa" w:w="1600"/>
            <w:shd w:fill="E8F0FB" w:val="solid"/>
            <w:vAlign w:val="center"/>
          </w:tcPr>
          <w:p>
            <w:pPr>
              <w:jc w:val="center"/>
            </w:pPr>
            <w:r>
              <w:rPr>
                <w:rFonts w:ascii="Arial" w:cs="Arial" w:eastAsia="Arial" w:hAnsi="Arial"/>
                <w:b/>
                <w:bCs/>
                <w:color w:val="1F3864"/>
                <w:sz w:val="20"/>
                <w:szCs w:val="20"/>
              </w:rPr>
              <w:t xml:space="preserve">End investor
(fund client)</w:t>
            </w:r>
          </w:p>
        </w:tc>
        <w:tc>
          <w:tcPr>
            <w:tcW w:type="dxa" w:w="2300"/>
            <w:shd w:fill="F9FAFB" w:val="solid"/>
            <w:vAlign w:val="top"/>
          </w:tcPr>
          <w:p>
            <w:pPr>
              <w:spacing w:after="60"/>
            </w:pPr>
            <w:r>
              <w:rPr>
                <w:rFonts w:ascii="Arial" w:cs="Arial" w:eastAsia="Arial" w:hAnsi="Arial"/>
                <w:b w:val="false"/>
                <w:bCs w:val="false"/>
                <w:sz w:val="19"/>
                <w:szCs w:val="19"/>
              </w:rPr>
              <w:t xml:space="preserve">Capital managed with rigorous, consistent analysis. Positions exited when theses are broken. No systematic bias toward holding deteriorating positions.</w:t>
            </w:r>
          </w:p>
        </w:tc>
        <w:tc>
          <w:tcPr>
            <w:tcW w:type="dxa" w:w="2300"/>
            <w:shd w:fill="FFF8F8" w:val="solid"/>
            <w:vAlign w:val="top"/>
          </w:tcPr>
          <w:p>
            <w:pPr>
              <w:spacing w:after="60"/>
            </w:pPr>
            <w:r>
              <w:rPr>
                <w:rFonts w:ascii="Arial" w:cs="Arial" w:eastAsia="Arial" w:hAnsi="Arial"/>
                <w:b w:val="false"/>
                <w:bCs w:val="false"/>
                <w:sz w:val="19"/>
                <w:szCs w:val="19"/>
              </w:rPr>
              <w:t xml:space="preserve">AI Maintain classification on a broken thesis keeps client capital in a declining position. Analyst over-reliance on AI output without domain verification. Systematic bias toward Maintain in training data propagates to client outcomes.</w:t>
            </w:r>
          </w:p>
        </w:tc>
        <w:tc>
          <w:tcPr>
            <w:tcW w:type="dxa" w:w="3160"/>
            <w:shd w:fill="F4FBF7" w:val="solid"/>
            <w:vAlign w:val="top"/>
          </w:tcPr>
          <w:p>
            <w:pPr>
              <w:spacing w:after="60"/>
            </w:pPr>
            <w:r>
              <w:rPr>
                <w:rFonts w:ascii="Arial" w:cs="Arial" w:eastAsia="Arial" w:hAnsi="Arial"/>
                <w:b w:val="false"/>
                <w:bCs w:val="false"/>
                <w:sz w:val="19"/>
                <w:szCs w:val="19"/>
              </w:rPr>
              <w:t xml:space="preserve">Post-mortem tracker correlates AI classifications with realised returns and flags systematic divergence. Thesis close classification triggers mandatory PM review before position exit. Accuracy audit published to firm risk committee quarterly.</w:t>
            </w:r>
          </w:p>
        </w:tc>
      </w:tr>
      <w:tr>
        <w:tc>
          <w:tcPr>
            <w:tcW w:type="dxa" w:w="1600"/>
            <w:shd w:fill="FFFFFF" w:val="solid"/>
            <w:vAlign w:val="center"/>
          </w:tcPr>
          <w:p>
            <w:pPr>
              <w:jc w:val="center"/>
            </w:pPr>
            <w:r>
              <w:rPr>
                <w:rFonts w:ascii="Arial" w:cs="Arial" w:eastAsia="Arial" w:hAnsi="Arial"/>
                <w:b/>
                <w:bCs/>
                <w:color w:val="1F3864"/>
                <w:sz w:val="20"/>
                <w:szCs w:val="20"/>
              </w:rPr>
              <w:t xml:space="preserve">Director of Research
(DoR)</w:t>
            </w:r>
          </w:p>
        </w:tc>
        <w:tc>
          <w:tcPr>
            <w:tcW w:type="dxa" w:w="2300"/>
            <w:shd w:fill="FFFFFF" w:val="solid"/>
            <w:vAlign w:val="top"/>
          </w:tcPr>
          <w:p>
            <w:pPr>
              <w:spacing w:after="60"/>
            </w:pPr>
            <w:r>
              <w:rPr>
                <w:rFonts w:ascii="Arial" w:cs="Arial" w:eastAsia="Arial" w:hAnsi="Arial"/>
                <w:b w:val="false"/>
                <w:bCs w:val="false"/>
                <w:sz w:val="19"/>
                <w:szCs w:val="19"/>
              </w:rPr>
              <w:t xml:space="preserve">Portfolio-level view of analyst accuracy across the coverage universe. Accountability evidence for analyst performance reviews. Confidence that the workbench is enforcing research standards consistently.</w:t>
            </w:r>
          </w:p>
        </w:tc>
        <w:tc>
          <w:tcPr>
            <w:tcW w:type="dxa" w:w="2300"/>
            <w:shd w:fill="FFFFFF" w:val="solid"/>
            <w:vAlign w:val="top"/>
          </w:tcPr>
          <w:p>
            <w:pPr>
              <w:spacing w:after="60"/>
            </w:pPr>
            <w:r>
              <w:rPr>
                <w:rFonts w:ascii="Arial" w:cs="Arial" w:eastAsia="Arial" w:hAnsi="Arial"/>
                <w:b w:val="false"/>
                <w:bCs w:val="false"/>
                <w:sz w:val="19"/>
                <w:szCs w:val="19"/>
              </w:rPr>
              <w:t xml:space="preserve">Accuracy metrics used for performance management without normalisation context. Gaming detection data presented without developmental framing. Variability between analysts caused by workbench inconsistency attributed to analyst skill differences.</w:t>
            </w:r>
          </w:p>
        </w:tc>
        <w:tc>
          <w:tcPr>
            <w:tcW w:type="dxa" w:w="3160"/>
            <w:shd w:fill="FFFFFF" w:val="solid"/>
            <w:vAlign w:val="top"/>
          </w:tcPr>
          <w:p>
            <w:pPr>
              <w:spacing w:after="60"/>
            </w:pPr>
            <w:r>
              <w:rPr>
                <w:rFonts w:ascii="Arial" w:cs="Arial" w:eastAsia="Arial" w:hAnsi="Arial"/>
                <w:b w:val="false"/>
                <w:bCs w:val="false"/>
                <w:sz w:val="19"/>
                <w:szCs w:val="19"/>
              </w:rPr>
              <w:t xml:space="preserve">DoR dashboard shows normalised accuracy metrics with methodology footnote. Gaming detection log is developmental by default, accessible to DoR only with explicit escalation flag. Workbench version and model used are logged so output variability can be attributed to system changes, not only analyst behaviour.</w:t>
            </w:r>
          </w:p>
        </w:tc>
      </w:tr>
      <w:tr>
        <w:tc>
          <w:tcPr>
            <w:tcW w:type="dxa" w:w="1600"/>
            <w:shd w:fill="E8F0FB" w:val="solid"/>
            <w:vAlign w:val="center"/>
          </w:tcPr>
          <w:p>
            <w:pPr>
              <w:jc w:val="center"/>
            </w:pPr>
            <w:r>
              <w:rPr>
                <w:rFonts w:ascii="Arial" w:cs="Arial" w:eastAsia="Arial" w:hAnsi="Arial"/>
                <w:b/>
                <w:bCs/>
                <w:color w:val="1F3864"/>
                <w:sz w:val="20"/>
                <w:szCs w:val="20"/>
              </w:rPr>
              <w:t xml:space="preserve">Compliance officer</w:t>
            </w:r>
          </w:p>
        </w:tc>
        <w:tc>
          <w:tcPr>
            <w:tcW w:type="dxa" w:w="2300"/>
            <w:shd w:fill="F9FAFB" w:val="solid"/>
            <w:vAlign w:val="top"/>
          </w:tcPr>
          <w:p>
            <w:pPr>
              <w:spacing w:after="60"/>
            </w:pPr>
            <w:r>
              <w:rPr>
                <w:rFonts w:ascii="Arial" w:cs="Arial" w:eastAsia="Arial" w:hAnsi="Arial"/>
                <w:b w:val="false"/>
                <w:bCs w:val="false"/>
                <w:sz w:val="19"/>
                <w:szCs w:val="19"/>
              </w:rPr>
              <w:t xml:space="preserve">Complete audit trail of every analyst decision. Evidence that AI outputs were reviewed, not rubber-stamped. Documentation that challenge flags were resolved or escalated within defined windows.</w:t>
            </w:r>
          </w:p>
        </w:tc>
        <w:tc>
          <w:tcPr>
            <w:tcW w:type="dxa" w:w="2300"/>
            <w:shd w:fill="FFF8F8" w:val="solid"/>
            <w:vAlign w:val="top"/>
          </w:tcPr>
          <w:p>
            <w:pPr>
              <w:spacing w:after="60"/>
            </w:pPr>
            <w:r>
              <w:rPr>
                <w:rFonts w:ascii="Arial" w:cs="Arial" w:eastAsia="Arial" w:hAnsi="Arial"/>
                <w:b w:val="false"/>
                <w:bCs w:val="false"/>
                <w:sz w:val="19"/>
                <w:szCs w:val="19"/>
              </w:rPr>
              <w:t xml:space="preserve">Analyst approves AI output without substantive review — audit trail shows approval but not engagement. Challenge flag window expires without escalation, creating a compliance gap. AI-drafted memo enters the record without provenance tag.</w:t>
            </w:r>
          </w:p>
        </w:tc>
        <w:tc>
          <w:tcPr>
            <w:tcW w:type="dxa" w:w="3160"/>
            <w:shd w:fill="F4FBF7" w:val="solid"/>
            <w:vAlign w:val="top"/>
          </w:tcPr>
          <w:p>
            <w:pPr>
              <w:spacing w:after="60"/>
            </w:pPr>
            <w:r>
              <w:rPr>
                <w:rFonts w:ascii="Arial" w:cs="Arial" w:eastAsia="Arial" w:hAnsi="Arial"/>
                <w:b w:val="false"/>
                <w:bCs w:val="false"/>
                <w:sz w:val="19"/>
                <w:szCs w:val="19"/>
              </w:rPr>
              <w:t xml:space="preserve">Decision log records approval event, timestamp, and whether analyst modified the AI suggestion. Challenge flag escalation is automatic at day five — compliance officer receives notification. Every document in the audit trail carries AI provenance metadata.</w:t>
            </w:r>
          </w:p>
        </w:tc>
      </w:tr>
      <w:tr>
        <w:tc>
          <w:tcPr>
            <w:tcW w:type="dxa" w:w="1600"/>
            <w:shd w:fill="FFFFFF" w:val="solid"/>
            <w:vAlign w:val="center"/>
          </w:tcPr>
          <w:p>
            <w:pPr>
              <w:jc w:val="center"/>
            </w:pPr>
            <w:r>
              <w:rPr>
                <w:rFonts w:ascii="Arial" w:cs="Arial" w:eastAsia="Arial" w:hAnsi="Arial"/>
                <w:b/>
                <w:bCs/>
                <w:color w:val="1F3864"/>
                <w:sz w:val="20"/>
                <w:szCs w:val="20"/>
              </w:rPr>
              <w:t xml:space="preserve">Company management
(covered firm)</w:t>
            </w:r>
          </w:p>
        </w:tc>
        <w:tc>
          <w:tcPr>
            <w:tcW w:type="dxa" w:w="2300"/>
            <w:shd w:fill="FFFFFF" w:val="solid"/>
            <w:vAlign w:val="top"/>
          </w:tcPr>
          <w:p>
            <w:pPr>
              <w:spacing w:after="60"/>
            </w:pPr>
            <w:r>
              <w:rPr>
                <w:rFonts w:ascii="Arial" w:cs="Arial" w:eastAsia="Arial" w:hAnsi="Arial"/>
                <w:b w:val="false"/>
                <w:bCs w:val="false"/>
                <w:sz w:val="19"/>
                <w:szCs w:val="19"/>
              </w:rPr>
              <w:t xml:space="preserve">Fair representation of their earnings call in the analyst's notes. Credibility scoring that reflects actual communication quality, not generic sentiment.</w:t>
            </w:r>
          </w:p>
        </w:tc>
        <w:tc>
          <w:tcPr>
            <w:tcW w:type="dxa" w:w="2300"/>
            <w:shd w:fill="FFFFFF" w:val="solid"/>
            <w:vAlign w:val="top"/>
          </w:tcPr>
          <w:p>
            <w:pPr>
              <w:spacing w:after="60"/>
            </w:pPr>
            <w:r>
              <w:rPr>
                <w:rFonts w:ascii="Arial" w:cs="Arial" w:eastAsia="Arial" w:hAnsi="Arial"/>
                <w:b w:val="false"/>
                <w:bCs w:val="false"/>
                <w:sz w:val="19"/>
                <w:szCs w:val="19"/>
              </w:rPr>
              <w:t xml:space="preserve">Credibility score penalises cautious or legally constrained language as evasive. Tone classifier mis-labels hedging required by Reg FD as defensive. Systematic underscoring of management teams in certain sectors or communication styles.</w:t>
            </w:r>
          </w:p>
        </w:tc>
        <w:tc>
          <w:tcPr>
            <w:tcW w:type="dxa" w:w="3160"/>
            <w:shd w:fill="FFFFFF" w:val="solid"/>
            <w:vAlign w:val="top"/>
          </w:tcPr>
          <w:p>
            <w:pPr>
              <w:spacing w:after="60"/>
            </w:pPr>
            <w:r>
              <w:rPr>
                <w:rFonts w:ascii="Arial" w:cs="Arial" w:eastAsia="Arial" w:hAnsi="Arial"/>
                <w:b w:val="false"/>
                <w:bCs w:val="false"/>
                <w:sz w:val="19"/>
                <w:szCs w:val="19"/>
              </w:rPr>
              <w:t xml:space="preserve">Credibility score inputs are visible to the analyst before any model revision proposal is generated. Analyst can override the composite score with a logged reason. Credibility methodology reviewed annually against outcomes — does low credibility actually predict guidance misses?</w:t>
            </w:r>
          </w:p>
        </w:tc>
      </w:tr>
      <w:tr>
        <w:tc>
          <w:tcPr>
            <w:tcW w:type="dxa" w:w="1600"/>
            <w:shd w:fill="E8F0FB" w:val="solid"/>
            <w:vAlign w:val="center"/>
          </w:tcPr>
          <w:p>
            <w:pPr>
              <w:jc w:val="center"/>
            </w:pPr>
            <w:r>
              <w:rPr>
                <w:rFonts w:ascii="Arial" w:cs="Arial" w:eastAsia="Arial" w:hAnsi="Arial"/>
                <w:b/>
                <w:bCs/>
                <w:color w:val="1F3864"/>
                <w:sz w:val="20"/>
                <w:szCs w:val="20"/>
              </w:rPr>
              <w:t xml:space="preserve">Junior analyst /
associate</w:t>
            </w:r>
          </w:p>
        </w:tc>
        <w:tc>
          <w:tcPr>
            <w:tcW w:type="dxa" w:w="2300"/>
            <w:shd w:fill="F9FAFB" w:val="solid"/>
            <w:vAlign w:val="top"/>
          </w:tcPr>
          <w:p>
            <w:pPr>
              <w:spacing w:after="60"/>
            </w:pPr>
            <w:r>
              <w:rPr>
                <w:rFonts w:ascii="Arial" w:cs="Arial" w:eastAsia="Arial" w:hAnsi="Arial"/>
                <w:b w:val="false"/>
                <w:bCs w:val="false"/>
                <w:sz w:val="19"/>
                <w:szCs w:val="19"/>
              </w:rPr>
              <w:t xml:space="preserve">Learning environment that builds skills rather than just enforcing outputs. Gaming detection used developmentally, not punitively. Workbench scaffolding that explains the why behind each workflow step.</w:t>
            </w:r>
          </w:p>
        </w:tc>
        <w:tc>
          <w:tcPr>
            <w:tcW w:type="dxa" w:w="2300"/>
            <w:shd w:fill="FFF8F8" w:val="solid"/>
            <w:vAlign w:val="top"/>
          </w:tcPr>
          <w:p>
            <w:pPr>
              <w:spacing w:after="60"/>
            </w:pPr>
            <w:r>
              <w:rPr>
                <w:rFonts w:ascii="Arial" w:cs="Arial" w:eastAsia="Arial" w:hAnsi="Arial"/>
                <w:b w:val="false"/>
                <w:bCs w:val="false"/>
                <w:sz w:val="19"/>
                <w:szCs w:val="19"/>
              </w:rPr>
              <w:t xml:space="preserve">3:30pm timestamp flag surfaced to senior management without developmental context. AI-generated brief accepted without building the analytical skill to produce it independently. Accuracy record starts at zero and is compared to experienced analysts in early quarters.</w:t>
            </w:r>
          </w:p>
        </w:tc>
        <w:tc>
          <w:tcPr>
            <w:tcW w:type="dxa" w:w="3160"/>
            <w:shd w:fill="F4FBF7" w:val="solid"/>
            <w:vAlign w:val="top"/>
          </w:tcPr>
          <w:p>
            <w:pPr>
              <w:spacing w:after="60"/>
            </w:pPr>
            <w:r>
              <w:rPr>
                <w:rFonts w:ascii="Arial" w:cs="Arial" w:eastAsia="Arial" w:hAnsi="Arial"/>
                <w:b w:val="false"/>
                <w:bCs w:val="false"/>
                <w:sz w:val="19"/>
                <w:szCs w:val="19"/>
              </w:rPr>
              <w:t xml:space="preserve">Green analyst scaffolding layer provides explanatory context for each step. Gaming detection is developmental by default — accessible to manager only on escalation. Accuracy benchmarking for analysts in first two years uses peer cohort, not firm average. Scaffolding gradually reduces as experience level increases.</w:t>
            </w:r>
          </w:p>
        </w:tc>
      </w:tr>
      <w:tr>
        <w:tc>
          <w:tcPr>
            <w:tcW w:type="dxa" w:w="1600"/>
            <w:shd w:fill="FFFFFF" w:val="solid"/>
            <w:vAlign w:val="center"/>
          </w:tcPr>
          <w:p>
            <w:pPr>
              <w:jc w:val="center"/>
            </w:pPr>
            <w:r>
              <w:rPr>
                <w:rFonts w:ascii="Arial" w:cs="Arial" w:eastAsia="Arial" w:hAnsi="Arial"/>
                <w:b/>
                <w:bCs/>
                <w:color w:val="1F3864"/>
                <w:sz w:val="20"/>
                <w:szCs w:val="20"/>
              </w:rPr>
              <w:t xml:space="preserve">IT / compliance
infrastructure</w:t>
            </w:r>
          </w:p>
        </w:tc>
        <w:tc>
          <w:tcPr>
            <w:tcW w:type="dxa" w:w="2300"/>
            <w:shd w:fill="FFFFFF" w:val="solid"/>
            <w:vAlign w:val="top"/>
          </w:tcPr>
          <w:p>
            <w:pPr>
              <w:spacing w:after="60"/>
            </w:pPr>
            <w:r>
              <w:rPr>
                <w:rFonts w:ascii="Arial" w:cs="Arial" w:eastAsia="Arial" w:hAnsi="Arial"/>
                <w:b w:val="false"/>
                <w:bCs w:val="false"/>
                <w:sz w:val="19"/>
                <w:szCs w:val="19"/>
              </w:rPr>
              <w:t xml:space="preserve">Predictable system behaviour. Clear data residency and retention policies. Defined API contracts between Premia and external data feeds.</w:t>
            </w:r>
          </w:p>
        </w:tc>
        <w:tc>
          <w:tcPr>
            <w:tcW w:type="dxa" w:w="2300"/>
            <w:shd w:fill="FFFFFF" w:val="solid"/>
            <w:vAlign w:val="top"/>
          </w:tcPr>
          <w:p>
            <w:pPr>
              <w:spacing w:after="60"/>
            </w:pPr>
            <w:r>
              <w:rPr>
                <w:rFonts w:ascii="Arial" w:cs="Arial" w:eastAsia="Arial" w:hAnsi="Arial"/>
                <w:b w:val="false"/>
                <w:bCs w:val="false"/>
                <w:sz w:val="19"/>
                <w:szCs w:val="19"/>
              </w:rPr>
              <w:t xml:space="preserve">Agent pipeline writes to incorrect data partitions. LLM API calls send proprietary client data to external model without DPA. Undefined behaviour when FactSet feed is unavailable causes silent data gaps.</w:t>
            </w:r>
          </w:p>
        </w:tc>
        <w:tc>
          <w:tcPr>
            <w:tcW w:type="dxa" w:w="3160"/>
            <w:shd w:fill="FFFFFF" w:val="solid"/>
            <w:vAlign w:val="top"/>
          </w:tcPr>
          <w:p>
            <w:pPr>
              <w:spacing w:after="60"/>
            </w:pPr>
            <w:r>
              <w:rPr>
                <w:rFonts w:ascii="Arial" w:cs="Arial" w:eastAsia="Arial" w:hAnsi="Arial"/>
                <w:b w:val="false"/>
                <w:bCs w:val="false"/>
                <w:sz w:val="19"/>
                <w:szCs w:val="19"/>
              </w:rPr>
              <w:t xml:space="preserve">All LLM API calls route through firm-controlled infrastructure with DPA in place. Data residency documented in Coverage Policy Statement. Feed unavailability triggers explicit NULL flag and analyst warning — no silent gaps. Agent output contracts versioned and change-controlled.</w:t>
            </w:r>
          </w:p>
        </w:tc>
      </w:tr>
    </w:tbl>
    <w:p>
      <w:pPr>
        <w:spacing w:after="100"/>
      </w:pPr>
    </w:p>
    <w:p>
      <w:pPr>
        <w:spacing w:after="100"/>
      </w:pPr>
    </w:p>
    <w:p>
      <w:pPr>
        <w:pBdr>
          <w:bottom w:val="single" w:color="CCCCCC" w:sz="4"/>
        </w:pBdr>
        <w:spacing w:after="80" w:before="80"/>
      </w:pPr>
    </w:p>
    <w:p>
      <w:pPr>
        <w:spacing w:after="120"/>
      </w:pPr>
      <w:r>
        <w:rPr>
          <w:rFonts w:ascii="Arial" w:cs="Arial" w:eastAsia="Arial" w:hAnsi="Arial"/>
          <w:sz w:val="22"/>
          <w:szCs w:val="22"/>
        </w:rPr>
        <w:t xml:space="preserve">The stakeholder map reveals a pattern that the four-part ethics audit alone does not surface: the interests of the analyst (fair accountability, developmental framing) and the interests of the DoR and compliance officer (complete audit trail, performance evidence) are structurally in tension. A system optimised entirely for compliance visibility will feel surveillant to analysts. A system optimised entirely for analyst experience will leave compliance gaps. Premia's design resolves this through tiered access — detailed logs exist but are accessible to management only on explicit escalation, not by default. That tiering is the design decision that makes both sets of interests compatible.</w:t>
      </w:r>
    </w:p>
    <w:p>
      <w:pPr>
        <w:spacing w:after="100"/>
      </w:pPr>
    </w:p>
    <w:p>
      <w:pPr>
        <w:spacing w:after="80"/>
      </w:pPr>
      <w:r>
        <w:rPr>
          <w:rFonts w:ascii="Arial" w:cs="Arial" w:eastAsia="Arial" w:hAnsi="Arial"/>
          <w:i/>
          <w:iCs/>
          <w:color w:val="888888"/>
          <w:sz w:val="18"/>
          <w:szCs w:val="18"/>
        </w:rPr>
        <w:t xml:space="preserve">Combined word count: approximately 1,100 words across both parts. All four ethics checks and all eight stakeholder groups completed.</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before="100"/>
    </w:pPr>
    <w:r>
      <w:rPr>
        <w:rFonts w:ascii="Arial" w:cs="Arial" w:eastAsia="Arial" w:hAnsi="Arial"/>
        <w:color w:val="888888"/>
        <w:sz w:val="18"/>
        <w:szCs w:val="18"/>
      </w:rPr>
      <w:t xml:space="preserve">Kathy Matosli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4"/>
      </w:pBdr>
      <w:spacing w:after="100"/>
    </w:pPr>
    <w:r>
      <w:rPr>
        <w:rFonts w:ascii="Arial" w:cs="Arial" w:eastAsia="Arial" w:hAnsi="Arial"/>
        <w:color w:val="666666"/>
        <w:sz w:val="18"/>
        <w:szCs w:val="18"/>
      </w:rPr>
      <w:t xml:space="preserve">Module 1 — AI Fundamentals  |  Ethics Audit &amp; Stakeholder Map  |  Premia Analyst Workbench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20"/>
      <w:outlineLvl w:val="1"/>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2026-04-18T03:36:43.173Z</dcterms:created>
  <dcterms:modified xsi:type="dcterms:W3CDTF">2026-04-18T03:36:43.175Z</dcterms:modified>
</cp:coreProperties>
</file>

<file path=docProps/custom.xml><?xml version="1.0" encoding="utf-8"?>
<Properties xmlns="http://schemas.openxmlformats.org/officeDocument/2006/custom-properties" xmlns:vt="http://schemas.openxmlformats.org/officeDocument/2006/docPropsVTypes"/>
</file>