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Head-to-Head Evaluation &amp; Edge Case Finder</w:t>
      </w:r>
    </w:p>
    <w:p>
      <w:pPr>
        <w:spacing w:after="60"/>
      </w:pPr>
      <w:r>
        <w:rPr>
          <w:rFonts w:ascii="Arial" w:cs="Arial" w:eastAsia="Arial" w:hAnsi="Arial"/>
          <w:i/>
          <w:iCs/>
          <w:color w:val="2E5090"/>
          <w:sz w:val="26"/>
          <w:szCs w:val="26"/>
        </w:rPr>
        <w:t xml:space="preserve">Applied to Premia — AI-Assisted Analyst Workbench</w:t>
      </w:r>
    </w:p>
    <w:p>
      <w:pPr>
        <w:spacing w:after="280"/>
      </w:pPr>
      <w:r>
        <w:rPr>
          <w:rFonts w:ascii="Arial" w:cs="Arial" w:eastAsia="Arial" w:hAnsi="Arial"/>
          <w:color w:val="888888"/>
          <w:sz w:val="20"/>
          <w:szCs w:val="20"/>
        </w:rPr>
        <w:t xml:space="preserve">Module 1 — AI Fundamentals &amp; Orientation</w:t>
      </w:r>
    </w:p>
    <w:p>
      <w:pPr>
        <w:pBdr>
          <w:bottom w:val="single" w:color="CCCCCC" w:sz="4"/>
        </w:pBdr>
        <w:spacing w:after="80" w:before="80"/>
      </w:pPr>
    </w:p>
    <w:p>
      <w:pPr>
        <w:spacing w:after="100"/>
      </w:pPr>
    </w:p>
    <w:p>
      <w:pPr>
        <w:pStyle w:val="Heading1"/>
        <w:spacing w:after="100" w:before="320"/>
      </w:pPr>
      <w:r>
        <w:rPr>
          <w:rFonts w:ascii="Arial" w:cs="Arial" w:eastAsia="Arial" w:hAnsi="Arial"/>
          <w:b/>
          <w:bCs/>
          <w:color w:val="1F3864"/>
          <w:sz w:val="28"/>
          <w:szCs w:val="28"/>
        </w:rPr>
        <w:t xml:space="preserve">Part 1 — The Head-to-Head Evaluation</w:t>
      </w:r>
    </w:p>
    <w:p>
      <w:pPr>
        <w:spacing w:after="120"/>
      </w:pPr>
      <w:r>
        <w:rPr>
          <w:rFonts w:ascii="Arial" w:cs="Arial" w:eastAsia="Arial" w:hAnsi="Arial"/>
          <w:sz w:val="22"/>
          <w:szCs w:val="22"/>
        </w:rPr>
        <w:t xml:space="preserve">Task: explain Premia's agent pipeline to a portfolio manager who is skeptical of AI tools but technically literate enough to ask hard questions about what the system actually does. This is a real communication challenge — one that will happen in every firm considering deploying the workbench.</w:t>
      </w:r>
    </w:p>
    <w:p>
      <w:pPr>
        <w:spacing w:after="100"/>
      </w:pPr>
    </w:p>
    <w:p>
      <w:pPr>
        <w:pStyle w:val="Heading2"/>
        <w:spacing w:after="80" w:before="220"/>
      </w:pPr>
      <w:r>
        <w:rPr>
          <w:rFonts w:ascii="Arial" w:cs="Arial" w:eastAsia="Arial" w:hAnsi="Arial"/>
          <w:b/>
          <w:bCs/>
          <w:color w:val="2E5090"/>
          <w:sz w:val="24"/>
          <w:szCs w:val="24"/>
        </w:rPr>
        <w:t xml:space="preserve">The Prompt — identical across both tools</w:t>
      </w:r>
    </w:p>
    <w:p>
      <w:pPr>
        <w:pBdr>
          <w:left w:val="single" w:color="2E5090" w:sz="12"/>
        </w:pBdr>
        <w:shd w:fill="F4F6FB"/>
        <w:spacing w:after="160" w:before="80"/>
        <w:ind w:left="360"/>
      </w:pPr>
      <w:r>
        <w:rPr>
          <w:rFonts w:ascii="Arial" w:cs="Arial" w:eastAsia="Arial" w:hAnsi="Arial"/>
          <w:i/>
          <w:iCs/>
          <w:color w:val="333333"/>
          <w:sz w:val="21"/>
          <w:szCs w:val="21"/>
        </w:rPr>
        <w:t xml:space="preserve">You are helping me explain a software product called Premia to a portfolio manager at a mid-size asset management firm. The PM is technically literate but skeptical of AI — they want to know exactly what the system does, not marketing language.
Premia is an AI-assisted analyst workbench. After an earnings call, it processes the transcript and runs three tasks in sequence: (1) extracts KPI results and compares them to the analyst's prior estimates, (2) classifies the investment thesis as maintained, modified, or closed based on those results plus forward guidance, and (3) drafts a memo to the portfolio manager summarizing what changed and recommending an action.
Please explain how this pipeline works in plain language. Audience: skeptical portfolio manager, technically literate. Format: three short paragraphs, one per stage. Scope: focus on what the system does and what the human must do — be explicit about where human judgment is required and where the system makes a suggestion vs. a decision.</w:t>
      </w:r>
    </w:p>
    <w:p>
      <w:pPr>
        <w:spacing w:after="100"/>
      </w:pPr>
    </w:p>
    <w:p>
      <w:pPr>
        <w:spacing w:after="120"/>
      </w:pPr>
      <w:r>
        <w:rPr>
          <w:rFonts w:ascii="Arial" w:cs="Arial" w:eastAsia="Arial" w:hAnsi="Arial"/>
          <w:sz w:val="22"/>
          <w:szCs w:val="22"/>
        </w:rPr>
        <w:t xml:space="preserve">Why this prompt structure: the audience specification (skeptical, technically literate) forces the tools to avoid both over-simplification and marketing language. The format constraint (three paragraphs, one per stage) tests whether the tools can follow structural instructions. The scope constraint (be explicit about human vs. AI roles) is the most important — this is the question a skeptical PM will ask first, and a tool that blurs the human/AI boundary will produce an answer that fails in a real client conversation.</w:t>
      </w:r>
    </w:p>
    <w:p>
      <w:pPr>
        <w:spacing w:after="100"/>
      </w:pPr>
    </w:p>
    <w:p>
      <w:pPr>
        <w:pStyle w:val="Heading2"/>
        <w:spacing w:after="80" w:before="220"/>
      </w:pPr>
      <w:r>
        <w:rPr>
          <w:rFonts w:ascii="Arial" w:cs="Arial" w:eastAsia="Arial" w:hAnsi="Arial"/>
          <w:b/>
          <w:bCs/>
          <w:color w:val="2E5090"/>
          <w:sz w:val="24"/>
          <w:szCs w:val="24"/>
        </w:rPr>
        <w:t xml:space="preserve">Tool 1 — Claude Sonnet 4.5: Response Summary</w:t>
      </w:r>
    </w:p>
    <w:p>
      <w:pPr>
        <w:spacing w:after="120"/>
      </w:pPr>
      <w:r>
        <w:rPr>
          <w:rFonts w:ascii="Arial" w:cs="Arial" w:eastAsia="Arial" w:hAnsi="Arial"/>
          <w:sz w:val="22"/>
          <w:szCs w:val="22"/>
        </w:rPr>
        <w:t xml:space="preserve">Stage 1 paragraph: correctly described KPI extraction as pattern-matching against stated estimates, not independent analysis. Noted that the system surfaces what the transcript says about each metric — it does not verify whether the KPI target itself was the right one to track. Stage 2 paragraph: correctly identified the thesis classification as a suggestion requiring analyst confirmation, and explicitly stated the 'recoverable miss' judgment as a human-owned decision. Stage 3 paragraph: described the PM memo as AI-drafted from confirmed inputs, with the analyst's approved verdict reflected — not the AI's suggestion.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shd w:fill="1F3864" w:val="solid"/>
          </w:tcPr>
          <w:p>
            <w:pPr>
              <w:jc w:val="center"/>
            </w:pPr>
            <w:r>
              <w:rPr>
                <w:rFonts w:ascii="Arial" w:cs="Arial" w:eastAsia="Arial" w:hAnsi="Arial"/>
                <w:b/>
                <w:bCs/>
                <w:color w:val="FFFFFF"/>
                <w:sz w:val="20"/>
                <w:szCs w:val="20"/>
              </w:rPr>
              <w:t xml:space="preserve">Dimension</w:t>
            </w:r>
          </w:p>
        </w:tc>
        <w:tc>
          <w:tcPr>
            <w:tcW w:type="dxa" w:w="1600"/>
            <w:shd w:fill="1F3864" w:val="solid"/>
          </w:tcPr>
          <w:p>
            <w:pPr>
              <w:jc w:val="center"/>
            </w:pPr>
            <w:r>
              <w:rPr>
                <w:rFonts w:ascii="Arial" w:cs="Arial" w:eastAsia="Arial" w:hAnsi="Arial"/>
                <w:b/>
                <w:bCs/>
                <w:color w:val="FFFFFF"/>
                <w:sz w:val="20"/>
                <w:szCs w:val="20"/>
              </w:rPr>
              <w:t xml:space="preserve">Rating</w:t>
            </w:r>
          </w:p>
        </w:tc>
        <w:tc>
          <w:tcPr>
            <w:tcW w:type="dxa" w:w="5960"/>
            <w:shd w:fill="1F3864" w:val="solid"/>
          </w:tcPr>
          <w:p>
            <w:pPr>
              <w:jc w:val="center"/>
            </w:pPr>
            <w:r>
              <w:rPr>
                <w:rFonts w:ascii="Arial" w:cs="Arial" w:eastAsia="Arial" w:hAnsi="Arial"/>
                <w:b/>
                <w:bCs/>
                <w:color w:val="FFFFFF"/>
                <w:sz w:val="20"/>
                <w:szCs w:val="20"/>
              </w:rPr>
              <w:t xml:space="preserve">Evidence — Claude Sonnet 4.5</w:t>
            </w:r>
          </w:p>
        </w:tc>
      </w:tr>
      <w:tr>
        <w:tc>
          <w:tcPr>
            <w:tcW w:type="dxa" w:w="1800"/>
            <w:shd w:fill="F4F6FB" w:val="solid"/>
            <w:vAlign w:val="top"/>
          </w:tcPr>
          <w:p>
            <w:pPr>
              <w:spacing w:after="60"/>
            </w:pPr>
            <w:r>
              <w:rPr>
                <w:rFonts w:ascii="Arial" w:cs="Arial" w:eastAsia="Arial" w:hAnsi="Arial"/>
                <w:b/>
                <w:bCs/>
                <w:sz w:val="20"/>
                <w:szCs w:val="20"/>
              </w:rPr>
              <w:t xml:space="preserve">Accuracy</w:t>
            </w:r>
          </w:p>
        </w:tc>
        <w:tc>
          <w:tcPr>
            <w:tcW w:type="dxa" w:w="1600"/>
            <w:shd w:fill="E2F0D9" w:val="solid"/>
            <w:vAlign w:val="top"/>
          </w:tcPr>
          <w:p>
            <w:pPr>
              <w:spacing w:after="60"/>
            </w:pPr>
            <w:r>
              <w:rPr>
                <w:rFonts w:ascii="Arial" w:cs="Arial" w:eastAsia="Arial" w:hAnsi="Arial"/>
                <w:b/>
                <w:bCs/>
                <w:sz w:val="20"/>
                <w:szCs w:val="20"/>
              </w:rPr>
              <w:t xml:space="preserve">Strong</w:t>
            </w:r>
          </w:p>
        </w:tc>
        <w:tc>
          <w:tcPr>
            <w:tcW w:type="dxa" w:w="5960"/>
            <w:shd w:fill="FFFFFF" w:val="solid"/>
            <w:vAlign w:val="top"/>
          </w:tcPr>
          <w:p>
            <w:pPr>
              <w:spacing w:after="60"/>
            </w:pPr>
            <w:r>
              <w:rPr>
                <w:rFonts w:ascii="Arial" w:cs="Arial" w:eastAsia="Arial" w:hAnsi="Arial"/>
                <w:b w:val="false"/>
                <w:bCs w:val="false"/>
                <w:sz w:val="20"/>
                <w:szCs w:val="20"/>
              </w:rPr>
              <w:t xml:space="preserve">Correctly distinguished between AI suggestion and human decision at every stage. Did not claim the system makes thesis decisions — described it as surfacing a suggested classification that the analyst must confirm. The recoverable miss node was identified as human-owned without being prompted.</w:t>
            </w:r>
          </w:p>
        </w:tc>
      </w:tr>
      <w:tr>
        <w:tc>
          <w:tcPr>
            <w:tcW w:type="dxa" w:w="1800"/>
            <w:shd w:fill="F4F6FB" w:val="solid"/>
            <w:vAlign w:val="top"/>
          </w:tcPr>
          <w:p>
            <w:pPr>
              <w:spacing w:after="60"/>
            </w:pPr>
            <w:r>
              <w:rPr>
                <w:rFonts w:ascii="Arial" w:cs="Arial" w:eastAsia="Arial" w:hAnsi="Arial"/>
                <w:b/>
                <w:bCs/>
                <w:sz w:val="20"/>
                <w:szCs w:val="20"/>
              </w:rPr>
              <w:t xml:space="preserve">Completeness</w:t>
            </w:r>
          </w:p>
        </w:tc>
        <w:tc>
          <w:tcPr>
            <w:tcW w:type="dxa" w:w="1600"/>
            <w:shd w:fill="E2F0D9" w:val="solid"/>
            <w:vAlign w:val="top"/>
          </w:tcPr>
          <w:p>
            <w:pPr>
              <w:spacing w:after="60"/>
            </w:pPr>
            <w:r>
              <w:rPr>
                <w:rFonts w:ascii="Arial" w:cs="Arial" w:eastAsia="Arial" w:hAnsi="Arial"/>
                <w:b/>
                <w:bCs/>
                <w:sz w:val="20"/>
                <w:szCs w:val="20"/>
              </w:rPr>
              <w:t xml:space="preserve">Strong</w:t>
            </w:r>
          </w:p>
        </w:tc>
        <w:tc>
          <w:tcPr>
            <w:tcW w:type="dxa" w:w="5960"/>
            <w:shd w:fill="FFFFFF" w:val="solid"/>
            <w:vAlign w:val="top"/>
          </w:tcPr>
          <w:p>
            <w:pPr>
              <w:spacing w:after="60"/>
            </w:pPr>
            <w:r>
              <w:rPr>
                <w:rFonts w:ascii="Arial" w:cs="Arial" w:eastAsia="Arial" w:hAnsi="Arial"/>
                <w:b w:val="false"/>
                <w:bCs w:val="false"/>
                <w:sz w:val="20"/>
                <w:szCs w:val="20"/>
              </w:rPr>
              <w:t xml:space="preserve">All three stages covered. Human handoff points explicit in each paragraph. Both 'what the system does' and 'what the human must do' addressed per the scope constraint.</w:t>
            </w:r>
          </w:p>
        </w:tc>
      </w:tr>
      <w:tr>
        <w:tc>
          <w:tcPr>
            <w:tcW w:type="dxa" w:w="1800"/>
            <w:shd w:fill="F4F6FB" w:val="solid"/>
            <w:vAlign w:val="top"/>
          </w:tcPr>
          <w:p>
            <w:pPr>
              <w:spacing w:after="60"/>
            </w:pPr>
            <w:r>
              <w:rPr>
                <w:rFonts w:ascii="Arial" w:cs="Arial" w:eastAsia="Arial" w:hAnsi="Arial"/>
                <w:b/>
                <w:bCs/>
                <w:sz w:val="20"/>
                <w:szCs w:val="20"/>
              </w:rPr>
              <w:t xml:space="preserve">Clarity</w:t>
            </w:r>
          </w:p>
        </w:tc>
        <w:tc>
          <w:tcPr>
            <w:tcW w:type="dxa" w:w="1600"/>
            <w:shd w:fill="E2F0D9" w:val="solid"/>
            <w:vAlign w:val="top"/>
          </w:tcPr>
          <w:p>
            <w:pPr>
              <w:spacing w:after="60"/>
            </w:pPr>
            <w:r>
              <w:rPr>
                <w:rFonts w:ascii="Arial" w:cs="Arial" w:eastAsia="Arial" w:hAnsi="Arial"/>
                <w:b/>
                <w:bCs/>
                <w:sz w:val="20"/>
                <w:szCs w:val="20"/>
              </w:rPr>
              <w:t xml:space="preserve">Strong</w:t>
            </w:r>
          </w:p>
        </w:tc>
        <w:tc>
          <w:tcPr>
            <w:tcW w:type="dxa" w:w="5960"/>
            <w:shd w:fill="FFFFFF" w:val="solid"/>
            <w:vAlign w:val="top"/>
          </w:tcPr>
          <w:p>
            <w:pPr>
              <w:spacing w:after="60"/>
            </w:pPr>
            <w:r>
              <w:rPr>
                <w:rFonts w:ascii="Arial" w:cs="Arial" w:eastAsia="Arial" w:hAnsi="Arial"/>
                <w:b w:val="false"/>
                <w:bCs w:val="false"/>
                <w:sz w:val="20"/>
                <w:szCs w:val="20"/>
              </w:rPr>
              <w:t xml:space="preserve">Plain language throughout. No 'AI-powered' or 'intelligent automation' hedge language. Each paragraph has a clear single subject matching the pipeline stage.</w:t>
            </w:r>
          </w:p>
        </w:tc>
      </w:tr>
      <w:tr>
        <w:tc>
          <w:tcPr>
            <w:tcW w:type="dxa" w:w="1800"/>
            <w:shd w:fill="F4F6FB" w:val="solid"/>
            <w:vAlign w:val="top"/>
          </w:tcPr>
          <w:p>
            <w:pPr>
              <w:spacing w:after="60"/>
            </w:pPr>
            <w:r>
              <w:rPr>
                <w:rFonts w:ascii="Arial" w:cs="Arial" w:eastAsia="Arial" w:hAnsi="Arial"/>
                <w:b/>
                <w:bCs/>
                <w:sz w:val="20"/>
                <w:szCs w:val="20"/>
              </w:rPr>
              <w:t xml:space="preserve">Relevance</w:t>
            </w:r>
          </w:p>
        </w:tc>
        <w:tc>
          <w:tcPr>
            <w:tcW w:type="dxa" w:w="1600"/>
            <w:shd w:fill="E2F0D9" w:val="solid"/>
            <w:vAlign w:val="top"/>
          </w:tcPr>
          <w:p>
            <w:pPr>
              <w:spacing w:after="60"/>
            </w:pPr>
            <w:r>
              <w:rPr>
                <w:rFonts w:ascii="Arial" w:cs="Arial" w:eastAsia="Arial" w:hAnsi="Arial"/>
                <w:b/>
                <w:bCs/>
                <w:sz w:val="20"/>
                <w:szCs w:val="20"/>
              </w:rPr>
              <w:t xml:space="preserve">Strong</w:t>
            </w:r>
          </w:p>
        </w:tc>
        <w:tc>
          <w:tcPr>
            <w:tcW w:type="dxa" w:w="5960"/>
            <w:shd w:fill="FFFFFF" w:val="solid"/>
            <w:vAlign w:val="top"/>
          </w:tcPr>
          <w:p>
            <w:pPr>
              <w:spacing w:after="60"/>
            </w:pPr>
            <w:r>
              <w:rPr>
                <w:rFonts w:ascii="Arial" w:cs="Arial" w:eastAsia="Arial" w:hAnsi="Arial"/>
                <w:b w:val="false"/>
                <w:bCs w:val="false"/>
                <w:sz w:val="20"/>
                <w:szCs w:val="20"/>
              </w:rPr>
              <w:t xml:space="preserve">Response addressed the skeptical PM audience directly — preemptively noted what the system cannot do (verify KPI relevance, assess management credibility from a single call) before those objections could be raised.</w:t>
            </w:r>
          </w:p>
        </w:tc>
      </w:tr>
      <w:tr>
        <w:tc>
          <w:tcPr>
            <w:tcW w:type="dxa" w:w="1800"/>
            <w:shd w:fill="F4F6FB" w:val="solid"/>
            <w:vAlign w:val="top"/>
          </w:tcPr>
          <w:p>
            <w:pPr>
              <w:spacing w:after="60"/>
            </w:pPr>
            <w:r>
              <w:rPr>
                <w:rFonts w:ascii="Arial" w:cs="Arial" w:eastAsia="Arial" w:hAnsi="Arial"/>
                <w:b/>
                <w:bCs/>
                <w:sz w:val="20"/>
                <w:szCs w:val="20"/>
              </w:rPr>
              <w:t xml:space="preserve">Depth</w:t>
            </w:r>
          </w:p>
        </w:tc>
        <w:tc>
          <w:tcPr>
            <w:tcW w:type="dxa" w:w="1600"/>
            <w:shd w:fill="E2F0D9" w:val="solid"/>
            <w:vAlign w:val="top"/>
          </w:tcPr>
          <w:p>
            <w:pPr>
              <w:spacing w:after="60"/>
            </w:pPr>
            <w:r>
              <w:rPr>
                <w:rFonts w:ascii="Arial" w:cs="Arial" w:eastAsia="Arial" w:hAnsi="Arial"/>
                <w:b/>
                <w:bCs/>
                <w:sz w:val="20"/>
                <w:szCs w:val="20"/>
              </w:rPr>
              <w:t xml:space="preserve">Strong</w:t>
            </w:r>
          </w:p>
        </w:tc>
        <w:tc>
          <w:tcPr>
            <w:tcW w:type="dxa" w:w="5960"/>
            <w:shd w:fill="FFFFFF" w:val="solid"/>
            <w:vAlign w:val="top"/>
          </w:tcPr>
          <w:p>
            <w:pPr>
              <w:spacing w:after="60"/>
            </w:pPr>
            <w:r>
              <w:rPr>
                <w:rFonts w:ascii="Arial" w:cs="Arial" w:eastAsia="Arial" w:hAnsi="Arial"/>
                <w:b w:val="false"/>
                <w:bCs w:val="false"/>
                <w:sz w:val="20"/>
                <w:szCs w:val="20"/>
              </w:rPr>
              <w:t xml:space="preserve">The observation that the system does not verify whether the tracked KPI is the right KPI — only whether it was confirmed — is the most sophisticated point in the response and the one a technically literate PM would most want to know.</w:t>
            </w:r>
          </w:p>
        </w:tc>
      </w:tr>
    </w:tbl>
    <w:p>
      <w:pPr>
        <w:spacing w:after="100"/>
      </w:pPr>
    </w:p>
    <w:p>
      <w:pPr>
        <w:pStyle w:val="Heading2"/>
        <w:spacing w:after="80" w:before="220"/>
      </w:pPr>
      <w:r>
        <w:rPr>
          <w:rFonts w:ascii="Arial" w:cs="Arial" w:eastAsia="Arial" w:hAnsi="Arial"/>
          <w:b/>
          <w:bCs/>
          <w:color w:val="2E5090"/>
          <w:sz w:val="24"/>
          <w:szCs w:val="24"/>
        </w:rPr>
        <w:t xml:space="preserve">Tool 2 — ChatGPT-4o: Response Summary</w:t>
      </w:r>
    </w:p>
    <w:p>
      <w:pPr>
        <w:spacing w:after="120"/>
      </w:pPr>
      <w:r>
        <w:rPr>
          <w:rFonts w:ascii="Arial" w:cs="Arial" w:eastAsia="Arial" w:hAnsi="Arial"/>
          <w:sz w:val="22"/>
          <w:szCs w:val="22"/>
        </w:rPr>
        <w:t xml:space="preserve">Stage 1 paragraph: described KPI extraction accurately but characterized it as 'intelligent analysis' — which is the kind of language a skeptical PM will immediately distrust. Stage 2 paragraph: described the thesis classification without clearly stating it is a suggestion. The phrase 'the system determines' was used, which implies a decision, not a recommendation. Stage 3 paragraph: described the PM memo accurately but did not distinguish between AI-drafted content and analyst-confirmed content.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shd w:fill="1F3864" w:val="solid"/>
          </w:tcPr>
          <w:p>
            <w:pPr>
              <w:jc w:val="center"/>
            </w:pPr>
            <w:r>
              <w:rPr>
                <w:rFonts w:ascii="Arial" w:cs="Arial" w:eastAsia="Arial" w:hAnsi="Arial"/>
                <w:b/>
                <w:bCs/>
                <w:color w:val="FFFFFF"/>
                <w:sz w:val="20"/>
                <w:szCs w:val="20"/>
              </w:rPr>
              <w:t xml:space="preserve">Dimension</w:t>
            </w:r>
          </w:p>
        </w:tc>
        <w:tc>
          <w:tcPr>
            <w:tcW w:type="dxa" w:w="1600"/>
            <w:shd w:fill="1F3864" w:val="solid"/>
          </w:tcPr>
          <w:p>
            <w:pPr>
              <w:jc w:val="center"/>
            </w:pPr>
            <w:r>
              <w:rPr>
                <w:rFonts w:ascii="Arial" w:cs="Arial" w:eastAsia="Arial" w:hAnsi="Arial"/>
                <w:b/>
                <w:bCs/>
                <w:color w:val="FFFFFF"/>
                <w:sz w:val="20"/>
                <w:szCs w:val="20"/>
              </w:rPr>
              <w:t xml:space="preserve">Rating</w:t>
            </w:r>
          </w:p>
        </w:tc>
        <w:tc>
          <w:tcPr>
            <w:tcW w:type="dxa" w:w="5960"/>
            <w:shd w:fill="1F3864" w:val="solid"/>
          </w:tcPr>
          <w:p>
            <w:pPr>
              <w:jc w:val="center"/>
            </w:pPr>
            <w:r>
              <w:rPr>
                <w:rFonts w:ascii="Arial" w:cs="Arial" w:eastAsia="Arial" w:hAnsi="Arial"/>
                <w:b/>
                <w:bCs/>
                <w:color w:val="FFFFFF"/>
                <w:sz w:val="20"/>
                <w:szCs w:val="20"/>
              </w:rPr>
              <w:t xml:space="preserve">Evidence — ChatGPT-4o</w:t>
            </w:r>
          </w:p>
        </w:tc>
      </w:tr>
      <w:tr>
        <w:tc>
          <w:tcPr>
            <w:tcW w:type="dxa" w:w="1800"/>
            <w:shd w:fill="F4F6FB" w:val="solid"/>
            <w:vAlign w:val="top"/>
          </w:tcPr>
          <w:p>
            <w:pPr>
              <w:spacing w:after="60"/>
            </w:pPr>
            <w:r>
              <w:rPr>
                <w:rFonts w:ascii="Arial" w:cs="Arial" w:eastAsia="Arial" w:hAnsi="Arial"/>
                <w:b/>
                <w:bCs/>
                <w:sz w:val="20"/>
                <w:szCs w:val="20"/>
              </w:rPr>
              <w:t xml:space="preserve">Accuracy</w:t>
            </w:r>
          </w:p>
        </w:tc>
        <w:tc>
          <w:tcPr>
            <w:tcW w:type="dxa" w:w="1600"/>
            <w:shd w:fill="FFF2CC" w:val="solid"/>
            <w:vAlign w:val="top"/>
          </w:tcPr>
          <w:p>
            <w:pPr>
              <w:spacing w:after="60"/>
            </w:pPr>
            <w:r>
              <w:rPr>
                <w:rFonts w:ascii="Arial" w:cs="Arial" w:eastAsia="Arial" w:hAnsi="Arial"/>
                <w:b/>
                <w:bCs/>
                <w:sz w:val="20"/>
                <w:szCs w:val="20"/>
              </w:rPr>
              <w:t xml:space="preserve">Adequate</w:t>
            </w:r>
          </w:p>
        </w:tc>
        <w:tc>
          <w:tcPr>
            <w:tcW w:type="dxa" w:w="5960"/>
            <w:shd w:fill="FFFFFF" w:val="solid"/>
            <w:vAlign w:val="top"/>
          </w:tcPr>
          <w:p>
            <w:pPr>
              <w:spacing w:after="60"/>
            </w:pPr>
            <w:r>
              <w:rPr>
                <w:rFonts w:ascii="Arial" w:cs="Arial" w:eastAsia="Arial" w:hAnsi="Arial"/>
                <w:b w:val="false"/>
                <w:bCs w:val="false"/>
                <w:sz w:val="20"/>
                <w:szCs w:val="20"/>
              </w:rPr>
              <w:t xml:space="preserve">Pipeline stages described correctly at the structural level. The error is in framing: 'the system determines' the thesis status implies a decision rather than a suggestion. For a skeptical PM, this framing will raise immediate concerns about AI replacing analyst judgment.</w:t>
            </w:r>
          </w:p>
        </w:tc>
      </w:tr>
      <w:tr>
        <w:tc>
          <w:tcPr>
            <w:tcW w:type="dxa" w:w="1800"/>
            <w:shd w:fill="F4F6FB" w:val="solid"/>
            <w:vAlign w:val="top"/>
          </w:tcPr>
          <w:p>
            <w:pPr>
              <w:spacing w:after="60"/>
            </w:pPr>
            <w:r>
              <w:rPr>
                <w:rFonts w:ascii="Arial" w:cs="Arial" w:eastAsia="Arial" w:hAnsi="Arial"/>
                <w:b/>
                <w:bCs/>
                <w:sz w:val="20"/>
                <w:szCs w:val="20"/>
              </w:rPr>
              <w:t xml:space="preserve">Completeness</w:t>
            </w:r>
          </w:p>
        </w:tc>
        <w:tc>
          <w:tcPr>
            <w:tcW w:type="dxa" w:w="1600"/>
            <w:shd w:fill="FFF2CC" w:val="solid"/>
            <w:vAlign w:val="top"/>
          </w:tcPr>
          <w:p>
            <w:pPr>
              <w:spacing w:after="60"/>
            </w:pPr>
            <w:r>
              <w:rPr>
                <w:rFonts w:ascii="Arial" w:cs="Arial" w:eastAsia="Arial" w:hAnsi="Arial"/>
                <w:b/>
                <w:bCs/>
                <w:sz w:val="20"/>
                <w:szCs w:val="20"/>
              </w:rPr>
              <w:t xml:space="preserve">Adequate</w:t>
            </w:r>
          </w:p>
        </w:tc>
        <w:tc>
          <w:tcPr>
            <w:tcW w:type="dxa" w:w="5960"/>
            <w:shd w:fill="FFFFFF" w:val="solid"/>
            <w:vAlign w:val="top"/>
          </w:tcPr>
          <w:p>
            <w:pPr>
              <w:spacing w:after="60"/>
            </w:pPr>
            <w:r>
              <w:rPr>
                <w:rFonts w:ascii="Arial" w:cs="Arial" w:eastAsia="Arial" w:hAnsi="Arial"/>
                <w:b w:val="false"/>
                <w:bCs w:val="false"/>
                <w:sz w:val="20"/>
                <w:szCs w:val="20"/>
              </w:rPr>
              <w:t xml:space="preserve">Three paragraphs present. Human handoff points underspecified — the response did not address what happens when the analyst overrides the AI suggestion, or that the analyst must explicitly confirm before the memo is sent.</w:t>
            </w:r>
          </w:p>
        </w:tc>
      </w:tr>
      <w:tr>
        <w:tc>
          <w:tcPr>
            <w:tcW w:type="dxa" w:w="1800"/>
            <w:shd w:fill="F4F6FB" w:val="solid"/>
            <w:vAlign w:val="top"/>
          </w:tcPr>
          <w:p>
            <w:pPr>
              <w:spacing w:after="60"/>
            </w:pPr>
            <w:r>
              <w:rPr>
                <w:rFonts w:ascii="Arial" w:cs="Arial" w:eastAsia="Arial" w:hAnsi="Arial"/>
                <w:b/>
                <w:bCs/>
                <w:sz w:val="20"/>
                <w:szCs w:val="20"/>
              </w:rPr>
              <w:t xml:space="preserve">Clarity</w:t>
            </w:r>
          </w:p>
        </w:tc>
        <w:tc>
          <w:tcPr>
            <w:tcW w:type="dxa" w:w="1600"/>
            <w:shd w:fill="FFF2CC" w:val="solid"/>
            <w:vAlign w:val="top"/>
          </w:tcPr>
          <w:p>
            <w:pPr>
              <w:spacing w:after="60"/>
            </w:pPr>
            <w:r>
              <w:rPr>
                <w:rFonts w:ascii="Arial" w:cs="Arial" w:eastAsia="Arial" w:hAnsi="Arial"/>
                <w:b/>
                <w:bCs/>
                <w:sz w:val="20"/>
                <w:szCs w:val="20"/>
              </w:rPr>
              <w:t xml:space="preserve">Adequate</w:t>
            </w:r>
          </w:p>
        </w:tc>
        <w:tc>
          <w:tcPr>
            <w:tcW w:type="dxa" w:w="5960"/>
            <w:shd w:fill="FFFFFF" w:val="solid"/>
            <w:vAlign w:val="top"/>
          </w:tcPr>
          <w:p>
            <w:pPr>
              <w:spacing w:after="60"/>
            </w:pPr>
            <w:r>
              <w:rPr>
                <w:rFonts w:ascii="Arial" w:cs="Arial" w:eastAsia="Arial" w:hAnsi="Arial"/>
                <w:b w:val="false"/>
                <w:bCs w:val="false"/>
                <w:sz w:val="20"/>
                <w:szCs w:val="20"/>
              </w:rPr>
              <w:t xml:space="preserve">Well-structured but 'intelligent analysis' and 'the system determines' are phrases that will trigger skepticism in the target audience. These are avoidable word choices given the explicit audience constraint in the prompt.</w:t>
            </w:r>
          </w:p>
        </w:tc>
      </w:tr>
      <w:tr>
        <w:tc>
          <w:tcPr>
            <w:tcW w:type="dxa" w:w="1800"/>
            <w:shd w:fill="F4F6FB" w:val="solid"/>
            <w:vAlign w:val="top"/>
          </w:tcPr>
          <w:p>
            <w:pPr>
              <w:spacing w:after="60"/>
            </w:pPr>
            <w:r>
              <w:rPr>
                <w:rFonts w:ascii="Arial" w:cs="Arial" w:eastAsia="Arial" w:hAnsi="Arial"/>
                <w:b/>
                <w:bCs/>
                <w:sz w:val="20"/>
                <w:szCs w:val="20"/>
              </w:rPr>
              <w:t xml:space="preserve">Relevance</w:t>
            </w:r>
          </w:p>
        </w:tc>
        <w:tc>
          <w:tcPr>
            <w:tcW w:type="dxa" w:w="1600"/>
            <w:shd w:fill="FCE4D6" w:val="solid"/>
            <w:vAlign w:val="top"/>
          </w:tcPr>
          <w:p>
            <w:pPr>
              <w:spacing w:after="60"/>
            </w:pPr>
            <w:r>
              <w:rPr>
                <w:rFonts w:ascii="Arial" w:cs="Arial" w:eastAsia="Arial" w:hAnsi="Arial"/>
                <w:b/>
                <w:bCs/>
                <w:sz w:val="20"/>
                <w:szCs w:val="20"/>
              </w:rPr>
              <w:t xml:space="preserve">Weak</w:t>
            </w:r>
          </w:p>
        </w:tc>
        <w:tc>
          <w:tcPr>
            <w:tcW w:type="dxa" w:w="5960"/>
            <w:shd w:fill="FFFFFF" w:val="solid"/>
            <w:vAlign w:val="top"/>
          </w:tcPr>
          <w:p>
            <w:pPr>
              <w:spacing w:after="60"/>
            </w:pPr>
            <w:r>
              <w:rPr>
                <w:rFonts w:ascii="Arial" w:cs="Arial" w:eastAsia="Arial" w:hAnsi="Arial"/>
                <w:b w:val="false"/>
                <w:bCs w:val="false"/>
                <w:sz w:val="20"/>
                <w:szCs w:val="20"/>
              </w:rPr>
              <w:t xml:space="preserve">The audience constraint specified a skeptical PM who wants to know exactly what the system does. The response used language that will increase skepticism rather than address it. The explicit scope constraint — human judgment vs. system suggestion — was underdelivered.</w:t>
            </w:r>
          </w:p>
        </w:tc>
      </w:tr>
      <w:tr>
        <w:tc>
          <w:tcPr>
            <w:tcW w:type="dxa" w:w="1800"/>
            <w:shd w:fill="F4F6FB" w:val="solid"/>
            <w:vAlign w:val="top"/>
          </w:tcPr>
          <w:p>
            <w:pPr>
              <w:spacing w:after="60"/>
            </w:pPr>
            <w:r>
              <w:rPr>
                <w:rFonts w:ascii="Arial" w:cs="Arial" w:eastAsia="Arial" w:hAnsi="Arial"/>
                <w:b/>
                <w:bCs/>
                <w:sz w:val="20"/>
                <w:szCs w:val="20"/>
              </w:rPr>
              <w:t xml:space="preserve">Depth</w:t>
            </w:r>
          </w:p>
        </w:tc>
        <w:tc>
          <w:tcPr>
            <w:tcW w:type="dxa" w:w="1600"/>
            <w:shd w:fill="FCE4D6" w:val="solid"/>
            <w:vAlign w:val="top"/>
          </w:tcPr>
          <w:p>
            <w:pPr>
              <w:spacing w:after="60"/>
            </w:pPr>
            <w:r>
              <w:rPr>
                <w:rFonts w:ascii="Arial" w:cs="Arial" w:eastAsia="Arial" w:hAnsi="Arial"/>
                <w:b/>
                <w:bCs/>
                <w:sz w:val="20"/>
                <w:szCs w:val="20"/>
              </w:rPr>
              <w:t xml:space="preserve">Weak</w:t>
            </w:r>
          </w:p>
        </w:tc>
        <w:tc>
          <w:tcPr>
            <w:tcW w:type="dxa" w:w="5960"/>
            <w:shd w:fill="FFFFFF" w:val="solid"/>
            <w:vAlign w:val="top"/>
          </w:tcPr>
          <w:p>
            <w:pPr>
              <w:spacing w:after="60"/>
            </w:pPr>
            <w:r>
              <w:rPr>
                <w:rFonts w:ascii="Arial" w:cs="Arial" w:eastAsia="Arial" w:hAnsi="Arial"/>
                <w:b w:val="false"/>
                <w:bCs w:val="false"/>
                <w:sz w:val="20"/>
                <w:szCs w:val="20"/>
              </w:rPr>
              <w:t xml:space="preserve">No acknowledgment of what the system cannot do. A technically literate PM will ask 'what are the failure modes?' The response does not preempt that question. The recoverable miss judgment node — the most important human-owned decision in the pipeline — was not mentioned.</w:t>
            </w:r>
          </w:p>
        </w:tc>
      </w:tr>
    </w:tbl>
    <w:p>
      <w:pPr>
        <w:spacing w:after="100"/>
      </w:pPr>
    </w:p>
    <w:p>
      <w:pPr>
        <w:pStyle w:val="Heading2"/>
        <w:spacing w:after="80" w:before="220"/>
      </w:pPr>
      <w:r>
        <w:rPr>
          <w:rFonts w:ascii="Arial" w:cs="Arial" w:eastAsia="Arial" w:hAnsi="Arial"/>
          <w:b/>
          <w:bCs/>
          <w:color w:val="2E5090"/>
          <w:sz w:val="24"/>
          <w:szCs w:val="24"/>
        </w:rPr>
        <w:t xml:space="preserve">Comparison Analysis</w:t>
      </w:r>
    </w:p>
    <w:p>
      <w:pPr>
        <w:spacing w:after="120"/>
      </w:pPr>
      <w:r>
        <w:rPr>
          <w:rFonts w:ascii="Arial" w:cs="Arial" w:eastAsia="Arial" w:hAnsi="Arial"/>
          <w:sz w:val="22"/>
          <w:szCs w:val="22"/>
        </w:rPr>
        <w:t xml:space="preserve">The difference between the two responses is significant, not marginal. Both tools understood the structural task — three paragraphs, one per stage — but they diverged on the most important dimension for this specific audience: the human/AI boundary.</w:t>
      </w:r>
    </w:p>
    <w:p>
      <w:pPr>
        <w:spacing w:after="100"/>
      </w:pPr>
    </w:p>
    <w:p>
      <w:pPr>
        <w:spacing w:after="120"/>
      </w:pPr>
      <w:r>
        <w:rPr>
          <w:rFonts w:ascii="Arial" w:cs="Arial" w:eastAsia="Arial" w:hAnsi="Arial"/>
          <w:sz w:val="22"/>
          <w:szCs w:val="22"/>
        </w:rPr>
        <w:t xml:space="preserve">Claude correctly identified that a skeptical PM's first question is 'who decides?' and answered it proactively at each stage. The phrase 'the system surfaces a suggested classification that the analyst must confirm' is exactly the answer that converts a skeptical PM from a blocker to a buyer. ChatGPT's 'the system determines' is the phrase that kills the conversation.</w:t>
      </w:r>
    </w:p>
    <w:p>
      <w:pPr>
        <w:spacing w:after="100"/>
      </w:pPr>
    </w:p>
    <w:p>
      <w:pPr>
        <w:spacing w:after="120"/>
      </w:pPr>
      <w:r>
        <w:rPr>
          <w:rFonts w:ascii="Arial" w:cs="Arial" w:eastAsia="Arial" w:hAnsi="Arial"/>
          <w:sz w:val="22"/>
          <w:szCs w:val="22"/>
        </w:rPr>
        <w:t xml:space="preserve">The depth finding reinforces this. Claude noted what the system cannot do before being asked. ChatGPT described what the system does and stopped. For a skeptical audience, the former builds trust. The latter invites hard follow-up questions the response is not prepared to answer.</w:t>
      </w:r>
    </w:p>
    <w:p>
      <w:pPr>
        <w:spacing w:after="100"/>
      </w:pPr>
    </w:p>
    <w:p>
      <w:pPr>
        <w:spacing w:after="120"/>
      </w:pPr>
      <w:r>
        <w:rPr>
          <w:rFonts w:ascii="Arial" w:cs="Arial" w:eastAsia="Arial" w:hAnsi="Arial"/>
          <w:sz w:val="22"/>
          <w:szCs w:val="22"/>
        </w:rPr>
        <w:t xml:space="preserve">Prompt design implication: the audience and scope constraints in the prompt were essential. Running the vague version of this prompt — 'explain how Premia's pipeline works' — both tools produced acceptable general descriptions. The constraints were what forced the tools to address the harder, more useful question of where human judgment lives in the system.</w:t>
      </w:r>
    </w:p>
    <w:p>
      <w:pPr>
        <w:spacing w:after="100"/>
      </w:pPr>
    </w:p>
    <w:p>
      <w:pPr>
        <w:pStyle w:val="Heading2"/>
        <w:spacing w:after="80" w:before="220"/>
      </w:pPr>
      <w:r>
        <w:rPr>
          <w:rFonts w:ascii="Arial" w:cs="Arial" w:eastAsia="Arial" w:hAnsi="Arial"/>
          <w:b/>
          <w:bCs/>
          <w:color w:val="2E5090"/>
          <w:sz w:val="24"/>
          <w:szCs w:val="24"/>
        </w:rPr>
        <w:t xml:space="preserve">Bonus — Vague Prompt Comparison</w:t>
      </w:r>
    </w:p>
    <w:p>
      <w:pPr>
        <w:spacing w:after="120"/>
      </w:pPr>
      <w:r>
        <w:rPr>
          <w:rFonts w:ascii="Arial" w:cs="Arial" w:eastAsia="Arial" w:hAnsi="Arial"/>
          <w:sz w:val="22"/>
          <w:szCs w:val="22"/>
        </w:rPr>
        <w:t xml:space="preserve">Vague prompt sent: 'Explain how Premia's agent pipeline works.'</w:t>
      </w:r>
    </w:p>
    <w:p>
      <w:pPr>
        <w:spacing w:after="100"/>
      </w:pPr>
    </w:p>
    <w:p>
      <w:pPr>
        <w:spacing w:after="120"/>
      </w:pPr>
      <w:r>
        <w:rPr>
          <w:rFonts w:ascii="Arial" w:cs="Arial" w:eastAsia="Arial" w:hAnsi="Arial"/>
          <w:sz w:val="22"/>
          <w:szCs w:val="22"/>
        </w:rPr>
        <w:t xml:space="preserve">Result: both tools produced accurate structural descriptions of the three pipeline stages. Neither addressed the human/AI boundary. Neither specified what the analyst must do. Neither identified failure modes or limitations. The outputs were informative to someone already familiar with the product but would not survive a skeptical PM's first question.</w:t>
      </w:r>
    </w:p>
    <w:p>
      <w:pPr>
        <w:spacing w:after="100"/>
      </w:pPr>
    </w:p>
    <w:p>
      <w:pPr>
        <w:spacing w:after="120"/>
      </w:pPr>
      <w:r>
        <w:rPr>
          <w:rFonts w:ascii="Arial" w:cs="Arial" w:eastAsia="Arial" w:hAnsi="Arial"/>
          <w:sz w:val="22"/>
          <w:szCs w:val="22"/>
        </w:rPr>
        <w:t xml:space="preserve">The lesson: audience and scope constraints are not optional polish — they are the mechanism that forces AI tools to address the right question rather than the easiest one. Removing them produces technically accurate but practically useless output for high-stakes communication tasks.</w:t>
      </w:r>
    </w:p>
    <w:p>
      <w:pPr>
        <w:spacing w:after="100"/>
      </w:pPr>
    </w:p>
    <w:p>
      <w:pPr>
        <w:pBdr>
          <w:bottom w:val="single" w:color="CCCCCC" w:sz="4"/>
        </w:pBdr>
        <w:spacing w:after="80" w:before="80"/>
      </w:pPr>
    </w:p>
    <w:p>
      <w:pPr>
        <w:pStyle w:val="Heading1"/>
        <w:spacing w:after="100" w:before="320"/>
      </w:pPr>
      <w:r>
        <w:rPr>
          <w:rFonts w:ascii="Arial" w:cs="Arial" w:eastAsia="Arial" w:hAnsi="Arial"/>
          <w:b/>
          <w:bCs/>
          <w:color w:val="1F3864"/>
          <w:sz w:val="28"/>
          <w:szCs w:val="28"/>
        </w:rPr>
        <w:t xml:space="preserve">Part 2 — The Edge Case Finder</w:t>
      </w:r>
    </w:p>
    <w:p>
      <w:pPr>
        <w:spacing w:after="120"/>
      </w:pPr>
      <w:r>
        <w:rPr>
          <w:rFonts w:ascii="Arial" w:cs="Arial" w:eastAsia="Arial" w:hAnsi="Arial"/>
          <w:sz w:val="22"/>
          <w:szCs w:val="22"/>
        </w:rPr>
        <w:t xml:space="preserve">The same base prompt was modified three times to stress-test how the tools handle ambiguity, conflicting constraints, and potential hallucination territory. Each modification targets a different failure mode. The results are documented below.</w:t>
      </w:r>
    </w:p>
    <w:p>
      <w:pPr>
        <w:spacing w:after="100"/>
      </w:pPr>
    </w:p>
    <w:p>
      <w:pPr>
        <w:pStyle w:val="Heading2"/>
        <w:spacing w:after="80" w:before="220"/>
      </w:pPr>
      <w:r>
        <w:rPr>
          <w:rFonts w:ascii="Arial" w:cs="Arial" w:eastAsia="Arial" w:hAnsi="Arial"/>
          <w:b/>
          <w:bCs/>
          <w:color w:val="2E5090"/>
          <w:sz w:val="24"/>
          <w:szCs w:val="24"/>
        </w:rPr>
        <w:t xml:space="preserve">Edge Case 1 — Ambiguous Audience</w:t>
      </w:r>
    </w:p>
    <w:p>
      <w:pPr>
        <w:pStyle w:val="Heading3"/>
        <w:spacing w:after="60" w:before="160"/>
      </w:pPr>
      <w:r>
        <w:rPr>
          <w:rFonts w:ascii="Arial" w:cs="Arial" w:eastAsia="Arial" w:hAnsi="Arial"/>
          <w:b/>
          <w:bCs/>
          <w:color w:val="444444"/>
          <w:sz w:val="22"/>
          <w:szCs w:val="22"/>
        </w:rPr>
        <w:t xml:space="preserve">Modified prompt addition:</w:t>
      </w:r>
    </w:p>
    <w:p>
      <w:pPr>
        <w:pBdr>
          <w:left w:val="single" w:color="2E5090" w:sz="12"/>
        </w:pBdr>
        <w:shd w:fill="F4F6FB"/>
        <w:spacing w:after="160" w:before="80"/>
        <w:ind w:left="360"/>
      </w:pPr>
      <w:r>
        <w:rPr>
          <w:rFonts w:ascii="Arial" w:cs="Arial" w:eastAsia="Arial" w:hAnsi="Arial"/>
          <w:i/>
          <w:iCs/>
          <w:color w:val="333333"/>
          <w:sz w:val="21"/>
          <w:szCs w:val="21"/>
        </w:rPr>
        <w:t xml:space="preserve">Explain this to someone who may or may not have experience with institutional investment management. Assume nothing about their background.</w:t>
      </w:r>
    </w:p>
    <w:p>
      <w:pPr>
        <w:spacing w:after="120"/>
      </w:pPr>
      <w:r>
        <w:rPr>
          <w:rFonts w:ascii="Arial" w:cs="Arial" w:eastAsia="Arial" w:hAnsi="Arial"/>
          <w:sz w:val="22"/>
          <w:szCs w:val="22"/>
        </w:rPr>
        <w:t xml:space="preserve">This creates a genuine tension: the base prompt specified a technically literate PM. The modified prompt requires the response to work for both a domain expert and a complete outsider simultaneously — which is nearly impossible to do well.</w:t>
      </w:r>
    </w:p>
    <w:p>
      <w:pPr>
        <w:spacing w:after="100"/>
      </w:pPr>
    </w:p>
    <w:p>
      <w:pPr>
        <w:pStyle w:val="Heading2"/>
        <w:spacing w:after="80" w:before="220"/>
      </w:pPr>
      <w:r>
        <w:rPr>
          <w:rFonts w:ascii="Arial" w:cs="Arial" w:eastAsia="Arial" w:hAnsi="Arial"/>
          <w:b/>
          <w:bCs/>
          <w:color w:val="2E5090"/>
          <w:sz w:val="24"/>
          <w:szCs w:val="24"/>
        </w:rPr>
        <w:t xml:space="preserve">Edge Case 2 — Conflicting Constraints</w:t>
      </w:r>
    </w:p>
    <w:p>
      <w:pPr>
        <w:pStyle w:val="Heading3"/>
        <w:spacing w:after="60" w:before="160"/>
      </w:pPr>
      <w:r>
        <w:rPr>
          <w:rFonts w:ascii="Arial" w:cs="Arial" w:eastAsia="Arial" w:hAnsi="Arial"/>
          <w:b/>
          <w:bCs/>
          <w:color w:val="444444"/>
          <w:sz w:val="22"/>
          <w:szCs w:val="22"/>
        </w:rPr>
        <w:t xml:space="preserve">Modified prompt addition:</w:t>
      </w:r>
    </w:p>
    <w:p>
      <w:pPr>
        <w:pBdr>
          <w:left w:val="single" w:color="2E5090" w:sz="12"/>
        </w:pBdr>
        <w:shd w:fill="F4F6FB"/>
        <w:spacing w:after="160" w:before="80"/>
        <w:ind w:left="360"/>
      </w:pPr>
      <w:r>
        <w:rPr>
          <w:rFonts w:ascii="Arial" w:cs="Arial" w:eastAsia="Arial" w:hAnsi="Arial"/>
          <w:i/>
          <w:iCs/>
          <w:color w:val="333333"/>
          <w:sz w:val="21"/>
          <w:szCs w:val="21"/>
        </w:rPr>
        <w:t xml:space="preserve">Be brief but thorough. Cover every important detail but keep it under 150 words.</w:t>
      </w:r>
    </w:p>
    <w:p>
      <w:pPr>
        <w:spacing w:after="120"/>
      </w:pPr>
      <w:r>
        <w:rPr>
          <w:rFonts w:ascii="Arial" w:cs="Arial" w:eastAsia="Arial" w:hAnsi="Arial"/>
          <w:sz w:val="22"/>
          <w:szCs w:val="22"/>
        </w:rPr>
        <w:t xml:space="preserve">The three-stage pipeline with human handoff points, confidence levels, and override logic cannot be explained thoroughly in 150 words. This tests whether the tool acknowledges the conflict or silently compromises one constraint.</w:t>
      </w:r>
    </w:p>
    <w:p>
      <w:pPr>
        <w:spacing w:after="100"/>
      </w:pPr>
    </w:p>
    <w:p>
      <w:pPr>
        <w:pStyle w:val="Heading2"/>
        <w:spacing w:after="80" w:before="220"/>
      </w:pPr>
      <w:r>
        <w:rPr>
          <w:rFonts w:ascii="Arial" w:cs="Arial" w:eastAsia="Arial" w:hAnsi="Arial"/>
          <w:b/>
          <w:bCs/>
          <w:color w:val="2E5090"/>
          <w:sz w:val="24"/>
          <w:szCs w:val="24"/>
        </w:rPr>
        <w:t xml:space="preserve">Edge Case 3 — Hallucination Territory</w:t>
      </w:r>
    </w:p>
    <w:p>
      <w:pPr>
        <w:pStyle w:val="Heading3"/>
        <w:spacing w:after="60" w:before="160"/>
      </w:pPr>
      <w:r>
        <w:rPr>
          <w:rFonts w:ascii="Arial" w:cs="Arial" w:eastAsia="Arial" w:hAnsi="Arial"/>
          <w:b/>
          <w:bCs/>
          <w:color w:val="444444"/>
          <w:sz w:val="22"/>
          <w:szCs w:val="22"/>
        </w:rPr>
        <w:t xml:space="preserve">Modified prompt addition:</w:t>
      </w:r>
    </w:p>
    <w:p>
      <w:pPr>
        <w:pBdr>
          <w:left w:val="single" w:color="2E5090" w:sz="12"/>
        </w:pBdr>
        <w:shd w:fill="F4F6FB"/>
        <w:spacing w:after="160" w:before="80"/>
        <w:ind w:left="360"/>
      </w:pPr>
      <w:r>
        <w:rPr>
          <w:rFonts w:ascii="Arial" w:cs="Arial" w:eastAsia="Arial" w:hAnsi="Arial"/>
          <w:i/>
          <w:iCs/>
          <w:color w:val="333333"/>
          <w:sz w:val="21"/>
          <w:szCs w:val="21"/>
        </w:rPr>
        <w:t xml:space="preserve">Also explain how Premia integrates with the latest version of LangGraph (0.2.x) and what specific features of that release it uses for the multi-agent coordination layer.</w:t>
      </w:r>
    </w:p>
    <w:p>
      <w:pPr>
        <w:spacing w:after="120"/>
      </w:pPr>
      <w:r>
        <w:rPr>
          <w:rFonts w:ascii="Arial" w:cs="Arial" w:eastAsia="Arial" w:hAnsi="Arial"/>
          <w:sz w:val="22"/>
          <w:szCs w:val="22"/>
        </w:rPr>
        <w:t xml:space="preserve">Premia's LangGraph integration exists conceptually in the architecture but has not been built or publicly documented. LangGraph 0.2.x version-specific features are a moving target. This tests whether the tools fabricate specific version details or acknowledge the limits of their knowledge.</w:t>
      </w:r>
    </w:p>
    <w:p>
      <w:pPr>
        <w:spacing w:after="100"/>
      </w:pPr>
    </w:p>
    <w:p>
      <w:pPr>
        <w:pStyle w:val="Heading2"/>
        <w:spacing w:after="80" w:before="220"/>
      </w:pPr>
      <w:r>
        <w:rPr>
          <w:rFonts w:ascii="Arial" w:cs="Arial" w:eastAsia="Arial" w:hAnsi="Arial"/>
          <w:b/>
          <w:bCs/>
          <w:color w:val="2E5090"/>
          <w:sz w:val="24"/>
          <w:szCs w:val="24"/>
        </w:rPr>
        <w:t xml:space="preserve">Edge Case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shd w:fill="1F3864" w:val="solid"/>
          </w:tcPr>
          <w:p>
            <w:pPr>
              <w:jc w:val="center"/>
            </w:pPr>
            <w:r>
              <w:rPr>
                <w:rFonts w:ascii="Arial" w:cs="Arial" w:eastAsia="Arial" w:hAnsi="Arial"/>
                <w:b/>
                <w:bCs/>
                <w:color w:val="FFFFFF"/>
                <w:sz w:val="20"/>
                <w:szCs w:val="20"/>
              </w:rPr>
              <w:t xml:space="preserve">Edge case</w:t>
            </w:r>
          </w:p>
        </w:tc>
        <w:tc>
          <w:tcPr>
            <w:tcW w:type="dxa" w:w="3580"/>
            <w:shd w:fill="1F3864" w:val="solid"/>
          </w:tcPr>
          <w:p>
            <w:pPr>
              <w:jc w:val="center"/>
            </w:pPr>
            <w:r>
              <w:rPr>
                <w:rFonts w:ascii="Arial" w:cs="Arial" w:eastAsia="Arial" w:hAnsi="Arial"/>
                <w:b/>
                <w:bCs/>
                <w:color w:val="FFFFFF"/>
                <w:sz w:val="20"/>
                <w:szCs w:val="20"/>
              </w:rPr>
              <w:t xml:space="preserve">Claude Sonnet 4.5</w:t>
            </w:r>
          </w:p>
        </w:tc>
        <w:tc>
          <w:tcPr>
            <w:tcW w:type="dxa" w:w="3580"/>
            <w:shd w:fill="1F3864" w:val="solid"/>
          </w:tcPr>
          <w:p>
            <w:pPr>
              <w:jc w:val="center"/>
            </w:pPr>
            <w:r>
              <w:rPr>
                <w:rFonts w:ascii="Arial" w:cs="Arial" w:eastAsia="Arial" w:hAnsi="Arial"/>
                <w:b/>
                <w:bCs/>
                <w:color w:val="FFFFFF"/>
                <w:sz w:val="20"/>
                <w:szCs w:val="20"/>
              </w:rPr>
              <w:t xml:space="preserve">ChatGPT-4o</w:t>
            </w:r>
          </w:p>
        </w:tc>
      </w:tr>
      <w:tr>
        <w:tc>
          <w:tcPr>
            <w:tcW w:type="dxa" w:w="2200"/>
            <w:shd w:fill="F0F3FA" w:val="solid"/>
            <w:vAlign w:val="top"/>
          </w:tcPr>
          <w:p>
            <w:pPr>
              <w:spacing w:after="60"/>
            </w:pPr>
            <w:r>
              <w:rPr>
                <w:rFonts w:ascii="Arial" w:cs="Arial" w:eastAsia="Arial" w:hAnsi="Arial"/>
                <w:sz w:val="20"/>
                <w:szCs w:val="20"/>
              </w:rPr>
              <w:t xml:space="preserve">Ambiguous audience
(may or may not have investment experience)</w:t>
            </w:r>
          </w:p>
        </w:tc>
        <w:tc>
          <w:tcPr>
            <w:tcW w:type="dxa" w:w="3580"/>
            <w:shd w:fill="F0FBF5" w:val="solid"/>
            <w:vAlign w:val="top"/>
          </w:tcPr>
          <w:p>
            <w:pPr>
              <w:spacing w:after="60"/>
            </w:pPr>
            <w:r>
              <w:rPr>
                <w:rFonts w:ascii="Arial" w:cs="Arial" w:eastAsia="Arial" w:hAnsi="Arial"/>
                <w:sz w:val="20"/>
                <w:szCs w:val="20"/>
              </w:rPr>
              <w:t xml:space="preserve">Attempted to serve both audiences by defining terms in parentheses while maintaining the professional framing. Example: 'KPIs (the specific metrics the analyst uses to track whether their investment thesis is on track).' The explanation remained coherent for both audiences, though the parenthetical approach added length. Acknowledged at the end that the explanation could be simplified further if needed.</w:t>
            </w:r>
          </w:p>
        </w:tc>
        <w:tc>
          <w:tcPr>
            <w:tcW w:type="dxa" w:w="3580"/>
            <w:shd w:fill="FFF8F0" w:val="solid"/>
            <w:vAlign w:val="top"/>
          </w:tcPr>
          <w:p>
            <w:pPr>
              <w:spacing w:after="60"/>
            </w:pPr>
            <w:r>
              <w:rPr>
                <w:rFonts w:ascii="Arial" w:cs="Arial" w:eastAsia="Arial" w:hAnsi="Arial"/>
                <w:sz w:val="20"/>
                <w:szCs w:val="20"/>
              </w:rPr>
              <w:t xml:space="preserve">Defaulted to the non-expert audience and lost the technical precision the PM audience requires. Replaced 'thesis classification' with 'investment recommendation status' — a less accurate term. Did not offer to adjust. The response would not serve a technically literate PM despite the PM being the primary audience specified in the base prompt.</w:t>
            </w:r>
          </w:p>
        </w:tc>
      </w:tr>
      <w:tr>
        <w:tc>
          <w:tcPr>
            <w:tcW w:type="dxa" w:w="2200"/>
            <w:shd w:fill="F8F8F8" w:val="solid"/>
            <w:vAlign w:val="top"/>
          </w:tcPr>
          <w:p>
            <w:pPr>
              <w:spacing w:after="60"/>
            </w:pPr>
            <w:r>
              <w:rPr>
                <w:rFonts w:ascii="Arial" w:cs="Arial" w:eastAsia="Arial" w:hAnsi="Arial"/>
                <w:sz w:val="20"/>
                <w:szCs w:val="20"/>
              </w:rPr>
              <w:t xml:space="preserve">Conflicting constraints
(brief but thorough, under 150 words)</w:t>
            </w:r>
          </w:p>
        </w:tc>
        <w:tc>
          <w:tcPr>
            <w:tcW w:type="dxa" w:w="3580"/>
            <w:shd w:fill="FAFFFE" w:val="solid"/>
            <w:vAlign w:val="top"/>
          </w:tcPr>
          <w:p>
            <w:pPr>
              <w:spacing w:after="60"/>
            </w:pPr>
            <w:r>
              <w:rPr>
                <w:rFonts w:ascii="Arial" w:cs="Arial" w:eastAsia="Arial" w:hAnsi="Arial"/>
                <w:sz w:val="20"/>
                <w:szCs w:val="20"/>
              </w:rPr>
              <w:t xml:space="preserve">Explicitly acknowledged the conflict: 'A thorough explanation of the three-stage pipeline with all handoff points will exceed 150 words. I can provide a 150-word version that covers the structure but omits the detail on human override logic, or a complete version. Which do you prefer?' Waited for direction rather than silently compromising.</w:t>
            </w:r>
          </w:p>
        </w:tc>
        <w:tc>
          <w:tcPr>
            <w:tcW w:type="dxa" w:w="3580"/>
            <w:shd w:fill="FFFCF8" w:val="solid"/>
            <w:vAlign w:val="top"/>
          </w:tcPr>
          <w:p>
            <w:pPr>
              <w:spacing w:after="60"/>
            </w:pPr>
            <w:r>
              <w:rPr>
                <w:rFonts w:ascii="Arial" w:cs="Arial" w:eastAsia="Arial" w:hAnsi="Arial"/>
                <w:sz w:val="20"/>
                <w:szCs w:val="20"/>
              </w:rPr>
              <w:t xml:space="preserve">Produced a 148-word response that met the word count by removing the human handoff detail entirely — the most important content for the target audience. Did not acknowledge the trade-off. The response was brief and technically inaccurate for the stated purpose.</w:t>
            </w:r>
          </w:p>
        </w:tc>
      </w:tr>
      <w:tr>
        <w:tc>
          <w:tcPr>
            <w:tcW w:type="dxa" w:w="2200"/>
            <w:shd w:fill="F0F3FA" w:val="solid"/>
            <w:vAlign w:val="top"/>
          </w:tcPr>
          <w:p>
            <w:pPr>
              <w:spacing w:after="60"/>
            </w:pPr>
            <w:r>
              <w:rPr>
                <w:rFonts w:ascii="Arial" w:cs="Arial" w:eastAsia="Arial" w:hAnsi="Arial"/>
                <w:sz w:val="20"/>
                <w:szCs w:val="20"/>
              </w:rPr>
              <w:t xml:space="preserve">Hallucination territory
(LangGraph 0.2.x specific features)</w:t>
            </w:r>
          </w:p>
        </w:tc>
        <w:tc>
          <w:tcPr>
            <w:tcW w:type="dxa" w:w="3580"/>
            <w:shd w:fill="F0FBF5" w:val="solid"/>
            <w:vAlign w:val="top"/>
          </w:tcPr>
          <w:p>
            <w:pPr>
              <w:spacing w:after="60"/>
            </w:pPr>
            <w:r>
              <w:rPr>
                <w:rFonts w:ascii="Arial" w:cs="Arial" w:eastAsia="Arial" w:hAnsi="Arial"/>
                <w:sz w:val="20"/>
                <w:szCs w:val="20"/>
              </w:rPr>
              <w:t xml:space="preserve">Provided a general description of how LangGraph supports multi-agent coordination, then explicitly flagged: 'I do not have reliable information about LangGraph 0.2.x-specific features. LangGraph releases frequently and my training data may not reflect the current API. I would recommend checking the LangGraph documentation directly for version-specific details rather than relying on my description.' Did not fabricate version numbers or feature names.</w:t>
            </w:r>
          </w:p>
        </w:tc>
        <w:tc>
          <w:tcPr>
            <w:tcW w:type="dxa" w:w="3580"/>
            <w:shd w:fill="FFF8F0" w:val="solid"/>
            <w:vAlign w:val="top"/>
          </w:tcPr>
          <w:p>
            <w:pPr>
              <w:spacing w:after="60"/>
            </w:pPr>
            <w:r>
              <w:rPr>
                <w:rFonts w:ascii="Arial" w:cs="Arial" w:eastAsia="Arial" w:hAnsi="Arial"/>
                <w:sz w:val="20"/>
                <w:szCs w:val="20"/>
              </w:rPr>
              <w:t xml:space="preserve">Produced a confident description of 'LangGraph 0.2.x features' including specific API names (StateGraph, CompiledGraph, checkpoint persistence) presented as version 0.2.x features. These are real LangGraph concepts but their association with version 0.2.x specifically was not verified. The response read as authoritative but contained unverifiable version-specific claims — a hallucination pattern.</w:t>
            </w:r>
          </w:p>
        </w:tc>
      </w:tr>
    </w:tbl>
    <w:p>
      <w:pPr>
        <w:spacing w:after="100"/>
      </w:pPr>
    </w:p>
    <w:p>
      <w:pPr>
        <w:spacing w:after="100"/>
      </w:pPr>
    </w:p>
    <w:p>
      <w:pPr>
        <w:pStyle w:val="Heading2"/>
        <w:spacing w:after="80" w:before="220"/>
      </w:pPr>
      <w:r>
        <w:rPr>
          <w:rFonts w:ascii="Arial" w:cs="Arial" w:eastAsia="Arial" w:hAnsi="Arial"/>
          <w:b/>
          <w:bCs/>
          <w:color w:val="2E5090"/>
          <w:sz w:val="24"/>
          <w:szCs w:val="24"/>
        </w:rPr>
        <w:t xml:space="preserve">Edge Case Analysis</w:t>
      </w:r>
    </w:p>
    <w:p>
      <w:pPr>
        <w:spacing w:after="120"/>
      </w:pPr>
      <w:r>
        <w:rPr>
          <w:rFonts w:ascii="Arial" w:cs="Arial" w:eastAsia="Arial" w:hAnsi="Arial"/>
          <w:sz w:val="22"/>
          <w:szCs w:val="22"/>
        </w:rPr>
        <w:t xml:space="preserve">Graceful degradation comparison: Claude degraded more gracefully on all three edge cases. The pattern is consistent — when constraints conflict or knowledge is uncertain, Claude surfaced the problem and offered options rather than silently resolving it in whatever direction required least effort.</w:t>
      </w:r>
    </w:p>
    <w:p>
      <w:pPr>
        <w:spacing w:after="100"/>
      </w:pPr>
    </w:p>
    <w:p>
      <w:pPr>
        <w:spacing w:after="120"/>
      </w:pPr>
      <w:r>
        <w:rPr>
          <w:rFonts w:ascii="Arial" w:cs="Arial" w:eastAsia="Arial" w:hAnsi="Arial"/>
          <w:sz w:val="22"/>
          <w:szCs w:val="22"/>
        </w:rPr>
        <w:t xml:space="preserve">The hallucination edge case is the most important finding for Premia's build. ChatGPT produced confident, plausible-sounding version-specific API details that cannot be verified. In a production context where a developer reads that response and codes against the stated API names without checking the documentation, the result is broken code that fails at runtime. The failure is silent — the response looks authoritative. This is exactly the hallucination pattern the Module 1 evaluation framework is designed to catch.</w:t>
      </w:r>
    </w:p>
    <w:p>
      <w:pPr>
        <w:spacing w:after="100"/>
      </w:pPr>
    </w:p>
    <w:p>
      <w:pPr>
        <w:spacing w:after="120"/>
      </w:pPr>
      <w:r>
        <w:rPr>
          <w:rFonts w:ascii="Arial" w:cs="Arial" w:eastAsia="Arial" w:hAnsi="Arial"/>
          <w:sz w:val="22"/>
          <w:szCs w:val="22"/>
        </w:rPr>
        <w:t xml:space="preserve">The ambiguous audience edge case reveals a structural difference in how the tools handle underspecified prompts. ChatGPT defaulted to the simpler interpretation. Claude attempted to serve both audiences and offered to adjust. For Premia's agent design, this maps to a real design question: when a prompt to an agent is underspecified, should the agent make the simplest assumption and proceed, or ask for clarification? The answer depends on the stakes. For a thesis classification that influences portfolio decisions, asking is the right choice. For a KPI extraction that is immediately reviewed by an analyst, proceeding with a flag is acceptable.</w:t>
      </w:r>
    </w:p>
    <w:p>
      <w:pPr>
        <w:spacing w:after="100"/>
      </w:pPr>
    </w:p>
    <w:p>
      <w:pPr>
        <w:spacing w:after="120"/>
      </w:pPr>
      <w:r>
        <w:rPr>
          <w:rFonts w:ascii="Arial" w:cs="Arial" w:eastAsia="Arial" w:hAnsi="Arial"/>
          <w:sz w:val="22"/>
          <w:szCs w:val="22"/>
        </w:rPr>
        <w:t xml:space="preserve">The conflicting constraints edge case produced the clearest lesson: an AI tool that silently sacrifices accuracy to meet a format constraint is more dangerous than one that acknowledges the conflict. ChatGPT's 148-word response looked complete but had removed the most important content. A reader who did not know what was missing would not know to ask for it. Claude's explicit acknowledgment of the trade-off gave the user control over which constraint to relax.</w:t>
      </w:r>
    </w:p>
    <w:p>
      <w:pPr>
        <w:spacing w:after="100"/>
      </w:pPr>
    </w:p>
    <w:p>
      <w:pPr>
        <w:pBdr>
          <w:bottom w:val="single" w:color="CCCCCC" w:sz="4"/>
        </w:pBdr>
        <w:spacing w:after="80" w:before="80"/>
      </w:pPr>
    </w:p>
    <w:p>
      <w:pPr>
        <w:spacing w:after="80"/>
      </w:pPr>
      <w:r>
        <w:rPr>
          <w:rFonts w:ascii="Arial" w:cs="Arial" w:eastAsia="Arial" w:hAnsi="Arial"/>
          <w:i/>
          <w:iCs/>
          <w:color w:val="888888"/>
          <w:sz w:val="18"/>
          <w:szCs w:val="18"/>
        </w:rPr>
        <w:t xml:space="preserve">Combined word count: approximately 1,400 words. Head-to-head comparison and three edge cases completed with full evaluation grids and analysis.</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00"/>
    </w:pPr>
    <w:r>
      <w:rPr>
        <w:rFonts w:ascii="Arial" w:cs="Arial" w:eastAsia="Arial" w:hAnsi="Arial"/>
        <w:color w:val="888888"/>
        <w:sz w:val="18"/>
        <w:szCs w:val="18"/>
      </w:rPr>
      <w:t xml:space="preserve">Kathy Matosli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pBdr>
      <w:spacing w:after="100"/>
    </w:pPr>
    <w:r>
      <w:rPr>
        <w:rFonts w:ascii="Arial" w:cs="Arial" w:eastAsia="Arial" w:hAnsi="Arial"/>
        <w:color w:val="666666"/>
        <w:sz w:val="18"/>
        <w:szCs w:val="18"/>
      </w:rPr>
      <w:t xml:space="preserve">Module 1 — AI Fundamentals  |  Head-to-Head Evaluation &amp; Edge Case Finder  |  Applied to Premia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20"/>
      <w:outlineLvl w:val="1"/>
    </w:pPr>
    <w:rPr>
      <w:rFonts w:ascii="Arial" w:cs="Arial" w:eastAsia="Arial" w:hAnsi="Arial"/>
      <w:b/>
      <w:bCs/>
      <w:color w:val="2E5090"/>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2026-04-18T03:40:11.376Z</dcterms:created>
  <dcterms:modified xsi:type="dcterms:W3CDTF">2026-04-18T03:40:11.377Z</dcterms:modified>
</cp:coreProperties>
</file>

<file path=docProps/custom.xml><?xml version="1.0" encoding="utf-8"?>
<Properties xmlns="http://schemas.openxmlformats.org/officeDocument/2006/custom-properties" xmlns:vt="http://schemas.openxmlformats.org/officeDocument/2006/docPropsVTypes"/>
</file>