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4"/>
          <w:szCs w:val="44"/>
        </w:rPr>
        <w:t xml:space="preserve">Module 1 — AI Fundamentals &amp; Orientation</w:t>
      </w:r>
    </w:p>
    <w:p>
      <w:pPr>
        <w:spacing w:after="80"/>
      </w:pPr>
      <w:r>
        <w:rPr>
          <w:rFonts w:ascii="Arial" w:cs="Arial" w:eastAsia="Arial" w:hAnsi="Arial"/>
          <w:i/>
          <w:iCs/>
          <w:color w:val="2E5090"/>
          <w:sz w:val="28"/>
          <w:szCs w:val="28"/>
        </w:rPr>
        <w:t xml:space="preserve">End-of-Module Assessment: AI Tool Evaluation Report</w:t>
      </w:r>
    </w:p>
    <w:p>
      <w:pPr>
        <w:spacing w:after="320"/>
      </w:pPr>
      <w:r>
        <w:rPr>
          <w:rFonts w:ascii="Arial" w:cs="Arial" w:eastAsia="Arial" w:hAnsi="Arial"/>
          <w:color w:val="888888"/>
          <w:sz w:val="22"/>
          <w:szCs w:val="22"/>
        </w:rPr>
        <w:t xml:space="preserve">Applied to Premia — Analyst Workbench for Institutional Asset Management</w:t>
      </w:r>
    </w:p>
    <w:p>
      <w:pPr>
        <w:pBdr>
          <w:bottom w:val="single" w:color="CCCCCC" w:sz="4"/>
        </w:pBdr>
        <w:spacing w:after="80" w:before="80"/>
      </w:pPr>
    </w:p>
    <w:p>
      <w:pPr>
        <w:pStyle w:val="Heading1"/>
        <w:spacing w:after="120" w:before="320"/>
      </w:pPr>
      <w:r>
        <w:rPr>
          <w:rFonts w:ascii="Arial" w:cs="Arial" w:eastAsia="Arial" w:hAnsi="Arial"/>
          <w:b/>
          <w:bCs/>
          <w:color w:val="1F3864"/>
          <w:sz w:val="32"/>
          <w:szCs w:val="32"/>
        </w:rPr>
        <w:t xml:space="preserve">1. Task Selection</w:t>
      </w:r>
    </w:p>
    <w:p>
      <w:pPr>
        <w:spacing w:after="120"/>
      </w:pPr>
      <w:r>
        <w:rPr>
          <w:rFonts w:ascii="Arial" w:cs="Arial" w:eastAsia="Arial" w:hAnsi="Arial"/>
          <w:sz w:val="22"/>
          <w:szCs w:val="22"/>
        </w:rPr>
        <w:t xml:space="preserve">Task: Given a post-earnings call transcript excerpt for a covered equity position, identify whether the investment thesis should be maintained, modified, or closed — and state the primary reason for that recommendation.</w:t>
      </w:r>
    </w:p>
    <w:p>
      <w:pPr>
        <w:spacing w:after="120"/>
      </w:pPr>
    </w:p>
    <w:p>
      <w:pPr>
        <w:spacing w:after="120"/>
      </w:pPr>
      <w:r>
        <w:rPr>
          <w:rFonts w:ascii="Arial" w:cs="Arial" w:eastAsia="Arial" w:hAnsi="Arial"/>
          <w:sz w:val="22"/>
          <w:szCs w:val="22"/>
        </w:rPr>
        <w:t xml:space="preserve">Why this task: This is the core decision the Premia Analyst Workbench is built to support. Every quarter, after an earnings call, an analyst must classify the thesis status and communicate a recommended action to the portfolio manager. Currently this happens informally, with no documented criteria and no consistency between analysts. Premia formalizes it as a structured workflow with a classification output: maintain, modify, or close.</w:t>
      </w:r>
    </w:p>
    <w:p>
      <w:pPr>
        <w:spacing w:after="120"/>
      </w:pPr>
    </w:p>
    <w:p>
      <w:pPr>
        <w:spacing w:after="120"/>
      </w:pPr>
      <w:r>
        <w:rPr>
          <w:rFonts w:ascii="Arial" w:cs="Arial" w:eastAsia="Arial" w:hAnsi="Arial"/>
          <w:sz w:val="22"/>
          <w:szCs w:val="22"/>
        </w:rPr>
        <w:t xml:space="preserve">Evaluating AI tools on this task is directly useful for product design. If a general-purpose AI tool can produce a reliable thesis status classification from a transcript excerpt, it validates the feasibility of the extraction agents in the Premia architecture. If it cannot — if it hallucinates, oversimplifies, or misses load-bearing signals — that defines the gap the specialized agent layer needs to close.</w:t>
      </w:r>
    </w:p>
    <w:p>
      <w:pPr>
        <w:spacing w:after="120"/>
      </w:pPr>
    </w:p>
    <w:p>
      <w:pPr>
        <w:spacing w:after="120"/>
      </w:pPr>
      <w:r>
        <w:rPr>
          <w:rFonts w:ascii="Arial" w:cs="Arial" w:eastAsia="Arial" w:hAnsi="Arial"/>
          <w:sz w:val="22"/>
          <w:szCs w:val="22"/>
        </w:rPr>
        <w:t xml:space="preserve">The task is also inherently verifiable. Unlike open-ended creative tasks, a thesis status classification can be checked against domain knowledge. A claim that guidance was 'maintained' when the transcript clearly shows a 15% downward revision is a verifiable error, not a matter of interpretation.</w:t>
      </w:r>
    </w:p>
    <w:p>
      <w:pPr>
        <w:pStyle w:val="Heading1"/>
        <w:spacing w:after="120" w:before="320"/>
      </w:pPr>
      <w:r>
        <w:rPr>
          <w:rFonts w:ascii="Arial" w:cs="Arial" w:eastAsia="Arial" w:hAnsi="Arial"/>
          <w:b/>
          <w:bCs/>
          <w:color w:val="1F3864"/>
          <w:sz w:val="32"/>
          <w:szCs w:val="32"/>
        </w:rPr>
        <w:t xml:space="preserve">2. Tools Used</w:t>
      </w:r>
    </w:p>
    <w:p>
      <w:pPr>
        <w:spacing w:after="120"/>
      </w:pPr>
      <w:r>
        <w:rPr>
          <w:rFonts w:ascii="Arial" w:cs="Arial" w:eastAsia="Arial" w:hAnsi="Arial"/>
          <w:b/>
          <w:bCs/>
          <w:sz w:val="22"/>
          <w:szCs w:val="22"/>
        </w:rPr>
        <w:t xml:space="preserve">Tool 1: </w:t>
      </w:r>
      <w:r>
        <w:rPr>
          <w:rFonts w:ascii="Arial" w:cs="Arial" w:eastAsia="Arial" w:hAnsi="Arial"/>
          <w:sz w:val="22"/>
          <w:szCs w:val="22"/>
        </w:rPr>
        <w:t xml:space="preserve">Claude Sonnet 4.5 (Anthropic) — accessed via claude.ai Pro tier.</w:t>
      </w:r>
    </w:p>
    <w:p>
      <w:pPr>
        <w:spacing w:after="120"/>
      </w:pPr>
      <w:r>
        <w:rPr>
          <w:rFonts w:ascii="Arial" w:cs="Arial" w:eastAsia="Arial" w:hAnsi="Arial"/>
          <w:b/>
          <w:bCs/>
          <w:sz w:val="22"/>
          <w:szCs w:val="22"/>
        </w:rPr>
        <w:t xml:space="preserve">Tool 2: </w:t>
      </w:r>
      <w:r>
        <w:rPr>
          <w:rFonts w:ascii="Arial" w:cs="Arial" w:eastAsia="Arial" w:hAnsi="Arial"/>
          <w:sz w:val="22"/>
          <w:szCs w:val="22"/>
        </w:rPr>
        <w:t xml:space="preserve">ChatGPT-4o (OpenAI) — accessed via ChatGPT Plus subscription.</w:t>
      </w:r>
    </w:p>
    <w:p>
      <w:pPr>
        <w:spacing w:after="120"/>
      </w:pPr>
      <w:r>
        <w:rPr>
          <w:rFonts w:ascii="Arial" w:cs="Arial" w:eastAsia="Arial" w:hAnsi="Arial"/>
          <w:b/>
          <w:bCs/>
          <w:sz w:val="22"/>
          <w:szCs w:val="22"/>
        </w:rPr>
        <w:t xml:space="preserve">Tool 3: </w:t>
      </w:r>
      <w:r>
        <w:rPr>
          <w:rFonts w:ascii="Arial" w:cs="Arial" w:eastAsia="Arial" w:hAnsi="Arial"/>
          <w:sz w:val="22"/>
          <w:szCs w:val="22"/>
        </w:rPr>
        <w:t xml:space="preserve">Gemini 1.5 Pro (Google) — accessed via Gemini Advanced.</w:t>
      </w:r>
    </w:p>
    <w:p>
      <w:pPr>
        <w:spacing w:after="120"/>
      </w:pPr>
    </w:p>
    <w:p>
      <w:pPr>
        <w:spacing w:after="120"/>
      </w:pPr>
      <w:r>
        <w:rPr>
          <w:rFonts w:ascii="Arial" w:cs="Arial" w:eastAsia="Arial" w:hAnsi="Arial"/>
          <w:sz w:val="22"/>
          <w:szCs w:val="22"/>
        </w:rPr>
        <w:t xml:space="preserve">All three are frontier general-purpose large language models available to professional users. None are finance-specific fine-tuned models. This matters for the evaluation: the task requires domain judgment (distinguishing load-bearing KPIs from supporting metrics, assessing guidance materiality) that general-purpose training may or may not have internalized correctly.</w:t>
      </w:r>
    </w:p>
    <w:p>
      <w:pPr>
        <w:pStyle w:val="Heading1"/>
        <w:spacing w:after="120" w:before="320"/>
      </w:pPr>
      <w:r>
        <w:rPr>
          <w:rFonts w:ascii="Arial" w:cs="Arial" w:eastAsia="Arial" w:hAnsi="Arial"/>
          <w:b/>
          <w:bCs/>
          <w:color w:val="1F3864"/>
          <w:sz w:val="32"/>
          <w:szCs w:val="32"/>
        </w:rPr>
        <w:t xml:space="preserve">3. Prompt Design</w:t>
      </w:r>
    </w:p>
    <w:p>
      <w:pPr>
        <w:pStyle w:val="Heading2"/>
        <w:spacing w:after="80" w:before="240"/>
      </w:pPr>
      <w:r>
        <w:rPr>
          <w:rFonts w:ascii="Arial" w:cs="Arial" w:eastAsia="Arial" w:hAnsi="Arial"/>
          <w:b/>
          <w:bCs/>
          <w:color w:val="2E5090"/>
          <w:sz w:val="26"/>
          <w:szCs w:val="26"/>
        </w:rPr>
        <w:t xml:space="preserve">The prompt — identical across all three tools</w:t>
      </w:r>
    </w:p>
    <w:p>
      <w:pPr>
        <w:pBdr>
          <w:left w:val="single" w:color="2E5090" w:sz="12"/>
        </w:pBdr>
        <w:shd w:fill="F4F4F4"/>
        <w:spacing w:after="120" w:before="120"/>
        <w:ind w:left="360"/>
      </w:pPr>
      <w:r>
        <w:rPr>
          <w:rFonts w:ascii="Arial" w:cs="Arial" w:eastAsia="Arial" w:hAnsi="Arial"/>
          <w:i/>
          <w:iCs/>
          <w:sz w:val="22"/>
          <w:szCs w:val="22"/>
        </w:rPr>
        <w:t xml:space="preserve">You are an equity research analyst reviewing a post-earnings call transcript excerpt. Your job is to classify the investment thesis status for this position and recommend an action.</w:t>
      </w:r>
      <w:r>
        <w:rPr>
          <w:rFonts w:ascii="Arial" w:cs="Arial" w:eastAsia="Arial" w:hAnsi="Arial"/>
          <w:i/>
          <w:iCs/>
          <w:sz w:val="22"/>
          <w:szCs w:val="22"/>
        </w:rPr>
        <w:t xml:space="preserve">
Company: SemiCo Inc. (fictional)
Sector: Semiconductors
Current rating: Buy
Load-bearing KPI: Data center GPU revenue growth (thesis rests on 40%+ YoY growth)
Prior guidance: Revenue $4.2B, gross margin 68%
Transcript excerpt:
"Q3 results came in at $4.1B revenue and gross margin of 65.2%. Data center GPU revenue grew 28% year over year, below our prior guidance of 40%. Management cited supply chain constraints as temporary and guided Q4 revenue to $4.0B with gross margin recovering to 67%. The CFO noted that the supply chain issues are expected to resolve by mid-next-year. On the Q&amp;A, three analysts pressed management on whether the 28% growth rate represents a structural deceleration or a one-quarter anomaly. Management did not provide a direct answer and redirected to the Q4 guide."
Please provide:
1. Thesis status: Maintain / Modify / Close — and the specific reason
2. The one most important signal from the transcript that drove your classification
3. One question you would want answered before finalizing the recommendation
4. Confidence level: High / Medium / Low — and why</w:t>
      </w:r>
    </w:p>
    <w:p>
      <w:pPr>
        <w:spacing w:after="120"/>
      </w:pPr>
    </w:p>
    <w:p>
      <w:pPr>
        <w:pStyle w:val="Heading2"/>
        <w:spacing w:after="80" w:before="240"/>
      </w:pPr>
      <w:r>
        <w:rPr>
          <w:rFonts w:ascii="Arial" w:cs="Arial" w:eastAsia="Arial" w:hAnsi="Arial"/>
          <w:b/>
          <w:bCs/>
          <w:color w:val="2E5090"/>
          <w:sz w:val="26"/>
          <w:szCs w:val="26"/>
        </w:rPr>
        <w:t xml:space="preserve">Why the prompt was structured this way</w:t>
      </w:r>
    </w:p>
    <w:p>
      <w:pPr>
        <w:spacing w:after="120"/>
      </w:pPr>
      <w:r>
        <w:rPr>
          <w:rFonts w:ascii="Arial" w:cs="Arial" w:eastAsia="Arial" w:hAnsi="Arial"/>
          <w:sz w:val="22"/>
          <w:szCs w:val="22"/>
        </w:rPr>
        <w:t xml:space="preserve">Audience: the prompt is written for an AI acting in the role of a domain expert, not a general assistant. The role instruction ('You are an equity research analyst') grounds the response in the relevant professional frame rather than producing a generic summary.</w:t>
      </w:r>
    </w:p>
    <w:p>
      <w:pPr>
        <w:spacing w:after="120"/>
      </w:pPr>
      <w:r>
        <w:rPr>
          <w:rFonts w:ascii="Arial" w:cs="Arial" w:eastAsia="Arial" w:hAnsi="Arial"/>
          <w:sz w:val="22"/>
          <w:szCs w:val="22"/>
        </w:rPr>
        <w:t xml:space="preserve">Format: four numbered outputs are requested to force structure. Without explicit output formatting, AI tools tend to produce discursive prose that buries the classification. Numbered outputs make evaluation of accuracy and completeness straightforward.</w:t>
      </w:r>
    </w:p>
    <w:p>
      <w:pPr>
        <w:spacing w:after="120"/>
      </w:pPr>
      <w:r>
        <w:rPr>
          <w:rFonts w:ascii="Arial" w:cs="Arial" w:eastAsia="Arial" w:hAnsi="Arial"/>
          <w:sz w:val="22"/>
          <w:szCs w:val="22"/>
        </w:rPr>
        <w:t xml:space="preserve">Constraints: the load-bearing KPI is explicitly stated (data center GPU revenue growth, 40%+ threshold). This is intentional — it tests whether the tool uses the provided threshold or generates its own. A tool that ignores the stated threshold and substitutes a different one is making a hallucination-adjacent error.</w:t>
      </w:r>
    </w:p>
    <w:p>
      <w:pPr>
        <w:spacing w:after="120"/>
      </w:pPr>
      <w:r>
        <w:rPr>
          <w:rFonts w:ascii="Arial" w:cs="Arial" w:eastAsia="Arial" w:hAnsi="Arial"/>
          <w:sz w:val="22"/>
          <w:szCs w:val="22"/>
        </w:rPr>
        <w:t xml:space="preserve">Difficulty calibration: the transcript is designed to be genuinely ambiguous. The miss on the load-bearing KPI is clear (28% vs 40% guidance), but management's supply chain explanation is plausible and Q4 guidance is only slightly below prior. A strong response should classify this as Modify, not Close, and should identify the management evasion in Q&amp;A as the most concerning signal — not the revenue miss alone.</w:t>
      </w:r>
    </w:p>
    <w:p>
      <w:pPr>
        <w:pStyle w:val="Heading1"/>
        <w:spacing w:after="120" w:before="320"/>
      </w:pPr>
      <w:r>
        <w:rPr>
          <w:rFonts w:ascii="Arial" w:cs="Arial" w:eastAsia="Arial" w:hAnsi="Arial"/>
          <w:b/>
          <w:bCs/>
          <w:color w:val="1F3864"/>
          <w:sz w:val="32"/>
          <w:szCs w:val="32"/>
        </w:rPr>
        <w:t xml:space="preserve">4. Evaluation</w:t>
      </w:r>
    </w:p>
    <w:p>
      <w:pPr>
        <w:pStyle w:val="Heading2"/>
        <w:spacing w:after="80" w:before="240"/>
      </w:pPr>
      <w:r>
        <w:rPr>
          <w:rFonts w:ascii="Arial" w:cs="Arial" w:eastAsia="Arial" w:hAnsi="Arial"/>
          <w:b/>
          <w:bCs/>
          <w:color w:val="2E5090"/>
          <w:sz w:val="26"/>
          <w:szCs w:val="26"/>
        </w:rPr>
        <w:t xml:space="preserve">Tool 1 — Claude Sonnet 4.5</w:t>
      </w:r>
    </w:p>
    <w:p>
      <w:pPr>
        <w:spacing w:after="120"/>
      </w:pPr>
      <w:r>
        <w:rPr>
          <w:rFonts w:ascii="Arial" w:cs="Arial" w:eastAsia="Arial" w:hAnsi="Arial"/>
          <w:sz w:val="22"/>
          <w:szCs w:val="22"/>
        </w:rPr>
        <w:t xml:space="preserve">Summary of response: Classified as Modify. Identified the load-bearing KPI miss (28% vs 40%) as the primary signal. Flagged management's non-answer in Q&amp;A as the most concerning element — specifically noting that three analyst questions went unanswered and management redirected to Q4 guidance. Confidence: Medium. Follow-up question: whether supply chain constraints are unique to SemiCo or sector-wide.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shd w:fill="1F3864"/>
            <w:vAlign w:val="center"/>
          </w:tcPr>
          <w:p>
            <w:pPr>
              <w:jc w:val="center"/>
            </w:pPr>
            <w:r>
              <w:rPr>
                <w:rFonts w:ascii="Arial" w:cs="Arial" w:eastAsia="Arial" w:hAnsi="Arial"/>
                <w:b/>
                <w:bCs/>
                <w:color w:val="FFFFFF"/>
                <w:sz w:val="20"/>
                <w:szCs w:val="20"/>
              </w:rPr>
              <w:t xml:space="preserve">Dimension</w:t>
            </w:r>
          </w:p>
        </w:tc>
        <w:tc>
          <w:tcPr>
            <w:tcW w:type="dxa" w:w="2000"/>
            <w:shd w:fill="1F3864"/>
            <w:vAlign w:val="center"/>
          </w:tcPr>
          <w:p>
            <w:pPr>
              <w:jc w:val="center"/>
            </w:pPr>
            <w:r>
              <w:rPr>
                <w:rFonts w:ascii="Arial" w:cs="Arial" w:eastAsia="Arial" w:hAnsi="Arial"/>
                <w:b/>
                <w:bCs/>
                <w:color w:val="FFFFFF"/>
                <w:sz w:val="20"/>
                <w:szCs w:val="20"/>
              </w:rPr>
              <w:t xml:space="preserve">Rating</w:t>
            </w:r>
          </w:p>
        </w:tc>
        <w:tc>
          <w:tcPr>
            <w:tcW w:type="dxa" w:w="2000"/>
            <w:shd w:fill="1F3864"/>
            <w:vAlign w:val="center"/>
          </w:tcPr>
          <w:p>
            <w:pPr>
              <w:jc w:val="center"/>
            </w:pPr>
            <w:r>
              <w:rPr>
                <w:rFonts w:ascii="Arial" w:cs="Arial" w:eastAsia="Arial" w:hAnsi="Arial"/>
                <w:b/>
                <w:bCs/>
                <w:color w:val="FFFFFF"/>
                <w:sz w:val="20"/>
                <w:szCs w:val="20"/>
              </w:rPr>
              <w:t xml:space="preserve">Evidence</w:t>
            </w:r>
          </w:p>
        </w:tc>
      </w:tr>
      <w:tr>
        <w:tc>
          <w:tcPr>
            <w:tcW w:type="dxa" w:w="2000"/>
            <w:shd w:fill="FFFFFF"/>
            <w:vAlign w:val="center"/>
          </w:tcPr>
          <w:p>
            <w:pPr>
              <w:spacing w:after="60"/>
            </w:pPr>
            <w:r>
              <w:rPr>
                <w:rFonts w:ascii="Arial" w:cs="Arial" w:eastAsia="Arial" w:hAnsi="Arial"/>
                <w:b/>
                <w:bCs/>
                <w:sz w:val="20"/>
                <w:szCs w:val="20"/>
              </w:rPr>
              <w:t xml:space="preserve">Accuracy</w:t>
            </w:r>
          </w:p>
        </w:tc>
        <w:tc>
          <w:tcPr>
            <w:tcW w:type="dxa" w:w="1800"/>
            <w:shd w:fill="E2F0D9"/>
            <w:vAlign w:val="center"/>
          </w:tcPr>
          <w:p>
            <w:pPr>
              <w:spacing w:after="60"/>
            </w:pPr>
            <w:r>
              <w:rPr>
                <w:rFonts w:ascii="Arial" w:cs="Arial" w:eastAsia="Arial" w:hAnsi="Arial"/>
                <w:b/>
                <w:bCs/>
                <w:sz w:val="20"/>
                <w:szCs w:val="20"/>
              </w:rPr>
              <w:t xml:space="preserve">Strong</w:t>
            </w:r>
          </w:p>
        </w:tc>
        <w:tc>
          <w:tcPr>
            <w:tcW w:type="dxa" w:w="5560"/>
            <w:shd w:fill="FFFFFF"/>
            <w:vAlign w:val="center"/>
          </w:tcPr>
          <w:p>
            <w:pPr>
              <w:spacing w:after="60"/>
            </w:pPr>
            <w:r>
              <w:rPr>
                <w:rFonts w:ascii="Arial" w:cs="Arial" w:eastAsia="Arial" w:hAnsi="Arial"/>
                <w:b w:val="false"/>
                <w:bCs w:val="false"/>
                <w:sz w:val="20"/>
                <w:szCs w:val="20"/>
              </w:rPr>
              <w:t xml:space="preserve">Correctly identified the load-bearing KPI miss at the stated threshold. Did not invent figures. Correctly classified as Modify rather than Close, consistent with the ambiguity built into the transcript.</w:t>
            </w:r>
          </w:p>
        </w:tc>
      </w:tr>
      <w:tr>
        <w:tc>
          <w:tcPr>
            <w:tcW w:type="dxa" w:w="2000"/>
            <w:shd w:fill="FFFFFF"/>
            <w:vAlign w:val="center"/>
          </w:tcPr>
          <w:p>
            <w:pPr>
              <w:spacing w:after="60"/>
            </w:pPr>
            <w:r>
              <w:rPr>
                <w:rFonts w:ascii="Arial" w:cs="Arial" w:eastAsia="Arial" w:hAnsi="Arial"/>
                <w:b/>
                <w:bCs/>
                <w:sz w:val="20"/>
                <w:szCs w:val="20"/>
              </w:rPr>
              <w:t xml:space="preserve">Completeness</w:t>
            </w:r>
          </w:p>
        </w:tc>
        <w:tc>
          <w:tcPr>
            <w:tcW w:type="dxa" w:w="1800"/>
            <w:shd w:fill="E2F0D9"/>
            <w:vAlign w:val="center"/>
          </w:tcPr>
          <w:p>
            <w:pPr>
              <w:spacing w:after="60"/>
            </w:pPr>
            <w:r>
              <w:rPr>
                <w:rFonts w:ascii="Arial" w:cs="Arial" w:eastAsia="Arial" w:hAnsi="Arial"/>
                <w:b/>
                <w:bCs/>
                <w:sz w:val="20"/>
                <w:szCs w:val="20"/>
              </w:rPr>
              <w:t xml:space="preserve">Strong</w:t>
            </w:r>
          </w:p>
        </w:tc>
        <w:tc>
          <w:tcPr>
            <w:tcW w:type="dxa" w:w="5560"/>
            <w:shd w:fill="FFFFFF"/>
            <w:vAlign w:val="center"/>
          </w:tcPr>
          <w:p>
            <w:pPr>
              <w:spacing w:after="60"/>
            </w:pPr>
            <w:r>
              <w:rPr>
                <w:rFonts w:ascii="Arial" w:cs="Arial" w:eastAsia="Arial" w:hAnsi="Arial"/>
                <w:b w:val="false"/>
                <w:bCs w:val="false"/>
                <w:sz w:val="20"/>
                <w:szCs w:val="20"/>
              </w:rPr>
              <w:t xml:space="preserve">All four requested outputs present. Q&amp;A evasion flagged as a distinct signal, not just summarized. Confidence level reasoned from the management credibility evidence.</w:t>
            </w:r>
          </w:p>
        </w:tc>
      </w:tr>
      <w:tr>
        <w:tc>
          <w:tcPr>
            <w:tcW w:type="dxa" w:w="2000"/>
            <w:shd w:fill="FFFFFF"/>
            <w:vAlign w:val="center"/>
          </w:tcPr>
          <w:p>
            <w:pPr>
              <w:spacing w:after="60"/>
            </w:pPr>
            <w:r>
              <w:rPr>
                <w:rFonts w:ascii="Arial" w:cs="Arial" w:eastAsia="Arial" w:hAnsi="Arial"/>
                <w:b/>
                <w:bCs/>
                <w:sz w:val="20"/>
                <w:szCs w:val="20"/>
              </w:rPr>
              <w:t xml:space="preserve">Clarity</w:t>
            </w:r>
          </w:p>
        </w:tc>
        <w:tc>
          <w:tcPr>
            <w:tcW w:type="dxa" w:w="1800"/>
            <w:shd w:fill="E2F0D9"/>
            <w:vAlign w:val="center"/>
          </w:tcPr>
          <w:p>
            <w:pPr>
              <w:spacing w:after="60"/>
            </w:pPr>
            <w:r>
              <w:rPr>
                <w:rFonts w:ascii="Arial" w:cs="Arial" w:eastAsia="Arial" w:hAnsi="Arial"/>
                <w:b/>
                <w:bCs/>
                <w:sz w:val="20"/>
                <w:szCs w:val="20"/>
              </w:rPr>
              <w:t xml:space="preserve">Strong</w:t>
            </w:r>
          </w:p>
        </w:tc>
        <w:tc>
          <w:tcPr>
            <w:tcW w:type="dxa" w:w="5560"/>
            <w:shd w:fill="FFFFFF"/>
            <w:vAlign w:val="center"/>
          </w:tcPr>
          <w:p>
            <w:pPr>
              <w:spacing w:after="60"/>
            </w:pPr>
            <w:r>
              <w:rPr>
                <w:rFonts w:ascii="Arial" w:cs="Arial" w:eastAsia="Arial" w:hAnsi="Arial"/>
                <w:b w:val="false"/>
                <w:bCs w:val="false"/>
                <w:sz w:val="20"/>
                <w:szCs w:val="20"/>
              </w:rPr>
              <w:t xml:space="preserve">Each of the four outputs clearly labeled and distinct. No hedge language that blurs the classification. Medium confidence stated with explicit reasoning.</w:t>
            </w:r>
          </w:p>
        </w:tc>
      </w:tr>
      <w:tr>
        <w:tc>
          <w:tcPr>
            <w:tcW w:type="dxa" w:w="2000"/>
            <w:shd w:fill="FFFFFF"/>
            <w:vAlign w:val="center"/>
          </w:tcPr>
          <w:p>
            <w:pPr>
              <w:spacing w:after="60"/>
            </w:pPr>
            <w:r>
              <w:rPr>
                <w:rFonts w:ascii="Arial" w:cs="Arial" w:eastAsia="Arial" w:hAnsi="Arial"/>
                <w:b/>
                <w:bCs/>
                <w:sz w:val="20"/>
                <w:szCs w:val="20"/>
              </w:rPr>
              <w:t xml:space="preserve">Relevance</w:t>
            </w:r>
          </w:p>
        </w:tc>
        <w:tc>
          <w:tcPr>
            <w:tcW w:type="dxa" w:w="1800"/>
            <w:shd w:fill="E2F0D9"/>
            <w:vAlign w:val="center"/>
          </w:tcPr>
          <w:p>
            <w:pPr>
              <w:spacing w:after="60"/>
            </w:pPr>
            <w:r>
              <w:rPr>
                <w:rFonts w:ascii="Arial" w:cs="Arial" w:eastAsia="Arial" w:hAnsi="Arial"/>
                <w:b/>
                <w:bCs/>
                <w:sz w:val="20"/>
                <w:szCs w:val="20"/>
              </w:rPr>
              <w:t xml:space="preserve">Strong</w:t>
            </w:r>
          </w:p>
        </w:tc>
        <w:tc>
          <w:tcPr>
            <w:tcW w:type="dxa" w:w="5560"/>
            <w:shd w:fill="FFFFFF"/>
            <w:vAlign w:val="center"/>
          </w:tcPr>
          <w:p>
            <w:pPr>
              <w:spacing w:after="60"/>
            </w:pPr>
            <w:r>
              <w:rPr>
                <w:rFonts w:ascii="Arial" w:cs="Arial" w:eastAsia="Arial" w:hAnsi="Arial"/>
                <w:b w:val="false"/>
                <w:bCs w:val="false"/>
                <w:sz w:val="20"/>
                <w:szCs w:val="20"/>
              </w:rPr>
              <w:t xml:space="preserve">Response stayed within the transcript evidence. Did not introduce external information about semiconductor supply chains or generic sector commentary.</w:t>
            </w:r>
          </w:p>
        </w:tc>
      </w:tr>
      <w:tr>
        <w:tc>
          <w:tcPr>
            <w:tcW w:type="dxa" w:w="2000"/>
            <w:shd w:fill="FFFFFF"/>
            <w:vAlign w:val="center"/>
          </w:tcPr>
          <w:p>
            <w:pPr>
              <w:spacing w:after="60"/>
            </w:pPr>
            <w:r>
              <w:rPr>
                <w:rFonts w:ascii="Arial" w:cs="Arial" w:eastAsia="Arial" w:hAnsi="Arial"/>
                <w:b/>
                <w:bCs/>
                <w:sz w:val="20"/>
                <w:szCs w:val="20"/>
              </w:rPr>
              <w:t xml:space="preserve">Depth</w:t>
            </w:r>
          </w:p>
        </w:tc>
        <w:tc>
          <w:tcPr>
            <w:tcW w:type="dxa" w:w="1800"/>
            <w:shd w:fill="E2F0D9"/>
            <w:vAlign w:val="center"/>
          </w:tcPr>
          <w:p>
            <w:pPr>
              <w:spacing w:after="60"/>
            </w:pPr>
            <w:r>
              <w:rPr>
                <w:rFonts w:ascii="Arial" w:cs="Arial" w:eastAsia="Arial" w:hAnsi="Arial"/>
                <w:b/>
                <w:bCs/>
                <w:sz w:val="20"/>
                <w:szCs w:val="20"/>
              </w:rPr>
              <w:t xml:space="preserve">Strong</w:t>
            </w:r>
          </w:p>
        </w:tc>
        <w:tc>
          <w:tcPr>
            <w:tcW w:type="dxa" w:w="5560"/>
            <w:shd w:fill="FFFFFF"/>
            <w:vAlign w:val="center"/>
          </w:tcPr>
          <w:p>
            <w:pPr>
              <w:spacing w:after="60"/>
            </w:pPr>
            <w:r>
              <w:rPr>
                <w:rFonts w:ascii="Arial" w:cs="Arial" w:eastAsia="Arial" w:hAnsi="Arial"/>
                <w:b w:val="false"/>
                <w:bCs w:val="false"/>
                <w:sz w:val="20"/>
                <w:szCs w:val="20"/>
              </w:rPr>
              <w:t xml:space="preserve">The observation that three analysts pressed without getting a direct answer — and that management redirected specifically to Q4 — reflects reading between the lines of the transcript rather than summarizing surface content. This is the signal a senior analyst would identify.</w:t>
            </w:r>
          </w:p>
        </w:tc>
      </w:tr>
    </w:tbl>
    <w:p>
      <w:pPr>
        <w:spacing w:after="120"/>
      </w:pPr>
    </w:p>
    <w:p>
      <w:pPr>
        <w:pStyle w:val="Heading2"/>
        <w:spacing w:after="80" w:before="240"/>
      </w:pPr>
      <w:r>
        <w:rPr>
          <w:rFonts w:ascii="Arial" w:cs="Arial" w:eastAsia="Arial" w:hAnsi="Arial"/>
          <w:b/>
          <w:bCs/>
          <w:color w:val="2E5090"/>
          <w:sz w:val="26"/>
          <w:szCs w:val="26"/>
        </w:rPr>
        <w:t xml:space="preserve">Tool 2 — ChatGPT-4o</w:t>
      </w:r>
    </w:p>
    <w:p>
      <w:pPr>
        <w:spacing w:after="120"/>
      </w:pPr>
      <w:r>
        <w:rPr>
          <w:rFonts w:ascii="Arial" w:cs="Arial" w:eastAsia="Arial" w:hAnsi="Arial"/>
          <w:sz w:val="22"/>
          <w:szCs w:val="22"/>
        </w:rPr>
        <w:t xml:space="preserve">Summary of response: Classified as Maintain. Cited Q4 guidance recovery to 67% gross margin and management's supply chain explanation as the primary signals. Did not reference the stated 40% load-bearing KPI threshold. Follow-up question: 'What is the company's competitive positioning in the data center market?' Confidence: High.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shd w:fill="1F3864"/>
            <w:vAlign w:val="center"/>
          </w:tcPr>
          <w:p>
            <w:pPr>
              <w:jc w:val="center"/>
            </w:pPr>
            <w:r>
              <w:rPr>
                <w:rFonts w:ascii="Arial" w:cs="Arial" w:eastAsia="Arial" w:hAnsi="Arial"/>
                <w:b/>
                <w:bCs/>
                <w:color w:val="FFFFFF"/>
                <w:sz w:val="20"/>
                <w:szCs w:val="20"/>
              </w:rPr>
              <w:t xml:space="preserve">Dimension</w:t>
            </w:r>
          </w:p>
        </w:tc>
        <w:tc>
          <w:tcPr>
            <w:tcW w:type="dxa" w:w="2000"/>
            <w:shd w:fill="1F3864"/>
            <w:vAlign w:val="center"/>
          </w:tcPr>
          <w:p>
            <w:pPr>
              <w:jc w:val="center"/>
            </w:pPr>
            <w:r>
              <w:rPr>
                <w:rFonts w:ascii="Arial" w:cs="Arial" w:eastAsia="Arial" w:hAnsi="Arial"/>
                <w:b/>
                <w:bCs/>
                <w:color w:val="FFFFFF"/>
                <w:sz w:val="20"/>
                <w:szCs w:val="20"/>
              </w:rPr>
              <w:t xml:space="preserve">Rating</w:t>
            </w:r>
          </w:p>
        </w:tc>
        <w:tc>
          <w:tcPr>
            <w:tcW w:type="dxa" w:w="2000"/>
            <w:shd w:fill="1F3864"/>
            <w:vAlign w:val="center"/>
          </w:tcPr>
          <w:p>
            <w:pPr>
              <w:jc w:val="center"/>
            </w:pPr>
            <w:r>
              <w:rPr>
                <w:rFonts w:ascii="Arial" w:cs="Arial" w:eastAsia="Arial" w:hAnsi="Arial"/>
                <w:b/>
                <w:bCs/>
                <w:color w:val="FFFFFF"/>
                <w:sz w:val="20"/>
                <w:szCs w:val="20"/>
              </w:rPr>
              <w:t xml:space="preserve">Evidence</w:t>
            </w:r>
          </w:p>
        </w:tc>
      </w:tr>
      <w:tr>
        <w:tc>
          <w:tcPr>
            <w:tcW w:type="dxa" w:w="2000"/>
            <w:shd w:fill="FFFFFF"/>
            <w:vAlign w:val="center"/>
          </w:tcPr>
          <w:p>
            <w:pPr>
              <w:spacing w:after="60"/>
            </w:pPr>
            <w:r>
              <w:rPr>
                <w:rFonts w:ascii="Arial" w:cs="Arial" w:eastAsia="Arial" w:hAnsi="Arial"/>
                <w:b/>
                <w:bCs/>
                <w:sz w:val="20"/>
                <w:szCs w:val="20"/>
              </w:rPr>
              <w:t xml:space="preserve">Accuracy</w:t>
            </w:r>
          </w:p>
        </w:tc>
        <w:tc>
          <w:tcPr>
            <w:tcW w:type="dxa" w:w="1800"/>
            <w:shd w:fill="FCE4D6"/>
            <w:vAlign w:val="center"/>
          </w:tcPr>
          <w:p>
            <w:pPr>
              <w:spacing w:after="60"/>
            </w:pPr>
            <w:r>
              <w:rPr>
                <w:rFonts w:ascii="Arial" w:cs="Arial" w:eastAsia="Arial" w:hAnsi="Arial"/>
                <w:b/>
                <w:bCs/>
                <w:sz w:val="20"/>
                <w:szCs w:val="20"/>
              </w:rPr>
              <w:t xml:space="preserve">Weak</w:t>
            </w:r>
          </w:p>
        </w:tc>
        <w:tc>
          <w:tcPr>
            <w:tcW w:type="dxa" w:w="5560"/>
            <w:shd w:fill="FFFFFF"/>
            <w:vAlign w:val="center"/>
          </w:tcPr>
          <w:p>
            <w:pPr>
              <w:spacing w:after="60"/>
            </w:pPr>
            <w:r>
              <w:rPr>
                <w:rFonts w:ascii="Arial" w:cs="Arial" w:eastAsia="Arial" w:hAnsi="Arial"/>
                <w:b w:val="false"/>
                <w:bCs w:val="false"/>
                <w:sz w:val="20"/>
                <w:szCs w:val="20"/>
              </w:rPr>
              <w:t xml:space="preserve">Critical error: classified as Maintain despite a clear miss on the explicitly stated load-bearing KPI. The 40% growth threshold was provided in the prompt and ignored. A 28% result against a 40% threshold should have triggered a Modify classification at minimum.</w:t>
            </w:r>
          </w:p>
        </w:tc>
      </w:tr>
      <w:tr>
        <w:tc>
          <w:tcPr>
            <w:tcW w:type="dxa" w:w="2000"/>
            <w:shd w:fill="FFFFFF"/>
            <w:vAlign w:val="center"/>
          </w:tcPr>
          <w:p>
            <w:pPr>
              <w:spacing w:after="60"/>
            </w:pPr>
            <w:r>
              <w:rPr>
                <w:rFonts w:ascii="Arial" w:cs="Arial" w:eastAsia="Arial" w:hAnsi="Arial"/>
                <w:b/>
                <w:bCs/>
                <w:sz w:val="20"/>
                <w:szCs w:val="20"/>
              </w:rPr>
              <w:t xml:space="preserve">Completeness</w:t>
            </w:r>
          </w:p>
        </w:tc>
        <w:tc>
          <w:tcPr>
            <w:tcW w:type="dxa" w:w="1800"/>
            <w:shd w:fill="FFF2CC"/>
            <w:vAlign w:val="center"/>
          </w:tcPr>
          <w:p>
            <w:pPr>
              <w:spacing w:after="60"/>
            </w:pPr>
            <w:r>
              <w:rPr>
                <w:rFonts w:ascii="Arial" w:cs="Arial" w:eastAsia="Arial" w:hAnsi="Arial"/>
                <w:b/>
                <w:bCs/>
                <w:sz w:val="20"/>
                <w:szCs w:val="20"/>
              </w:rPr>
              <w:t xml:space="preserve">Adequate</w:t>
            </w:r>
          </w:p>
        </w:tc>
        <w:tc>
          <w:tcPr>
            <w:tcW w:type="dxa" w:w="5560"/>
            <w:shd w:fill="FFFFFF"/>
            <w:vAlign w:val="center"/>
          </w:tcPr>
          <w:p>
            <w:pPr>
              <w:spacing w:after="60"/>
            </w:pPr>
            <w:r>
              <w:rPr>
                <w:rFonts w:ascii="Arial" w:cs="Arial" w:eastAsia="Arial" w:hAnsi="Arial"/>
                <w:b w:val="false"/>
                <w:bCs w:val="false"/>
                <w:sz w:val="20"/>
                <w:szCs w:val="20"/>
              </w:rPr>
              <w:t xml:space="preserve">All four output fields present. However the primary signal cited (gross margin recovery guidance) is not the load-bearing signal — it is a supporting metric. The most important signal was misidentified.</w:t>
            </w:r>
          </w:p>
        </w:tc>
      </w:tr>
      <w:tr>
        <w:tc>
          <w:tcPr>
            <w:tcW w:type="dxa" w:w="2000"/>
            <w:shd w:fill="FFFFFF"/>
            <w:vAlign w:val="center"/>
          </w:tcPr>
          <w:p>
            <w:pPr>
              <w:spacing w:after="60"/>
            </w:pPr>
            <w:r>
              <w:rPr>
                <w:rFonts w:ascii="Arial" w:cs="Arial" w:eastAsia="Arial" w:hAnsi="Arial"/>
                <w:b/>
                <w:bCs/>
                <w:sz w:val="20"/>
                <w:szCs w:val="20"/>
              </w:rPr>
              <w:t xml:space="preserve">Clarity</w:t>
            </w:r>
          </w:p>
        </w:tc>
        <w:tc>
          <w:tcPr>
            <w:tcW w:type="dxa" w:w="1800"/>
            <w:shd w:fill="FFF2CC"/>
            <w:vAlign w:val="center"/>
          </w:tcPr>
          <w:p>
            <w:pPr>
              <w:spacing w:after="60"/>
            </w:pPr>
            <w:r>
              <w:rPr>
                <w:rFonts w:ascii="Arial" w:cs="Arial" w:eastAsia="Arial" w:hAnsi="Arial"/>
                <w:b/>
                <w:bCs/>
                <w:sz w:val="20"/>
                <w:szCs w:val="20"/>
              </w:rPr>
              <w:t xml:space="preserve">Adequate</w:t>
            </w:r>
          </w:p>
        </w:tc>
        <w:tc>
          <w:tcPr>
            <w:tcW w:type="dxa" w:w="5560"/>
            <w:shd w:fill="FFFFFF"/>
            <w:vAlign w:val="center"/>
          </w:tcPr>
          <w:p>
            <w:pPr>
              <w:spacing w:after="60"/>
            </w:pPr>
            <w:r>
              <w:rPr>
                <w:rFonts w:ascii="Arial" w:cs="Arial" w:eastAsia="Arial" w:hAnsi="Arial"/>
                <w:b w:val="false"/>
                <w:bCs w:val="false"/>
                <w:sz w:val="20"/>
                <w:szCs w:val="20"/>
              </w:rPr>
              <w:t xml:space="preserve">Response is clear and well-structured. The flaw is not in presentation but in the reasoning behind the Maintain classification.</w:t>
            </w:r>
          </w:p>
        </w:tc>
      </w:tr>
      <w:tr>
        <w:tc>
          <w:tcPr>
            <w:tcW w:type="dxa" w:w="2000"/>
            <w:shd w:fill="FFFFFF"/>
            <w:vAlign w:val="center"/>
          </w:tcPr>
          <w:p>
            <w:pPr>
              <w:spacing w:after="60"/>
            </w:pPr>
            <w:r>
              <w:rPr>
                <w:rFonts w:ascii="Arial" w:cs="Arial" w:eastAsia="Arial" w:hAnsi="Arial"/>
                <w:b/>
                <w:bCs/>
                <w:sz w:val="20"/>
                <w:szCs w:val="20"/>
              </w:rPr>
              <w:t xml:space="preserve">Relevance</w:t>
            </w:r>
          </w:p>
        </w:tc>
        <w:tc>
          <w:tcPr>
            <w:tcW w:type="dxa" w:w="1800"/>
            <w:shd w:fill="FCE4D6"/>
            <w:vAlign w:val="center"/>
          </w:tcPr>
          <w:p>
            <w:pPr>
              <w:spacing w:after="60"/>
            </w:pPr>
            <w:r>
              <w:rPr>
                <w:rFonts w:ascii="Arial" w:cs="Arial" w:eastAsia="Arial" w:hAnsi="Arial"/>
                <w:b/>
                <w:bCs/>
                <w:sz w:val="20"/>
                <w:szCs w:val="20"/>
              </w:rPr>
              <w:t xml:space="preserve">Weak</w:t>
            </w:r>
          </w:p>
        </w:tc>
        <w:tc>
          <w:tcPr>
            <w:tcW w:type="dxa" w:w="5560"/>
            <w:shd w:fill="FFFFFF"/>
            <w:vAlign w:val="center"/>
          </w:tcPr>
          <w:p>
            <w:pPr>
              <w:spacing w:after="60"/>
            </w:pPr>
            <w:r>
              <w:rPr>
                <w:rFonts w:ascii="Arial" w:cs="Arial" w:eastAsia="Arial" w:hAnsi="Arial"/>
                <w:b w:val="false"/>
                <w:bCs w:val="false"/>
                <w:sz w:val="20"/>
                <w:szCs w:val="20"/>
              </w:rPr>
              <w:t xml:space="preserve">The follow-up question about competitive positioning introduces an external topic not grounded in the transcript. A relevant follow-up would interrogate the supply chain explanation or the Q&amp;A evasion — both are present in the provided text.</w:t>
            </w:r>
          </w:p>
        </w:tc>
      </w:tr>
      <w:tr>
        <w:tc>
          <w:tcPr>
            <w:tcW w:type="dxa" w:w="2000"/>
            <w:shd w:fill="FFFFFF"/>
            <w:vAlign w:val="center"/>
          </w:tcPr>
          <w:p>
            <w:pPr>
              <w:spacing w:after="60"/>
            </w:pPr>
            <w:r>
              <w:rPr>
                <w:rFonts w:ascii="Arial" w:cs="Arial" w:eastAsia="Arial" w:hAnsi="Arial"/>
                <w:b/>
                <w:bCs/>
                <w:sz w:val="20"/>
                <w:szCs w:val="20"/>
              </w:rPr>
              <w:t xml:space="preserve">Depth</w:t>
            </w:r>
          </w:p>
        </w:tc>
        <w:tc>
          <w:tcPr>
            <w:tcW w:type="dxa" w:w="1800"/>
            <w:shd w:fill="FCE4D6"/>
            <w:vAlign w:val="center"/>
          </w:tcPr>
          <w:p>
            <w:pPr>
              <w:spacing w:after="60"/>
            </w:pPr>
            <w:r>
              <w:rPr>
                <w:rFonts w:ascii="Arial" w:cs="Arial" w:eastAsia="Arial" w:hAnsi="Arial"/>
                <w:b/>
                <w:bCs/>
                <w:sz w:val="20"/>
                <w:szCs w:val="20"/>
              </w:rPr>
              <w:t xml:space="preserve">Weak</w:t>
            </w:r>
          </w:p>
        </w:tc>
        <w:tc>
          <w:tcPr>
            <w:tcW w:type="dxa" w:w="5560"/>
            <w:shd w:fill="FFFFFF"/>
            <w:vAlign w:val="center"/>
          </w:tcPr>
          <w:p>
            <w:pPr>
              <w:spacing w:after="60"/>
            </w:pPr>
            <w:r>
              <w:rPr>
                <w:rFonts w:ascii="Arial" w:cs="Arial" w:eastAsia="Arial" w:hAnsi="Arial"/>
                <w:b w:val="false"/>
                <w:bCs w:val="false"/>
                <w:sz w:val="20"/>
                <w:szCs w:val="20"/>
              </w:rPr>
              <w:t xml:space="preserve">Q&amp;A evasion not mentioned. Management's non-answer to three consecutive analyst questions is the most important qualitative signal in the transcript and was completely missed. High confidence claim is unjustified given the evidence available.</w:t>
            </w:r>
          </w:p>
        </w:tc>
      </w:tr>
    </w:tbl>
    <w:p>
      <w:pPr>
        <w:spacing w:after="120"/>
      </w:pPr>
    </w:p>
    <w:p>
      <w:pPr>
        <w:pStyle w:val="Heading2"/>
        <w:spacing w:after="80" w:before="240"/>
      </w:pPr>
      <w:r>
        <w:rPr>
          <w:rFonts w:ascii="Arial" w:cs="Arial" w:eastAsia="Arial" w:hAnsi="Arial"/>
          <w:b/>
          <w:bCs/>
          <w:color w:val="2E5090"/>
          <w:sz w:val="26"/>
          <w:szCs w:val="26"/>
        </w:rPr>
        <w:t xml:space="preserve">Tool 3 — Gemini 1.5 Pro</w:t>
      </w:r>
    </w:p>
    <w:p>
      <w:pPr>
        <w:spacing w:after="120"/>
      </w:pPr>
      <w:r>
        <w:rPr>
          <w:rFonts w:ascii="Arial" w:cs="Arial" w:eastAsia="Arial" w:hAnsi="Arial"/>
          <w:sz w:val="22"/>
          <w:szCs w:val="22"/>
        </w:rPr>
        <w:t xml:space="preserve">Summary of response: Classified as Modify. Primary signal: revenue miss ($4.1B vs $4.2B) and gross margin compression (65.2% vs 68% prior guidance). Noted management's supply chain explanation as 'unverified.' Follow-up question: whether Q4 guidance reflects achievable targets or is a placeholder. Confidence: Medium.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shd w:fill="1F3864"/>
            <w:vAlign w:val="center"/>
          </w:tcPr>
          <w:p>
            <w:pPr>
              <w:jc w:val="center"/>
            </w:pPr>
            <w:r>
              <w:rPr>
                <w:rFonts w:ascii="Arial" w:cs="Arial" w:eastAsia="Arial" w:hAnsi="Arial"/>
                <w:b/>
                <w:bCs/>
                <w:color w:val="FFFFFF"/>
                <w:sz w:val="20"/>
                <w:szCs w:val="20"/>
              </w:rPr>
              <w:t xml:space="preserve">Dimension</w:t>
            </w:r>
          </w:p>
        </w:tc>
        <w:tc>
          <w:tcPr>
            <w:tcW w:type="dxa" w:w="2000"/>
            <w:shd w:fill="1F3864"/>
            <w:vAlign w:val="center"/>
          </w:tcPr>
          <w:p>
            <w:pPr>
              <w:jc w:val="center"/>
            </w:pPr>
            <w:r>
              <w:rPr>
                <w:rFonts w:ascii="Arial" w:cs="Arial" w:eastAsia="Arial" w:hAnsi="Arial"/>
                <w:b/>
                <w:bCs/>
                <w:color w:val="FFFFFF"/>
                <w:sz w:val="20"/>
                <w:szCs w:val="20"/>
              </w:rPr>
              <w:t xml:space="preserve">Rating</w:t>
            </w:r>
          </w:p>
        </w:tc>
        <w:tc>
          <w:tcPr>
            <w:tcW w:type="dxa" w:w="2000"/>
            <w:shd w:fill="1F3864"/>
            <w:vAlign w:val="center"/>
          </w:tcPr>
          <w:p>
            <w:pPr>
              <w:jc w:val="center"/>
            </w:pPr>
            <w:r>
              <w:rPr>
                <w:rFonts w:ascii="Arial" w:cs="Arial" w:eastAsia="Arial" w:hAnsi="Arial"/>
                <w:b/>
                <w:bCs/>
                <w:color w:val="FFFFFF"/>
                <w:sz w:val="20"/>
                <w:szCs w:val="20"/>
              </w:rPr>
              <w:t xml:space="preserve">Evidence</w:t>
            </w:r>
          </w:p>
        </w:tc>
      </w:tr>
      <w:tr>
        <w:tc>
          <w:tcPr>
            <w:tcW w:type="dxa" w:w="2000"/>
            <w:shd w:fill="FFFFFF"/>
            <w:vAlign w:val="center"/>
          </w:tcPr>
          <w:p>
            <w:pPr>
              <w:spacing w:after="60"/>
            </w:pPr>
            <w:r>
              <w:rPr>
                <w:rFonts w:ascii="Arial" w:cs="Arial" w:eastAsia="Arial" w:hAnsi="Arial"/>
                <w:b/>
                <w:bCs/>
                <w:sz w:val="20"/>
                <w:szCs w:val="20"/>
              </w:rPr>
              <w:t xml:space="preserve">Accuracy</w:t>
            </w:r>
          </w:p>
        </w:tc>
        <w:tc>
          <w:tcPr>
            <w:tcW w:type="dxa" w:w="1800"/>
            <w:shd w:fill="FFF2CC"/>
            <w:vAlign w:val="center"/>
          </w:tcPr>
          <w:p>
            <w:pPr>
              <w:spacing w:after="60"/>
            </w:pPr>
            <w:r>
              <w:rPr>
                <w:rFonts w:ascii="Arial" w:cs="Arial" w:eastAsia="Arial" w:hAnsi="Arial"/>
                <w:b/>
                <w:bCs/>
                <w:sz w:val="20"/>
                <w:szCs w:val="20"/>
              </w:rPr>
              <w:t xml:space="preserve">Adequate</w:t>
            </w:r>
          </w:p>
        </w:tc>
        <w:tc>
          <w:tcPr>
            <w:tcW w:type="dxa" w:w="5560"/>
            <w:shd w:fill="FFFFFF"/>
            <w:vAlign w:val="center"/>
          </w:tcPr>
          <w:p>
            <w:pPr>
              <w:spacing w:after="60"/>
            </w:pPr>
            <w:r>
              <w:rPr>
                <w:rFonts w:ascii="Arial" w:cs="Arial" w:eastAsia="Arial" w:hAnsi="Arial"/>
                <w:b w:val="false"/>
                <w:bCs w:val="false"/>
                <w:sz w:val="20"/>
                <w:szCs w:val="20"/>
              </w:rPr>
              <w:t xml:space="preserve">Modify classification is correct. However the primary signal cited is the revenue miss rather than the load-bearing KPI miss. Revenue was only 2.4% below guide — the load-bearing KPI miss (28% vs 40%) is far more significant and was explicitly stated as the thesis driver.</w:t>
            </w:r>
          </w:p>
        </w:tc>
      </w:tr>
      <w:tr>
        <w:tc>
          <w:tcPr>
            <w:tcW w:type="dxa" w:w="2000"/>
            <w:shd w:fill="FFFFFF"/>
            <w:vAlign w:val="center"/>
          </w:tcPr>
          <w:p>
            <w:pPr>
              <w:spacing w:after="60"/>
            </w:pPr>
            <w:r>
              <w:rPr>
                <w:rFonts w:ascii="Arial" w:cs="Arial" w:eastAsia="Arial" w:hAnsi="Arial"/>
                <w:b/>
                <w:bCs/>
                <w:sz w:val="20"/>
                <w:szCs w:val="20"/>
              </w:rPr>
              <w:t xml:space="preserve">Completeness</w:t>
            </w:r>
          </w:p>
        </w:tc>
        <w:tc>
          <w:tcPr>
            <w:tcW w:type="dxa" w:w="1800"/>
            <w:shd w:fill="FFF2CC"/>
            <w:vAlign w:val="center"/>
          </w:tcPr>
          <w:p>
            <w:pPr>
              <w:spacing w:after="60"/>
            </w:pPr>
            <w:r>
              <w:rPr>
                <w:rFonts w:ascii="Arial" w:cs="Arial" w:eastAsia="Arial" w:hAnsi="Arial"/>
                <w:b/>
                <w:bCs/>
                <w:sz w:val="20"/>
                <w:szCs w:val="20"/>
              </w:rPr>
              <w:t xml:space="preserve">Adequate</w:t>
            </w:r>
          </w:p>
        </w:tc>
        <w:tc>
          <w:tcPr>
            <w:tcW w:type="dxa" w:w="5560"/>
            <w:shd w:fill="FFFFFF"/>
            <w:vAlign w:val="center"/>
          </w:tcPr>
          <w:p>
            <w:pPr>
              <w:spacing w:after="60"/>
            </w:pPr>
            <w:r>
              <w:rPr>
                <w:rFonts w:ascii="Arial" w:cs="Arial" w:eastAsia="Arial" w:hAnsi="Arial"/>
                <w:b w:val="false"/>
                <w:bCs w:val="false"/>
                <w:sz w:val="20"/>
                <w:szCs w:val="20"/>
              </w:rPr>
              <w:t xml:space="preserve">All four outputs present. The Q&amp;A evasion was not identified as a distinct signal, though 'unverified management explanation' gestures toward it.</w:t>
            </w:r>
          </w:p>
        </w:tc>
      </w:tr>
      <w:tr>
        <w:tc>
          <w:tcPr>
            <w:tcW w:type="dxa" w:w="2000"/>
            <w:shd w:fill="FFFFFF"/>
            <w:vAlign w:val="center"/>
          </w:tcPr>
          <w:p>
            <w:pPr>
              <w:spacing w:after="60"/>
            </w:pPr>
            <w:r>
              <w:rPr>
                <w:rFonts w:ascii="Arial" w:cs="Arial" w:eastAsia="Arial" w:hAnsi="Arial"/>
                <w:b/>
                <w:bCs/>
                <w:sz w:val="20"/>
                <w:szCs w:val="20"/>
              </w:rPr>
              <w:t xml:space="preserve">Clarity</w:t>
            </w:r>
          </w:p>
        </w:tc>
        <w:tc>
          <w:tcPr>
            <w:tcW w:type="dxa" w:w="1800"/>
            <w:shd w:fill="E2F0D9"/>
            <w:vAlign w:val="center"/>
          </w:tcPr>
          <w:p>
            <w:pPr>
              <w:spacing w:after="60"/>
            </w:pPr>
            <w:r>
              <w:rPr>
                <w:rFonts w:ascii="Arial" w:cs="Arial" w:eastAsia="Arial" w:hAnsi="Arial"/>
                <w:b/>
                <w:bCs/>
                <w:sz w:val="20"/>
                <w:szCs w:val="20"/>
              </w:rPr>
              <w:t xml:space="preserve">Strong</w:t>
            </w:r>
          </w:p>
        </w:tc>
        <w:tc>
          <w:tcPr>
            <w:tcW w:type="dxa" w:w="5560"/>
            <w:shd w:fill="FFFFFF"/>
            <w:vAlign w:val="center"/>
          </w:tcPr>
          <w:p>
            <w:pPr>
              <w:spacing w:after="60"/>
            </w:pPr>
            <w:r>
              <w:rPr>
                <w:rFonts w:ascii="Arial" w:cs="Arial" w:eastAsia="Arial" w:hAnsi="Arial"/>
                <w:b w:val="false"/>
                <w:bCs w:val="false"/>
                <w:sz w:val="20"/>
                <w:szCs w:val="20"/>
              </w:rPr>
              <w:t xml:space="preserve">Well-organized response. Classification, signal, question, and confidence are clearly separated. Reasoning for Medium confidence is coherent.</w:t>
            </w:r>
          </w:p>
        </w:tc>
      </w:tr>
      <w:tr>
        <w:tc>
          <w:tcPr>
            <w:tcW w:type="dxa" w:w="2000"/>
            <w:shd w:fill="FFFFFF"/>
            <w:vAlign w:val="center"/>
          </w:tcPr>
          <w:p>
            <w:pPr>
              <w:spacing w:after="60"/>
            </w:pPr>
            <w:r>
              <w:rPr>
                <w:rFonts w:ascii="Arial" w:cs="Arial" w:eastAsia="Arial" w:hAnsi="Arial"/>
                <w:b/>
                <w:bCs/>
                <w:sz w:val="20"/>
                <w:szCs w:val="20"/>
              </w:rPr>
              <w:t xml:space="preserve">Relevance</w:t>
            </w:r>
          </w:p>
        </w:tc>
        <w:tc>
          <w:tcPr>
            <w:tcW w:type="dxa" w:w="1800"/>
            <w:shd w:fill="E2F0D9"/>
            <w:vAlign w:val="center"/>
          </w:tcPr>
          <w:p>
            <w:pPr>
              <w:spacing w:after="60"/>
            </w:pPr>
            <w:r>
              <w:rPr>
                <w:rFonts w:ascii="Arial" w:cs="Arial" w:eastAsia="Arial" w:hAnsi="Arial"/>
                <w:b/>
                <w:bCs/>
                <w:sz w:val="20"/>
                <w:szCs w:val="20"/>
              </w:rPr>
              <w:t xml:space="preserve">Strong</w:t>
            </w:r>
          </w:p>
        </w:tc>
        <w:tc>
          <w:tcPr>
            <w:tcW w:type="dxa" w:w="5560"/>
            <w:shd w:fill="FFFFFF"/>
            <w:vAlign w:val="center"/>
          </w:tcPr>
          <w:p>
            <w:pPr>
              <w:spacing w:after="60"/>
            </w:pPr>
            <w:r>
              <w:rPr>
                <w:rFonts w:ascii="Arial" w:cs="Arial" w:eastAsia="Arial" w:hAnsi="Arial"/>
                <w:b w:val="false"/>
                <w:bCs w:val="false"/>
                <w:sz w:val="20"/>
                <w:szCs w:val="20"/>
              </w:rPr>
              <w:t xml:space="preserve">Response stayed within the transcript. Follow-up question about Q4 guidance achievability is grounded in the evidence provided.</w:t>
            </w:r>
          </w:p>
        </w:tc>
      </w:tr>
      <w:tr>
        <w:tc>
          <w:tcPr>
            <w:tcW w:type="dxa" w:w="2000"/>
            <w:shd w:fill="FFFFFF"/>
            <w:vAlign w:val="center"/>
          </w:tcPr>
          <w:p>
            <w:pPr>
              <w:spacing w:after="60"/>
            </w:pPr>
            <w:r>
              <w:rPr>
                <w:rFonts w:ascii="Arial" w:cs="Arial" w:eastAsia="Arial" w:hAnsi="Arial"/>
                <w:b/>
                <w:bCs/>
                <w:sz w:val="20"/>
                <w:szCs w:val="20"/>
              </w:rPr>
              <w:t xml:space="preserve">Depth</w:t>
            </w:r>
          </w:p>
        </w:tc>
        <w:tc>
          <w:tcPr>
            <w:tcW w:type="dxa" w:w="1800"/>
            <w:shd w:fill="FFF2CC"/>
            <w:vAlign w:val="center"/>
          </w:tcPr>
          <w:p>
            <w:pPr>
              <w:spacing w:after="60"/>
            </w:pPr>
            <w:r>
              <w:rPr>
                <w:rFonts w:ascii="Arial" w:cs="Arial" w:eastAsia="Arial" w:hAnsi="Arial"/>
                <w:b/>
                <w:bCs/>
                <w:sz w:val="20"/>
                <w:szCs w:val="20"/>
              </w:rPr>
              <w:t xml:space="preserve">Adequate</w:t>
            </w:r>
          </w:p>
        </w:tc>
        <w:tc>
          <w:tcPr>
            <w:tcW w:type="dxa" w:w="5560"/>
            <w:shd w:fill="FFFFFF"/>
            <w:vAlign w:val="center"/>
          </w:tcPr>
          <w:p>
            <w:pPr>
              <w:spacing w:after="60"/>
            </w:pPr>
            <w:r>
              <w:rPr>
                <w:rFonts w:ascii="Arial" w:cs="Arial" w:eastAsia="Arial" w:hAnsi="Arial"/>
                <w:b w:val="false"/>
                <w:bCs w:val="false"/>
                <w:sz w:val="20"/>
                <w:szCs w:val="20"/>
              </w:rPr>
              <w:t xml:space="preserve">Identified the gross margin compression and the revenue miss but anchored to the less significant signals. Did not explicitly reference the stated 40% load-bearing threshold as the primary frame for evaluation. A senior analyst would lead with the KPI miss, not the revenue miss.</w:t>
            </w:r>
          </w:p>
        </w:tc>
      </w:tr>
    </w:tbl>
    <w:p>
      <w:pPr>
        <w:pStyle w:val="Heading1"/>
        <w:spacing w:after="120" w:before="320"/>
      </w:pPr>
      <w:r>
        <w:rPr>
          <w:rFonts w:ascii="Arial" w:cs="Arial" w:eastAsia="Arial" w:hAnsi="Arial"/>
          <w:b/>
          <w:bCs/>
          <w:color w:val="1F3864"/>
          <w:sz w:val="32"/>
          <w:szCs w:val="32"/>
        </w:rPr>
        <w:t xml:space="preserve">5. Hallucination Check</w:t>
      </w:r>
    </w:p>
    <w:p>
      <w:pPr>
        <w:pStyle w:val="Heading2"/>
        <w:spacing w:after="80" w:before="240"/>
      </w:pPr>
      <w:r>
        <w:rPr>
          <w:rFonts w:ascii="Arial" w:cs="Arial" w:eastAsia="Arial" w:hAnsi="Arial"/>
          <w:b/>
          <w:bCs/>
          <w:color w:val="2E5090"/>
          <w:sz w:val="26"/>
          <w:szCs w:val="26"/>
        </w:rPr>
        <w:t xml:space="preserve">Claims verified as accurate</w:t>
      </w:r>
    </w:p>
    <w:p>
      <w:pPr>
        <w:spacing w:after="120"/>
      </w:pPr>
      <w:r>
        <w:rPr>
          <w:rFonts w:ascii="Arial" w:cs="Arial" w:eastAsia="Arial" w:hAnsi="Arial"/>
          <w:sz w:val="22"/>
          <w:szCs w:val="22"/>
        </w:rPr>
        <w:t xml:space="preserve">All three tools correctly identified that revenue came in at $4.1B against prior guidance of $4.2B — a $100M miss. This is directly verifiable against the transcript text. No tool invented a different figure.</w:t>
      </w:r>
    </w:p>
    <w:p>
      <w:pPr>
        <w:spacing w:after="120"/>
      </w:pPr>
      <w:r>
        <w:rPr>
          <w:rFonts w:ascii="Arial" w:cs="Arial" w:eastAsia="Arial" w:hAnsi="Arial"/>
          <w:sz w:val="22"/>
          <w:szCs w:val="22"/>
        </w:rPr>
        <w:t xml:space="preserve">Claude and Gemini correctly identified that gross margin came in at 65.2% against prior guidance of 68%. Verifiable against the transcript.</w:t>
      </w:r>
    </w:p>
    <w:p>
      <w:pPr>
        <w:spacing w:after="120"/>
      </w:pPr>
    </w:p>
    <w:p>
      <w:pPr>
        <w:pStyle w:val="Heading2"/>
        <w:spacing w:after="80" w:before="240"/>
      </w:pPr>
      <w:r>
        <w:rPr>
          <w:rFonts w:ascii="Arial" w:cs="Arial" w:eastAsia="Arial" w:hAnsi="Arial"/>
          <w:b/>
          <w:bCs/>
          <w:color w:val="2E5090"/>
          <w:sz w:val="26"/>
          <w:szCs w:val="26"/>
        </w:rPr>
        <w:t xml:space="preserve">Claims flagged for verification</w:t>
      </w:r>
    </w:p>
    <w:p>
      <w:pPr>
        <w:spacing w:after="120"/>
      </w:pPr>
      <w:r>
        <w:rPr>
          <w:rFonts w:ascii="Arial" w:cs="Arial" w:eastAsia="Arial" w:hAnsi="Arial"/>
          <w:b/>
          <w:bCs/>
          <w:sz w:val="22"/>
          <w:szCs w:val="22"/>
        </w:rPr>
        <w:t xml:space="preserve">ChatGPT-4o — </w:t>
      </w:r>
      <w:r>
        <w:rPr>
          <w:rFonts w:ascii="Arial" w:cs="Arial" w:eastAsia="Arial" w:hAnsi="Arial"/>
          <w:sz w:val="22"/>
          <w:szCs w:val="22"/>
        </w:rPr>
        <w:t xml:space="preserve">The Maintain classification is not a factual hallucination but a reasoning error: the tool classified the thesis as maintained while ignoring the explicitly provided load-bearing KPI threshold. This is a form of prompt-ignoring rather than hallucination, but it produces an incorrect output. In a production context this would be indistinguishable from a hallucination in its consequences.</w:t>
      </w:r>
    </w:p>
    <w:p>
      <w:pPr>
        <w:spacing w:after="120"/>
      </w:pPr>
      <w:r>
        <w:rPr>
          <w:rFonts w:ascii="Arial" w:cs="Arial" w:eastAsia="Arial" w:hAnsi="Arial"/>
          <w:b/>
          <w:bCs/>
          <w:sz w:val="22"/>
          <w:szCs w:val="22"/>
        </w:rPr>
        <w:t xml:space="preserve">Gemini 1.5 Pro — </w:t>
      </w:r>
      <w:r>
        <w:rPr>
          <w:rFonts w:ascii="Arial" w:cs="Arial" w:eastAsia="Arial" w:hAnsi="Arial"/>
          <w:sz w:val="22"/>
          <w:szCs w:val="22"/>
        </w:rPr>
        <w:t xml:space="preserve">Described the supply chain explanation as 'unverified.' This is technically accurate — the transcript does not independently verify the claim — but it is also trivially true of everything management says on an earnings call. The framing suggests this is a distinctive flag when it is not. Flagged for accuracy: not a hallucination but potentially misleading framing.</w:t>
      </w:r>
    </w:p>
    <w:p>
      <w:pPr>
        <w:spacing w:after="120"/>
      </w:pPr>
    </w:p>
    <w:p>
      <w:pPr>
        <w:pStyle w:val="Heading2"/>
        <w:spacing w:after="80" w:before="240"/>
      </w:pPr>
      <w:r>
        <w:rPr>
          <w:rFonts w:ascii="Arial" w:cs="Arial" w:eastAsia="Arial" w:hAnsi="Arial"/>
          <w:b/>
          <w:bCs/>
          <w:color w:val="2E5090"/>
          <w:sz w:val="26"/>
          <w:szCs w:val="26"/>
        </w:rPr>
        <w:t xml:space="preserve">Suspected hallucinations</w:t>
      </w:r>
    </w:p>
    <w:p>
      <w:pPr>
        <w:spacing w:after="120"/>
      </w:pPr>
      <w:r>
        <w:rPr>
          <w:rFonts w:ascii="Arial" w:cs="Arial" w:eastAsia="Arial" w:hAnsi="Arial"/>
          <w:b/>
          <w:bCs/>
          <w:sz w:val="22"/>
          <w:szCs w:val="22"/>
        </w:rPr>
        <w:t xml:space="preserve">ChatGPT-4o — </w:t>
      </w:r>
      <w:r>
        <w:rPr>
          <w:rFonts w:ascii="Arial" w:cs="Arial" w:eastAsia="Arial" w:hAnsi="Arial"/>
          <w:sz w:val="22"/>
          <w:szCs w:val="22"/>
        </w:rPr>
        <w:t xml:space="preserve">Produced a High confidence rating for a Maintain classification on a name where the load-bearing KPI missed by 12 percentage points. High confidence is not a factual claim but it is a calibration error severe enough to classify as a reasoning hallucination — a confident assertion that contradicts the available evidence.</w:t>
      </w:r>
    </w:p>
    <w:p>
      <w:pPr>
        <w:spacing w:after="120"/>
      </w:pPr>
      <w:r>
        <w:rPr>
          <w:rFonts w:ascii="Arial" w:cs="Arial" w:eastAsia="Arial" w:hAnsi="Arial"/>
          <w:b/>
          <w:bCs/>
          <w:sz w:val="22"/>
          <w:szCs w:val="22"/>
        </w:rPr>
        <w:t xml:space="preserve">All three tools — </w:t>
      </w:r>
      <w:r>
        <w:rPr>
          <w:rFonts w:ascii="Arial" w:cs="Arial" w:eastAsia="Arial" w:hAnsi="Arial"/>
          <w:sz w:val="22"/>
          <w:szCs w:val="22"/>
        </w:rPr>
        <w:t xml:space="preserve">None of the tools identified whether the supply chain constraints cited by management are idiosyncratic to SemiCo or sector-wide. This is the most important follow-up question given the transcript — if the same constraints are affecting competitors, management's explanation is more credible. None of the tools surfaced this. The absence is not a hallucination but it represents the gap between a general-purpose AI response and a domain-expert response.</w:t>
      </w:r>
    </w:p>
    <w:p>
      <w:pPr>
        <w:pStyle w:val="Heading1"/>
        <w:spacing w:after="120" w:before="320"/>
      </w:pPr>
      <w:r>
        <w:rPr>
          <w:rFonts w:ascii="Arial" w:cs="Arial" w:eastAsia="Arial" w:hAnsi="Arial"/>
          <w:b/>
          <w:bCs/>
          <w:color w:val="1F3864"/>
          <w:sz w:val="32"/>
          <w:szCs w:val="32"/>
        </w:rPr>
        <w:t xml:space="preserve">6. Ethics Consideration</w:t>
      </w:r>
    </w:p>
    <w:p>
      <w:pPr>
        <w:spacing w:after="120"/>
      </w:pPr>
      <w:r>
        <w:rPr>
          <w:rFonts w:ascii="Arial" w:cs="Arial" w:eastAsia="Arial" w:hAnsi="Arial"/>
          <w:sz w:val="22"/>
          <w:szCs w:val="22"/>
        </w:rPr>
        <w:t xml:space="preserve">If the AI thesis classification were deployed as part of Premia — meaning the AI output directly influenced a portfolio manager's hold or exit decision — two ethical concerns are material.</w:t>
      </w:r>
    </w:p>
    <w:p>
      <w:pPr>
        <w:spacing w:after="120"/>
      </w:pPr>
    </w:p>
    <w:p>
      <w:pPr>
        <w:spacing w:after="120"/>
      </w:pPr>
      <w:r>
        <w:rPr>
          <w:rFonts w:ascii="Arial" w:cs="Arial" w:eastAsia="Arial" w:hAnsi="Arial"/>
          <w:b/>
          <w:bCs/>
          <w:sz w:val="22"/>
          <w:szCs w:val="22"/>
        </w:rPr>
        <w:t xml:space="preserve">Transparency: </w:t>
      </w:r>
      <w:r>
        <w:rPr>
          <w:rFonts w:ascii="Arial" w:cs="Arial" w:eastAsia="Arial" w:hAnsi="Arial"/>
          <w:sz w:val="22"/>
          <w:szCs w:val="22"/>
        </w:rPr>
        <w:t xml:space="preserve">A PM receiving the AI-generated thesis classification needs to know it is AI-generated, what evidence it was based on, and what the confidence level is and why. The current outputs vary significantly in how they present confidence — Claude provided reasoned confidence, ChatGPT provided overconfident classification, Gemini was appropriately calibrated. If these outputs were surfaced to a PM without provenance, the PM has no way to weight them appropriately. Premia's design addresses this through the decision log and audit trail, but the AI output itself must carry its own provenance — source transcript, model used, date, and explicit confidence reasoning.</w:t>
      </w:r>
    </w:p>
    <w:p>
      <w:pPr>
        <w:spacing w:after="120"/>
      </w:pP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A wrongly maintained thesis costs a portfolio real money. The ChatGPT Maintain classification on a name where the load-bearing KPI missed by 12 percentage points, if acted upon, could keep a fund in a deteriorating position through multiple down quarters. This is not a hypothetical — it is the scenario that motivated Premia's design in the first place. The ethical constraint is that AI classification should be advisory, not decisive. Premia enforces this through the hard checkpoint design: the AI surfaces a suggested thesis verdict, the analyst must confirm or override it, and the decision log records both the AI suggestion and the analyst's final call. The AI output becomes evidence, not authority.</w:t>
      </w:r>
    </w:p>
    <w:p>
      <w:pPr>
        <w:pStyle w:val="Heading1"/>
        <w:spacing w:after="120" w:before="320"/>
      </w:pPr>
      <w:r>
        <w:rPr>
          <w:rFonts w:ascii="Arial" w:cs="Arial" w:eastAsia="Arial" w:hAnsi="Arial"/>
          <w:b/>
          <w:bCs/>
          <w:color w:val="1F3864"/>
          <w:sz w:val="32"/>
          <w:szCs w:val="32"/>
        </w:rPr>
        <w:t xml:space="preserve">7. Conclusion</w:t>
      </w:r>
    </w:p>
    <w:p>
      <w:pPr>
        <w:pStyle w:val="Heading2"/>
        <w:spacing w:after="80" w:before="240"/>
      </w:pPr>
      <w:r>
        <w:rPr>
          <w:rFonts w:ascii="Arial" w:cs="Arial" w:eastAsia="Arial" w:hAnsi="Arial"/>
          <w:b/>
          <w:bCs/>
          <w:color w:val="2E5090"/>
          <w:sz w:val="26"/>
          <w:szCs w:val="26"/>
        </w:rPr>
        <w:t xml:space="preserve">Which tool performed best</w:t>
      </w:r>
    </w:p>
    <w:p>
      <w:pPr>
        <w:spacing w:after="120"/>
      </w:pPr>
      <w:r>
        <w:rPr>
          <w:rFonts w:ascii="Arial" w:cs="Arial" w:eastAsia="Arial" w:hAnsi="Arial"/>
          <w:sz w:val="22"/>
          <w:szCs w:val="22"/>
        </w:rPr>
        <w:t xml:space="preserve">Claude Sonnet 4.5 performed best for this task. It was the only tool to correctly identify the Q&amp;A evasion as a distinct and material signal — which is the highest-signal piece of information in the transcript. It correctly applied the stated load-bearing KPI threshold, produced a calibrated Medium confidence rating with explicit reasoning, and its follow-up question was grounded in the transcript evidence.</w:t>
      </w:r>
    </w:p>
    <w:p>
      <w:pPr>
        <w:spacing w:after="120"/>
      </w:pPr>
      <w:r>
        <w:rPr>
          <w:rFonts w:ascii="Arial" w:cs="Arial" w:eastAsia="Arial" w:hAnsi="Arial"/>
          <w:sz w:val="22"/>
          <w:szCs w:val="22"/>
        </w:rPr>
        <w:t xml:space="preserve">Gemini 1.5 Pro performed adequately. The classification was correct but the reasoning anchored to the wrong signals. It would have produced the same recommendation by different logic, which is acceptable for a one-off use but unreliable as a production component.</w:t>
      </w:r>
    </w:p>
    <w:p>
      <w:pPr>
        <w:spacing w:after="120"/>
      </w:pPr>
      <w:r>
        <w:rPr>
          <w:rFonts w:ascii="Arial" w:cs="Arial" w:eastAsia="Arial" w:hAnsi="Arial"/>
          <w:sz w:val="22"/>
          <w:szCs w:val="22"/>
        </w:rPr>
        <w:t xml:space="preserve">ChatGPT-4o performed poorly on this task. The Maintain classification is a consequential error. In a portfolio context this is not a minor miss — it is the difference between exiting a deteriorating position early and holding through multiple down quarters. The confidence level compounded the error by making the wrong answer look authoritative.</w:t>
      </w:r>
    </w:p>
    <w:p>
      <w:pPr>
        <w:spacing w:after="120"/>
      </w:pPr>
    </w:p>
    <w:p>
      <w:pPr>
        <w:pStyle w:val="Heading2"/>
        <w:spacing w:after="80" w:before="240"/>
      </w:pPr>
      <w:r>
        <w:rPr>
          <w:rFonts w:ascii="Arial" w:cs="Arial" w:eastAsia="Arial" w:hAnsi="Arial"/>
          <w:b/>
          <w:bCs/>
          <w:color w:val="2E5090"/>
          <w:sz w:val="26"/>
          <w:szCs w:val="26"/>
        </w:rPr>
        <w:t xml:space="preserve">What surprised me</w:t>
      </w:r>
    </w:p>
    <w:p>
      <w:pPr>
        <w:spacing w:after="120"/>
      </w:pPr>
      <w:r>
        <w:rPr>
          <w:rFonts w:ascii="Arial" w:cs="Arial" w:eastAsia="Arial" w:hAnsi="Arial"/>
          <w:sz w:val="22"/>
          <w:szCs w:val="22"/>
        </w:rPr>
        <w:t xml:space="preserve">The degree to which the tools differed on a task with an explicit threshold provided in the prompt was surprising. The 40% load-bearing KPI threshold was stated directly. ChatGPT-4o ignored it entirely and substituted its own framing. This is not a knowledge gap — the information was in the prompt. It suggests that even with explicit constraints, some tools selectively attend to different parts of a prompt, which has significant implications for any production use case where thresholds and criteria need to be enforced.</w:t>
      </w:r>
    </w:p>
    <w:p>
      <w:pPr>
        <w:spacing w:after="120"/>
      </w:pPr>
      <w:r>
        <w:rPr>
          <w:rFonts w:ascii="Arial" w:cs="Arial" w:eastAsia="Arial" w:hAnsi="Arial"/>
          <w:sz w:val="22"/>
          <w:szCs w:val="22"/>
        </w:rPr>
        <w:t xml:space="preserve">The Q&amp;A evasion finding was also notable. The management non-answer to three consecutive analyst questions is the kind of signal that an experienced analyst flags immediately — it suggests management knows something they are not saying. Only Claude identified it explicitly. This represents a meaningful gap between what a general-purpose model produces and what a domain-trained or well-prompted specialist model should produce.</w:t>
      </w:r>
    </w:p>
    <w:p>
      <w:pPr>
        <w:spacing w:after="120"/>
      </w:pPr>
    </w:p>
    <w:p>
      <w:pPr>
        <w:pStyle w:val="Heading2"/>
        <w:spacing w:after="80" w:before="240"/>
      </w:pPr>
      <w:r>
        <w:rPr>
          <w:rFonts w:ascii="Arial" w:cs="Arial" w:eastAsia="Arial" w:hAnsi="Arial"/>
          <w:b/>
          <w:bCs/>
          <w:color w:val="2E5090"/>
          <w:sz w:val="26"/>
          <w:szCs w:val="26"/>
        </w:rPr>
        <w:t xml:space="preserve">What I would do differently</w:t>
      </w:r>
    </w:p>
    <w:p>
      <w:pPr>
        <w:spacing w:after="120"/>
      </w:pPr>
      <w:r>
        <w:rPr>
          <w:rFonts w:ascii="Arial" w:cs="Arial" w:eastAsia="Arial" w:hAnsi="Arial"/>
          <w:sz w:val="22"/>
          <w:szCs w:val="22"/>
        </w:rPr>
        <w:t xml:space="preserve">The prompt would benefit from an explicit instruction: 'The load-bearing KPI threshold stated above is the primary classification criterion. Your thesis status must be consistent with whether that threshold was met.' This would test whether explicit instruction-following closes the gap on the ChatGPT error, or whether the error is deeper than prompt structure.</w:t>
      </w:r>
    </w:p>
    <w:p>
      <w:pPr>
        <w:spacing w:after="120"/>
      </w:pPr>
      <w:r>
        <w:rPr>
          <w:rFonts w:ascii="Arial" w:cs="Arial" w:eastAsia="Arial" w:hAnsi="Arial"/>
          <w:sz w:val="22"/>
          <w:szCs w:val="22"/>
        </w:rPr>
        <w:t xml:space="preserve">A second prompt variant would omit the load-bearing KPI entirely and ask the model to identify the most important metric from the transcript on its own. This would reveal whether the tools can perform the more difficult task of identifying load-bearing signals without being told what they are — which is the harder and more realistic scenario in production use.</w:t>
      </w:r>
    </w:p>
    <w:p>
      <w:pPr>
        <w:pBdr>
          <w:bottom w:val="single" w:color="CCCCCC" w:sz="4"/>
        </w:pBdr>
        <w:spacing w:after="80" w:before="80"/>
      </w:pPr>
    </w:p>
    <w:p>
      <w:pPr>
        <w:spacing w:after="80"/>
      </w:pPr>
      <w:r>
        <w:rPr>
          <w:rFonts w:ascii="Arial" w:cs="Arial" w:eastAsia="Arial" w:hAnsi="Arial"/>
          <w:i/>
          <w:iCs/>
          <w:color w:val="888888"/>
          <w:sz w:val="18"/>
          <w:szCs w:val="18"/>
        </w:rPr>
        <w:t xml:space="preserve">Word count: approximately 1,800 words. All seven required sections completed.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right"/>
    </w:pPr>
    <w:r>
      <w:rPr>
        <w:rFonts w:ascii="Arial" w:cs="Arial" w:eastAsia="Arial" w:hAnsi="Arial"/>
        <w:color w:val="888888"/>
        <w:sz w:val="18"/>
        <w:szCs w:val="18"/>
      </w:rPr>
      <w:t xml:space="preserve">Kathy Matosli  —  Premia AI Evaluation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pBdr>
      <w:spacing w:after="120"/>
    </w:pPr>
    <w:r>
      <w:rPr>
        <w:rFonts w:ascii="Arial" w:cs="Arial" w:eastAsia="Arial" w:hAnsi="Arial"/>
        <w:color w:val="666666"/>
        <w:sz w:val="18"/>
        <w:szCs w:val="18"/>
      </w:rPr>
      <w:t xml:space="preserve">Module 1 — AI Fundamentals &amp; Orientation  |  End-of-Module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2026-04-18T02:22:45.715Z</dcterms:created>
  <dcterms:modified xsi:type="dcterms:W3CDTF">2026-04-18T02:22:45.717Z</dcterms:modified>
</cp:coreProperties>
</file>

<file path=docProps/custom.xml><?xml version="1.0" encoding="utf-8"?>
<Properties xmlns="http://schemas.openxmlformats.org/officeDocument/2006/custom-properties" xmlns:vt="http://schemas.openxmlformats.org/officeDocument/2006/docPropsVTypes"/>
</file>