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4"/>
      </w:pPr>
      <w:bookmarkStart w:id="21" w:name="business-location-studies"/>
      <w:bookmarkEnd w:id="21"/>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(Krugman 1997)</w:t>
      </w:r>
      <w:r>
        <w:t xml:space="preserve">. However, some theories of location were developed through the years. First approaches in the stream of classical economy concentrated on industry and agricuture. The earliest theory concerning location is by von Thunen. (…) His model of agricultural land layed (?) foundations for later works. Theory of industrial location made by Weber (…) concentrated on transportation costs of raw materials and final products. According to the theory, entrepreneurs created their industrial sites in places where the cost of transportation was the lowest.</w:t>
      </w:r>
    </w:p>
    <w:p>
      <w:pPr>
        <w:pStyle w:val="BodyText"/>
      </w:pPr>
      <w:r>
        <w:t xml:space="preserve">Later works of Walter Christaller should also be mentioned. He developed a central theory model (…), in which he tried to explain the location of cities and villages across the space. Similar to von Thunen model, a village has one function, that is to create space for exchange of goods produced somewhere else. This assumption was valid in pred- industrial era.</w:t>
      </w:r>
    </w:p>
    <w:p>
      <w:pPr>
        <w:pStyle w:val="BodyText"/>
      </w:pPr>
      <w:r>
        <w:t xml:space="preserve">Hotelling’s linear city model (…) is on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as the competitors. This phenomenon is visible in retail market, especially bars, restaurants and pharmacies (…).</w:t>
      </w:r>
    </w:p>
    <w:p>
      <w:pPr>
        <w:pStyle w:val="BodyText"/>
      </w:pPr>
      <w:r>
        <w:t xml:space="preserve">Hotelling’s theory was then expanded by Salop (…). Main difference was that instead of a strainght line, the street along which businesses competed was a circle with no-end points.</w:t>
      </w:r>
    </w:p>
    <w:p>
      <w:pPr>
        <w:pStyle w:val="BodyText"/>
      </w:pPr>
      <w:r>
        <w:rPr>
          <w:i/>
        </w:rPr>
        <w:t xml:space="preserve">empirycznie czynniki wpływające na industry i retail</w:t>
      </w:r>
    </w:p>
    <w:p>
      <w:pPr>
        <w:pStyle w:val="Heading4"/>
      </w:pPr>
      <w:bookmarkStart w:id="22" w:name="restaurants-location-studies"/>
      <w:bookmarkEnd w:id="22"/>
      <w:r>
        <w:t xml:space="preserve">Restaurants location studies</w:t>
      </w:r>
    </w:p>
    <w:p>
      <w:pPr>
        <w:pStyle w:val="FirstParagraph"/>
      </w:pPr>
      <w:r>
        <w:rPr>
          <w:i/>
        </w:rPr>
        <w:t xml:space="preserve">tutaj cały wstęp teoretyczny</w:t>
      </w:r>
    </w:p>
    <w:p>
      <w:pPr>
        <w:pStyle w:val="BodyText"/>
      </w:pPr>
      <w:r>
        <w:t xml:space="preserve">There is little publically avaliable research on restaurants location. According to Smith, most of the previous research</w:t>
      </w:r>
      <w:r>
        <w:t xml:space="preserve"> </w:t>
      </w:r>
      <w:r>
        <w:rPr>
          <w:i/>
        </w:rPr>
        <w:t xml:space="preserve">… has been done under contract for particular restaurant franchises..</w:t>
      </w:r>
      <w:r>
        <w:t xml:space="preserve">, and thus is unavaliable for academic researchers</w:t>
      </w:r>
      <w:r>
        <w:t xml:space="preserve"> </w:t>
      </w:r>
      <w:r>
        <w:t xml:space="preserve">(Smith 1985)</w:t>
      </w:r>
      <w:r>
        <w:t xml:space="preserve">.</w:t>
      </w:r>
    </w:p>
    <w:p>
      <w:pPr>
        <w:pStyle w:val="BodyText"/>
      </w:pPr>
      <w:r>
        <w:t xml:space="preserve">Retail location theory is particularly broad. …..</w:t>
      </w:r>
    </w:p>
    <w:p>
      <w:pPr>
        <w:pStyle w:val="BodyText"/>
      </w:pPr>
      <w:r>
        <w:t xml:space="preserve">There are 2 main streams of restaruants locations studies.</w:t>
      </w:r>
      <w:r>
        <w:t xml:space="preserve"> </w:t>
      </w:r>
      <w:r>
        <w:t xml:space="preserve">One is mainly concentrated on clustering tendencies in restaurants locations. As proven in numerous studies, (…), various spatial phenomena have been shown to cluster well. This is particularly apparent in locations of some bussinesses categories, as shown by (…).</w:t>
      </w:r>
    </w:p>
    <w:p>
      <w:pPr>
        <w:pStyle w:val="BodyText"/>
      </w:pPr>
      <w:r>
        <w:t xml:space="preserve">(Pillsbury 1987)</w:t>
      </w:r>
      <w:r>
        <w:t xml:space="preserve"> </w:t>
      </w:r>
      <w:r>
        <w:t xml:space="preserve">Showed that restaurants locations have high clustering tendency. As claimed,</w:t>
      </w:r>
      <w:r>
        <w:t xml:space="preserve"> </w:t>
      </w:r>
      <w:r>
        <w:rPr>
          <w:i/>
        </w:rPr>
        <w:t xml:space="preserve">Today, virtually no new restaurant is found outside a cluster of its competitors</w:t>
      </w:r>
      <w:r>
        <w:t xml:space="preserve">. Moreover, restaurants clustering criteria used (socio-economics, ambiance and accessibility) were reflected in restaurants locations. Novelty of this study was not to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w:t>
      </w:r>
    </w:p>
    <w:p>
      <w:pPr>
        <w:pStyle w:val="BodyText"/>
      </w:pPr>
      <w:r>
        <w:t xml:space="preserve">(Smith 1985)</w:t>
      </w:r>
      <w:r>
        <w:t xml:space="preserve"> </w:t>
      </w:r>
      <w:r>
        <w:t xml:space="preserve">Claim that some restaurants categories (mostly fast food) are highly clustered. Another finding was that population density is exponentialy related to traffic volume in the area. Higher raffic was also correlated with presence of some types of restaurants.</w:t>
      </w:r>
    </w:p>
    <w:p>
      <w:pPr>
        <w:pStyle w:val="BodyText"/>
      </w:pPr>
      <w:r>
        <w:t xml:space="preserve">(Binkley and Bales 1998)</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p>
    <w:p>
      <w:pPr>
        <w:pStyle w:val="BodyText"/>
      </w:pPr>
      <w:r>
        <w:t xml:space="preserve">(Morland et al. 2002)</w:t>
      </w:r>
      <w:r>
        <w:t xml:space="preserve"> </w:t>
      </w:r>
      <w:r>
        <w:t xml:space="preserve">Examinated location of food stores and services in south-eastern part of the USA. The main concern of this study was to inspect relation between average income in the neighbourhood and racial structure, and location of food stores and restaurants. They found that in lower-income areas avalioability to high-quality food stores is lower. The same was apparent in mostly black neighbourhoods. Also, the quality of restaurants was bound to average income in the areas.</w:t>
      </w:r>
    </w:p>
    <w:p>
      <w:pPr>
        <w:pStyle w:val="BodyText"/>
      </w:pPr>
      <w:r>
        <w:t xml:space="preserve">(Ayatac and Dokmeci 2017)</w:t>
      </w:r>
      <w:r>
        <w:t xml:space="preserve"> </w:t>
      </w:r>
      <w:r>
        <w:t xml:space="preserve">Examinated spatial distribution of restaurants in Istanbul. In this study, data from 1997 and 2013 were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Heading4"/>
      </w:pPr>
      <w:bookmarkStart w:id="23" w:name="estimation-of-complex-spatial-models"/>
      <w:bookmarkEnd w:id="23"/>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 (…)</w:t>
      </w:r>
    </w:p>
    <w:p>
      <w:pPr>
        <w:pStyle w:val="BodyText"/>
      </w:pPr>
      <w:r>
        <w:t xml:space="preserve">Even though studies on spatial regression models are (…), there is a big gap in studies concerning development of spatial classification models. In a canonical book in terms of spatial econometrix, LeSage did not even mention classification task. There are only few publications dedicated to this area. In his study</w:t>
      </w:r>
      <w:r>
        <w:t xml:space="preserve"> </w:t>
      </w:r>
      <w:hyperlink r:id="rId24">
        <w:r>
          <w:rPr>
            <w:rStyle w:val="Hyperlink"/>
          </w:rPr>
          <w:t xml:space="preserve">http://www.cs.sfu.ca/~ester/papers/KDD-2009-SpatialClassification.final.pdf</w:t>
        </w:r>
      </w:hyperlink>
      <w:r>
        <w:t xml:space="preserve"> </w:t>
      </w:r>
      <w:r>
        <w:t xml:space="preserve">(…) developed spatial classification algorithm based on the concept of Voronoi tasselation (…). In his work (</w:t>
      </w:r>
      <w:hyperlink r:id="rId25">
        <w:r>
          <w:rPr>
            <w:rStyle w:val="Hyperlink"/>
          </w:rPr>
          <w:t xml:space="preserve">https://pdfs.semanticscholar.org/c9e1/0cf4006690e6f3a3c05a151515d0c5a8ca6d.pdf</w:t>
        </w:r>
      </w:hyperlink>
      <w:r>
        <w:t xml:space="preserve">) improved decision tree classification algorithm to take into account spatial relations. The main novelty of this study was implementation of this algorithm using GIS software-specific spatial predicates. This was to improve efficiency and velocity of model fitting and predictions. Also, some solutions were proposed to take into account the data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 Second concern is usage of spatial dimension in</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predictors drive particular decision.</w:t>
      </w:r>
    </w:p>
    <w:p>
      <w:pPr>
        <w:pStyle w:val="BodyText"/>
      </w:pPr>
      <w:r>
        <w:t xml:space="preserve">However, because of the fact that complex algorithms cope very well in real-world tasks, efforts are made to create solutions for assesing process of algorithmic decision-making. Another reason for rapid development of Explainable Artificial Intelligence is companies’ need to adjust to European GDPR regulation, specifically right to explanation of algorithm’s decision (</w:t>
      </w:r>
      <w:hyperlink r:id="rId26">
        <w:r>
          <w:rPr>
            <w:rStyle w:val="Hyperlink"/>
          </w:rPr>
          <w:t xml:space="preserve">https://www.privacy-regulation.eu/en/r71.htm</w:t>
        </w:r>
      </w:hyperlink>
      <w:r>
        <w:t xml:space="preserve">). Some of the most important frameworks and algorithms are local interpretable model-agnostic explanations</w:t>
      </w:r>
      <w:r>
        <w:t xml:space="preserve"> </w:t>
      </w:r>
      <w:r>
        <w:t xml:space="preserve">(Ribeiro, Singh, and Guestrin 2016)</w:t>
      </w:r>
      <w:r>
        <w:t xml:space="preserve">, partial dependency plots</w:t>
      </w:r>
      <w:r>
        <w:t xml:space="preserve"> </w:t>
      </w:r>
      <w:r>
        <w:t xml:space="preserve">(Friedman 2001)</w:t>
      </w:r>
      <w:r>
        <w:t xml:space="preserve"> </w:t>
      </w:r>
      <w:r>
        <w:t xml:space="preserve">and model-agnostic variable importance assesment</w:t>
      </w:r>
      <w:r>
        <w:t xml:space="preserve">(Fisher, Rudin, and Dominici 2018)</w:t>
      </w:r>
      <w:r>
        <w:t xml:space="preserve">.</w:t>
      </w:r>
    </w:p>
    <w:p>
      <w:pPr>
        <w:pStyle w:val="BodyText"/>
      </w:pPr>
      <w:r>
        <w:t xml:space="preserve">This trend creates opportunities in research. As new tools are developed, relying only on linear models is getting less reasonable.</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 2015)</w:t>
      </w:r>
      <w:r>
        <w:t xml:space="preserve">.</w:t>
      </w:r>
    </w:p>
    <w:p>
      <w:pPr>
        <w:pStyle w:val="BodyText"/>
      </w:pPr>
      <w:r>
        <w:t xml:space="preserve">Others do , however spatial information is assesed by a primitive method of using geographical coordinates in the model (… lasy?).</w:t>
      </w:r>
    </w:p>
    <w:p>
      <w:pPr>
        <w:pStyle w:val="BodyText"/>
      </w:pPr>
      <w:r>
        <w:t xml:space="preserve">However, the usage of Random Forest for spatial modeling is not widely populated. Various studies were conducted in natural sciences. (…) analyzed the usage of Random Forest in comparison with Multiple Linear Regression for prediction of carbon mapping in Amazon Forest. They showed that using spatial context with Random Forest improved explained variation by 16%.</w:t>
      </w:r>
    </w:p>
    <w:p>
      <w:pPr>
        <w:pStyle w:val="BodyText"/>
      </w:pPr>
      <w:r>
        <w:t xml:space="preserve">Similarly, a (..) study,</w:t>
      </w:r>
      <w:r>
        <w:t xml:space="preserve"> </w:t>
      </w:r>
      <w:r>
        <w:t xml:space="preserve">(Čeh et al. 2018)</w:t>
      </w:r>
      <w:r>
        <w:t xml:space="preserve"> </w:t>
      </w:r>
      <w:r>
        <w:t xml:space="preserve">used Ranom Forest and Multiple Regression for apartaments prices prediction. Using the first method, improvement in prediction measured by R^2 was 0.34. In this study, however, spatial dimension was not taken into account.</w:t>
      </w:r>
      <w:r>
        <w:t xml:space="preserve"> </w:t>
      </w:r>
      <w:r>
        <w:t xml:space="preserve">i</w:t>
      </w:r>
    </w:p>
    <w:p>
      <w:pPr>
        <w:pStyle w:val="Heading4"/>
      </w:pPr>
      <w:bookmarkStart w:id="27" w:name="ogolny-opis-zadania"/>
      <w:bookmarkEnd w:id="27"/>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BodyText"/>
      </w:pPr>
      <w:r>
        <w:t xml:space="preserve">One broad class of assesing importance of variables … is through using modeling.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are usually way more complex.</w:t>
      </w:r>
    </w:p>
    <w:p>
      <w:pPr>
        <w:pStyle w:val="BodyText"/>
      </w:pPr>
      <w:r>
        <w:t xml:space="preserve">Variable importance</w:t>
      </w:r>
    </w:p>
    <w:p>
      <w:pPr>
        <w:pStyle w:val="BodyText"/>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Heading4"/>
      </w:pPr>
      <w:bookmarkStart w:id="28" w:name="opis-3-metod"/>
      <w:bookmarkEnd w:id="28"/>
      <w:r>
        <w:t xml:space="preserve">Opis 3 metod</w:t>
      </w:r>
    </w:p>
    <w:p>
      <w:pPr>
        <w:pStyle w:val="FirstParagraph"/>
      </w:pPr>
      <w:r>
        <w:t xml:space="preserve">In my work I have tried 3 methods to asses whether these predictiors are imporant.</w:t>
      </w:r>
    </w:p>
    <w:p>
      <w:pPr>
        <w:pStyle w:val="BodyText"/>
      </w:pPr>
      <w:r>
        <w:t xml:space="preserve">Random Forest is a long-established model in classification tasks.</w:t>
      </w:r>
      <w:r>
        <w:t xml:space="preserve"> </w:t>
      </w: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I have chosen random forest for two reasons. First, it is a well established model performing well in various prediction tasks (…). Secondly, assesing variable importance is straightforward and model dependent.</w:t>
      </w:r>
    </w:p>
    <w:p>
      <w:pPr>
        <w:pStyle w:val="BodyText"/>
      </w:pPr>
      <w:r>
        <w:t xml:space="preserve">Variable importance in RF models was defined in a introducing publication of this model (…).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I have estimated the model on training data described in section (…). I have used</w:t>
      </w:r>
      <w:r>
        <w:t xml:space="preserve"> </w:t>
      </w:r>
      <w:r>
        <w:rPr>
          <w:i/>
        </w:rPr>
        <w:t xml:space="preserve">caret</w:t>
      </w:r>
      <w:r>
        <w:t xml:space="preserve"> </w:t>
      </w:r>
      <w:r>
        <w:t xml:space="preserve">package as wrapper over randomForest method. In each cross validation phase I have tried different number of predictiors used during each tree fitting. Final accuracy of the model was assesed using AUC criterion, as the target variable is slightly imbalanced (In the training set the share of observations without restaurant is ~67%).</w:t>
      </w:r>
    </w:p>
    <w:p>
      <w:pPr>
        <w:pStyle w:val="BodyText"/>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Heading4"/>
      </w:pPr>
      <w:bookmarkStart w:id="29" w:name="dataset-description"/>
      <w:bookmarkEnd w:id="29"/>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0">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p>
    <w:p>
      <w:pPr>
        <w:pStyle w:val="BodyText"/>
      </w:pP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4"/>
      </w:pPr>
      <w:bookmarkStart w:id="31" w:name="spatial-weights-matrix"/>
      <w:bookmarkEnd w:id="31"/>
      <w:r>
        <w:t xml:space="preserve">Spatial weights matrix</w:t>
      </w:r>
    </w:p>
    <w:p>
      <w:pPr>
        <w:pStyle w:val="FirstParagraph"/>
      </w:pPr>
      <w:r>
        <w:t xml:space="preserve">As join-count analysis on presence of restaurants shows that there exists poistive spatial autocorrelation, spatial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 The reason to include spatial dimension explicitly by adding new variables to the model is due to specification of implementation of modeling algorithms in R software. Aspecially in more advanced models (like Random Forest), adding spatial weights matrix would require rewriting the whole method.</w:t>
      </w:r>
    </w:p>
    <w:p>
      <w:pPr>
        <w:pStyle w:val="Heading4"/>
      </w:pPr>
      <w:bookmarkStart w:id="32" w:name="cross-validation"/>
      <w:bookmarkEnd w:id="32"/>
      <w:r>
        <w:t xml:space="preserve">Cross validation</w:t>
      </w:r>
    </w:p>
    <w:p>
      <w:pPr>
        <w:pStyle w:val="FirstParagraph"/>
      </w:pPr>
      <w:r>
        <w:t xml:space="preserve">Good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The solution was proposed by (…). He suggests that observations chosen to one fold should be densely located to minimise leakage of information from other folds.</w:t>
      </w:r>
    </w:p>
    <w:p>
      <w:pPr>
        <w:pStyle w:val="BodyText"/>
      </w:pPr>
      <w:r>
        <w:t xml:space="preserve">I have used similar approach. I have created (…) folds. To simplify the process of splitting the space, I have used Warsaw’ districts as aggregating units. Each fold consists of 3-4 districts, as shown on map (…)</w:t>
      </w:r>
    </w:p>
    <w:p>
      <w:pPr>
        <w:pStyle w:val="BodyText"/>
      </w:pPr>
      <w:r>
        <w:t xml:space="preserve">The choice of districts to include in one fold was arbitrary, the main criterion was to ensure that folds have similar area and the districts inside share borders with each other.</w:t>
      </w:r>
    </w:p>
    <w:p>
      <w:pPr>
        <w:pStyle w:val="Heading4"/>
      </w:pPr>
      <w:bookmarkStart w:id="33" w:name="dump"/>
      <w:bookmarkEnd w:id="33"/>
      <w:r>
        <w:t xml:space="preserve">Dump</w:t>
      </w:r>
    </w:p>
    <w:p>
      <w:pPr>
        <w:pStyle w:val="FirstParagraph"/>
      </w:pPr>
      <w:r>
        <w:t xml:space="preserve">This process can negatively influence the predictions, but as the grid resolution is good enough, this probably will not have big effect on the results of analysis.</w:t>
      </w:r>
    </w:p>
    <w:p>
      <w:pPr>
        <w:pStyle w:val="BodyText"/>
      </w:pPr>
      <w:r>
        <w:t xml:space="preserve">The way I approached this was through model estimation- more important factor is the one, on which basis one can make best prediction about presence of restaurants.</w:t>
      </w:r>
      <w:r>
        <w:t xml:space="preserve"> </w:t>
      </w:r>
      <w:r>
        <w:t xml:space="preserve">Because of the fact that in most grid cells the number of restaurants was 0 (~67%), I have decided to perform classification rather than regression. The target variable is then presence of at least one restaurant in given area.</w:t>
      </w:r>
    </w:p>
    <w:p>
      <w:pPr>
        <w:pStyle w:val="Heading4"/>
      </w:pPr>
      <w:bookmarkStart w:id="34" w:name="references"/>
      <w:bookmarkEnd w:id="34"/>
      <w:r>
        <w:t xml:space="preserve">References</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Smith, Stephen LJ. 1985. “Location Patterns of Urban Restaurants.”</w:t>
      </w:r>
      <w:r>
        <w:t xml:space="preserve"> </w:t>
      </w:r>
      <w:r>
        <w:rPr>
          <w:i/>
        </w:rPr>
        <w:t xml:space="preserve">Annals of Tourism Research</w:t>
      </w:r>
      <w:r>
        <w:t xml:space="preserve"> </w:t>
      </w:r>
      <w:r>
        <w:t xml:space="preserve">12 (4). Elsevier: 581–602.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6c9a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20f6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cs.sfu.ca/~ester/papers/KDD-2009-SpatialClassification.final.pdf" TargetMode="External" /><Relationship Type="http://schemas.openxmlformats.org/officeDocument/2006/relationships/hyperlink" Id="rId30" Target="https://geo.stat.gov.pl/nsp-2011" TargetMode="External" /><Relationship Type="http://schemas.openxmlformats.org/officeDocument/2006/relationships/hyperlink" Id="rId25" Target="https://pdfs.semanticscholar.org/c9e1/0cf4006690e6f3a3c05a151515d0c5a8ca6d.pdf" TargetMode="External" /><Relationship Type="http://schemas.openxmlformats.org/officeDocument/2006/relationships/hyperlink" Id="rId26" Target="https://www.privacy-regulation.eu/en/r71.htm" TargetMode="External" /></Relationships>
</file>

<file path=word/_rels/footnotes.xml.rels><?xml version="1.0" encoding="UTF-8"?>
<Relationships xmlns="http://schemas.openxmlformats.org/package/2006/relationships"><Relationship Type="http://schemas.openxmlformats.org/officeDocument/2006/relationships/hyperlink" Id="rId24" Target="http://www.cs.sfu.ca/~ester/papers/KDD-2009-SpatialClassification.final.pdf" TargetMode="External" /><Relationship Type="http://schemas.openxmlformats.org/officeDocument/2006/relationships/hyperlink" Id="rId30" Target="https://geo.stat.gov.pl/nsp-2011" TargetMode="External" /><Relationship Type="http://schemas.openxmlformats.org/officeDocument/2006/relationships/hyperlink" Id="rId25" Target="https://pdfs.semanticscholar.org/c9e1/0cf4006690e6f3a3c05a151515d0c5a8ca6d.pdf" TargetMode="External" /><Relationship Type="http://schemas.openxmlformats.org/officeDocument/2006/relationships/hyperlink" Id="rId26" Target="https://www.privacy-regulation.eu/en/r7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2019-04-15T19:46:10Z</dcterms:created>
  <dcterms:modified xsi:type="dcterms:W3CDTF">2019-04-15T19:46:10Z</dcterms:modified>
</cp:coreProperties>
</file>