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AF95D8A" w14:textId="7D5D4CAB" w:rsidR="00B81843" w:rsidRDefault="00B81843" w:rsidP="00B81843">
      <w:pPr>
        <w:pStyle w:val="ListParagraph"/>
        <w:numPr>
          <w:ilvl w:val="0"/>
          <w:numId w:val="2"/>
        </w:numPr>
        <w:rPr>
          <w:b/>
          <w:bCs/>
        </w:rPr>
      </w:pPr>
      <w:r>
        <w:rPr>
          <w:b/>
          <w:bCs/>
        </w:rPr>
        <w:t xml:space="preserve">Transition from rational choice theory to beliefs </w:t>
      </w:r>
    </w:p>
    <w:p w14:paraId="380744D9" w14:textId="4A19A886" w:rsidR="00B81843" w:rsidRDefault="00B81843" w:rsidP="00B81843">
      <w:pPr>
        <w:pStyle w:val="ListParagraph"/>
        <w:numPr>
          <w:ilvl w:val="0"/>
          <w:numId w:val="2"/>
        </w:numPr>
        <w:rPr>
          <w:b/>
          <w:bCs/>
        </w:rPr>
      </w:pPr>
      <w:r>
        <w:rPr>
          <w:b/>
          <w:bCs/>
        </w:rPr>
        <w:t>Then experiences and perceptions</w:t>
      </w:r>
    </w:p>
    <w:p w14:paraId="50D47B46" w14:textId="7678CB0B" w:rsidR="00B81843" w:rsidRDefault="002B382D" w:rsidP="00B81843">
      <w:pPr>
        <w:pStyle w:val="ListParagraph"/>
        <w:numPr>
          <w:ilvl w:val="0"/>
          <w:numId w:val="2"/>
        </w:numPr>
        <w:rPr>
          <w:b/>
          <w:bCs/>
        </w:rPr>
      </w:pPr>
      <w:r>
        <w:rPr>
          <w:b/>
          <w:bCs/>
        </w:rPr>
        <w:t xml:space="preserve">The one </w:t>
      </w:r>
      <w:r w:rsidR="005E333E">
        <w:rPr>
          <w:b/>
          <w:bCs/>
        </w:rPr>
        <w:t>caveat</w:t>
      </w:r>
      <w:r>
        <w:rPr>
          <w:b/>
          <w:bCs/>
        </w:rPr>
        <w:t xml:space="preserve"> to this is correcting their perception might change their opinion, but we don’t see this. This </w:t>
      </w:r>
      <w:r w:rsidR="00DF53D5">
        <w:rPr>
          <w:b/>
          <w:bCs/>
        </w:rPr>
        <w:t xml:space="preserve">probably because </w:t>
      </w:r>
      <w:r w:rsidR="003F38AA">
        <w:rPr>
          <w:b/>
          <w:bCs/>
        </w:rPr>
        <w:t>explains</w:t>
      </w:r>
      <w:r w:rsidR="00B81843">
        <w:rPr>
          <w:b/>
          <w:bCs/>
        </w:rPr>
        <w:t xml:space="preserve"> correcting perceptions does not often work </w:t>
      </w:r>
      <w:r w:rsidR="00DF53D5">
        <w:rPr>
          <w:b/>
          <w:bCs/>
        </w:rPr>
        <w:t>because</w:t>
      </w:r>
      <w:r w:rsidR="00B81843">
        <w:rPr>
          <w:b/>
          <w:bCs/>
        </w:rPr>
        <w:t xml:space="preserve"> the information people are provided are at the national level and this is not where people make their comparisons</w:t>
      </w:r>
    </w:p>
    <w:p w14:paraId="6C492A7D" w14:textId="0FA9D7D2" w:rsidR="00582F06" w:rsidRPr="00B81843" w:rsidRDefault="00582F06" w:rsidP="00B81843">
      <w:pPr>
        <w:pStyle w:val="ListParagraph"/>
        <w:numPr>
          <w:ilvl w:val="0"/>
          <w:numId w:val="2"/>
        </w:numPr>
        <w:rPr>
          <w:b/>
          <w:bCs/>
        </w:rPr>
      </w:pPr>
      <w:r>
        <w:rPr>
          <w:b/>
          <w:bCs/>
        </w:rPr>
        <w:t>Not support for redistribution but redistribution preferences</w:t>
      </w:r>
    </w:p>
    <w:p w14:paraId="14855FB9" w14:textId="0F38A407" w:rsidR="00680AA2" w:rsidRPr="00680AA2" w:rsidRDefault="00680AA2">
      <w:pPr>
        <w:rPr>
          <w:b/>
          <w:bCs/>
        </w:rPr>
      </w:pPr>
      <w:r w:rsidRPr="00680AA2">
        <w:rPr>
          <w:b/>
          <w:bCs/>
        </w:rPr>
        <w:t>Introduction</w:t>
      </w:r>
    </w:p>
    <w:p w14:paraId="12620EA0" w14:textId="1D637020" w:rsidR="001B7D7A" w:rsidRDefault="00181745" w:rsidP="00B02AD4">
      <w:pPr>
        <w:ind w:firstLine="720"/>
      </w:pPr>
      <w:r w:rsidRPr="00E1729D">
        <w:t>Income inequality is on the rise in the western world (Morris &amp; Western, 1999),</w:t>
      </w:r>
      <w:r>
        <w:t xml:space="preserve"> </w:t>
      </w:r>
      <w:r w:rsidR="00CC3DAA">
        <w:t>but</w:t>
      </w:r>
      <w:r w:rsidR="00DA437D">
        <w:t xml:space="preserve"> this trend is not matched by a</w:t>
      </w:r>
      <w:r w:rsidR="00DA437D" w:rsidRPr="00E1729D">
        <w:t xml:space="preserve"> </w:t>
      </w:r>
      <w:r w:rsidR="005A4BCA">
        <w:t xml:space="preserve">conclusive </w:t>
      </w:r>
      <w:r w:rsidR="00DA437D" w:rsidRPr="00E1729D">
        <w:t xml:space="preserve">rise in </w:t>
      </w:r>
      <w:r w:rsidR="00DA437D">
        <w:t>support</w:t>
      </w:r>
      <w:r w:rsidR="00563BE3">
        <w:t xml:space="preserve"> or even concern</w:t>
      </w:r>
      <w:r w:rsidR="00DA437D">
        <w:t xml:space="preserve"> for redistribution. In fact, t</w:t>
      </w:r>
      <w:r w:rsidR="001B7D7A">
        <w:t xml:space="preserve">he </w:t>
      </w:r>
      <w:r w:rsidR="00DA437D">
        <w:t>findings</w:t>
      </w:r>
      <w:r w:rsidR="001B7D7A">
        <w:t xml:space="preserve"> </w:t>
      </w:r>
      <w:r w:rsidR="00CC3DAA">
        <w:t>on</w:t>
      </w:r>
      <w:r w:rsidR="001B7D7A">
        <w:t xml:space="preserve"> the </w:t>
      </w:r>
      <w:r w:rsidR="003E04C8">
        <w:t>link</w:t>
      </w:r>
      <w:r w:rsidR="001B7D7A">
        <w:t xml:space="preserve"> between inequality and redistribution </w:t>
      </w:r>
      <w:r w:rsidR="003E04C8">
        <w:t>are</w:t>
      </w:r>
      <w:r w:rsidR="001B7D7A">
        <w:t xml:space="preserve"> mixed. </w:t>
      </w:r>
      <w:r w:rsidR="00EC0353">
        <w:t>Some studies have established a positive relationship (</w:t>
      </w:r>
      <w:r w:rsidR="00EC0353" w:rsidRPr="00EC0353">
        <w:t>Schmidt-Catran</w:t>
      </w:r>
      <w:r w:rsidR="00EC0353">
        <w:t xml:space="preserve">, 2014; </w:t>
      </w:r>
      <w:r w:rsidR="00EC0353" w:rsidRPr="00EC0353">
        <w:t>Finseraas</w:t>
      </w:r>
      <w:r w:rsidR="00EC0353">
        <w:t xml:space="preserve">, 2009; </w:t>
      </w:r>
      <w:r w:rsidR="00EC0353" w:rsidRPr="00EC0353">
        <w:t>Borge</w:t>
      </w:r>
      <w:r w:rsidR="00EC0353">
        <w:t xml:space="preserve"> &amp; </w:t>
      </w:r>
      <w:r w:rsidR="00EC0353" w:rsidRPr="00EC0353">
        <w:t>Rattsø</w:t>
      </w:r>
      <w:r w:rsidR="00EC0353">
        <w:t>, 2004), others a negative relationship (Dallinger, 2010; Kelly &amp; Enns, 2010</w:t>
      </w:r>
      <w:r w:rsidR="00F04BAA">
        <w:t>), and</w:t>
      </w:r>
      <w:r w:rsidR="00DA437D">
        <w:t>, in a few cases,</w:t>
      </w:r>
      <w:r w:rsidR="00F04BAA">
        <w:t xml:space="preserve"> no relationship (</w:t>
      </w:r>
      <w:r w:rsidR="00F04BAA" w:rsidRPr="00F04BAA">
        <w:t>Lübker</w:t>
      </w:r>
      <w:r w:rsidR="00F04BAA">
        <w:t xml:space="preserve">, 2007; Kenworthy &amp; McCall, 2007). </w:t>
      </w:r>
      <w:r w:rsidR="001B7D7A">
        <w:t xml:space="preserve"> </w:t>
      </w:r>
      <w:r w:rsidR="00DA437D">
        <w:t xml:space="preserve">The premise that support for redistribution will go up when </w:t>
      </w:r>
      <w:r w:rsidR="00140CC8">
        <w:t xml:space="preserve">inequality goes up – or, similarly, countries with higher income inequality will demonstrate more support for redistribution – is rooted in rational theory’s emphasis on material interests and utility maximization. The lack of a clear pattern indicates the limitations of rational thought in explaining how people formulate their redistribution preferences. </w:t>
      </w:r>
      <w:r w:rsidR="00683F3C">
        <w:t xml:space="preserve">This </w:t>
      </w:r>
      <w:r w:rsidR="00F96E84">
        <w:t>lack of explanatory power demands</w:t>
      </w:r>
      <w:r w:rsidR="00683F3C">
        <w:t xml:space="preserve"> consideration of other factors, such as perceptions, beliefs, and experiences.</w:t>
      </w:r>
      <w:r w:rsidR="00F96E84">
        <w:t xml:space="preserve"> </w:t>
      </w:r>
      <w:commentRangeStart w:id="0"/>
      <w:r w:rsidR="00F96E84">
        <w:t xml:space="preserve">Accordingly, the guiding question of the study is: </w:t>
      </w:r>
      <w:r w:rsidR="002A5A01">
        <w:t xml:space="preserve">what factors </w:t>
      </w:r>
      <w:r w:rsidR="00640A0B">
        <w:t xml:space="preserve">influence </w:t>
      </w:r>
      <w:r w:rsidR="00CE134F">
        <w:t>peoples’ attitudes toward income redistribution</w:t>
      </w:r>
      <w:r w:rsidR="0003082C">
        <w:t>?</w:t>
      </w:r>
      <w:r w:rsidR="00F928EE">
        <w:t xml:space="preserve"> A second, related question, is</w:t>
      </w:r>
      <w:r w:rsidR="00B233B3">
        <w:t>: how do people</w:t>
      </w:r>
      <w:r w:rsidR="00BA42F1">
        <w:t xml:space="preserve"> draw conclusions regarding the legitimacy </w:t>
      </w:r>
      <w:r w:rsidR="00AA7E31">
        <w:t>of income inequality</w:t>
      </w:r>
      <w:r w:rsidR="001652D3">
        <w:t xml:space="preserve"> and at what contextual level do </w:t>
      </w:r>
      <w:r w:rsidR="005C2FA4">
        <w:t>these perce</w:t>
      </w:r>
      <w:r w:rsidR="00B62D6D">
        <w:t>ptions primarily form</w:t>
      </w:r>
      <w:commentRangeEnd w:id="0"/>
      <w:r w:rsidR="009172F5">
        <w:rPr>
          <w:rStyle w:val="CommentReference"/>
        </w:rPr>
        <w:commentReference w:id="0"/>
      </w:r>
      <w:r w:rsidR="00D22D3F">
        <w:t>?</w:t>
      </w:r>
    </w:p>
    <w:p w14:paraId="5736D95F" w14:textId="6AE0F612" w:rsidR="00680AA2" w:rsidRPr="002E4DB4" w:rsidRDefault="00042155">
      <w:pPr>
        <w:rPr>
          <w:b/>
          <w:bCs/>
        </w:rPr>
      </w:pPr>
      <w:r>
        <w:rPr>
          <w:b/>
          <w:bCs/>
        </w:rPr>
        <w:t>Alternative explanatory factors: Perception</w:t>
      </w:r>
    </w:p>
    <w:p w14:paraId="0274544C" w14:textId="5D6730A8" w:rsidR="00536B48" w:rsidRDefault="00C42CFE" w:rsidP="00536B48">
      <w:pPr>
        <w:ind w:firstLine="720"/>
      </w:pPr>
      <w:r w:rsidRPr="00C42CFE">
        <w:t xml:space="preserve">The initial hypothesis for the lack of increased support for redistribution despite rising income inequality was that it was due to citizens misjudging the severity of income inequality. </w:t>
      </w:r>
      <w:r w:rsidR="008D755C">
        <w:t xml:space="preserve">The </w:t>
      </w:r>
      <w:r w:rsidR="00ED21B7">
        <w:t>assumption</w:t>
      </w:r>
      <w:r w:rsidR="008D755C">
        <w:t xml:space="preserve"> was that i</w:t>
      </w:r>
      <w:r w:rsidR="002626BD">
        <w:t xml:space="preserve">f citizens </w:t>
      </w:r>
      <w:r w:rsidR="00A2708E">
        <w:t xml:space="preserve">possessed accurate information on income inequality in their society, they would be more inclined to support redistribution. </w:t>
      </w:r>
      <w:r w:rsidR="006C3347">
        <w:t>While it</w:t>
      </w:r>
      <w:r w:rsidR="001614E8">
        <w:t xml:space="preserve"> has been shown that people </w:t>
      </w:r>
      <w:r w:rsidR="006C3347">
        <w:t xml:space="preserve">do indeed </w:t>
      </w:r>
      <w:r w:rsidR="001614E8">
        <w:t>misperceive the actual levels of inequality in their society</w:t>
      </w:r>
      <w:r w:rsidR="00B81D20">
        <w:t xml:space="preserve"> (</w:t>
      </w:r>
      <w:r w:rsidR="000B31B7">
        <w:t>Osberg and Smeeding, 2006; Kenworthy &amp; McCall, 2007</w:t>
      </w:r>
      <w:r w:rsidR="00B81D20">
        <w:t>)</w:t>
      </w:r>
      <w:r w:rsidR="001614E8">
        <w:t xml:space="preserve">, </w:t>
      </w:r>
      <w:r w:rsidR="00D9647A">
        <w:t xml:space="preserve">the effects of providing accurate information regarding income inequality are inconsistent. </w:t>
      </w:r>
      <w:r w:rsidR="00536B48">
        <w:tab/>
      </w:r>
    </w:p>
    <w:p w14:paraId="614067EA" w14:textId="4F917154" w:rsidR="00B81D20" w:rsidRDefault="006C3347" w:rsidP="00536B48">
      <w:pPr>
        <w:ind w:firstLine="720"/>
      </w:pPr>
      <w:r>
        <w:t>For instance, a</w:t>
      </w:r>
      <w:r w:rsidR="00D9647A" w:rsidRPr="00D9647A">
        <w:t>ccording to Kuziemko et al. (2015), American citizens' concerns about inequality increase when given knowledge on the actual levels of inequality in their society, but their policy preferences are unaffected.</w:t>
      </w:r>
      <w:r w:rsidR="00E67A3A">
        <w:t xml:space="preserve"> </w:t>
      </w:r>
      <w:r w:rsidR="00E67A3A" w:rsidRPr="00E67A3A">
        <w:t>On the other hand,  Cruces et al. (2013) shows people who are poor typically underestimate how much other people make and realizing where they fall in the income distribution makes them more supportive of wealth redistribution.</w:t>
      </w:r>
      <w:r w:rsidR="00E67A3A">
        <w:t xml:space="preserve"> </w:t>
      </w:r>
      <w:r w:rsidR="000601A4">
        <w:t>In addition</w:t>
      </w:r>
      <w:r w:rsidR="00E67A3A">
        <w:t xml:space="preserve">, there is evidence that people’s beliefs regarding income inequality moderate their reaction to information </w:t>
      </w:r>
      <w:r w:rsidR="002C7CE8">
        <w:t>about</w:t>
      </w:r>
      <w:r w:rsidR="00E67A3A">
        <w:t xml:space="preserve"> income inequality, </w:t>
      </w:r>
      <w:r w:rsidR="006D4D11" w:rsidRPr="006D4D11">
        <w:t>with those who view it as legitimate showing less concern</w:t>
      </w:r>
      <w:r w:rsidR="009168A2">
        <w:t>;</w:t>
      </w:r>
      <w:r w:rsidR="00AA1B50">
        <w:t xml:space="preserve"> </w:t>
      </w:r>
      <w:r w:rsidR="009168A2">
        <w:t>t</w:t>
      </w:r>
      <w:r w:rsidR="00AA1B50">
        <w:t xml:space="preserve">his </w:t>
      </w:r>
      <w:r w:rsidR="00F10261">
        <w:t>suggests</w:t>
      </w:r>
      <w:r w:rsidR="00AA1B50">
        <w:t xml:space="preserve"> that providing people </w:t>
      </w:r>
      <w:r w:rsidR="00C176BE">
        <w:t>with</w:t>
      </w:r>
      <w:r w:rsidR="00AA1B50">
        <w:t xml:space="preserve"> accurate information can make them more tolerant of income inequality</w:t>
      </w:r>
      <w:r w:rsidR="00E2581B">
        <w:t xml:space="preserve"> (Trump, 2018)</w:t>
      </w:r>
      <w:r w:rsidR="00E67A3A">
        <w:t xml:space="preserve">.  </w:t>
      </w:r>
      <w:r w:rsidR="005B252C">
        <w:t>If</w:t>
      </w:r>
      <w:r w:rsidR="00AA1B50">
        <w:t xml:space="preserve"> </w:t>
      </w:r>
      <w:r w:rsidR="005B252C">
        <w:t>c</w:t>
      </w:r>
      <w:r w:rsidR="004F5F54">
        <w:t xml:space="preserve">orrecting people’s perceptions of income inequality </w:t>
      </w:r>
      <w:r w:rsidR="00F24BD9">
        <w:t>is not processed in a consist</w:t>
      </w:r>
      <w:r w:rsidR="00867875">
        <w:t xml:space="preserve">ent manner, </w:t>
      </w:r>
      <w:r w:rsidR="002536FC">
        <w:t>one cannot</w:t>
      </w:r>
      <w:r w:rsidR="00B81D20">
        <w:t xml:space="preserve"> account for </w:t>
      </w:r>
      <w:r w:rsidR="002536FC">
        <w:t xml:space="preserve">the absence </w:t>
      </w:r>
      <w:r w:rsidR="00A27907">
        <w:t xml:space="preserve">of an accompanied </w:t>
      </w:r>
      <w:r w:rsidR="00F10261">
        <w:t xml:space="preserve">rise in support for redistribution through </w:t>
      </w:r>
      <w:r w:rsidR="002B1626">
        <w:t>solely</w:t>
      </w:r>
      <w:r w:rsidR="00F10261">
        <w:t xml:space="preserve"> </w:t>
      </w:r>
      <w:r w:rsidR="007908F8">
        <w:t xml:space="preserve">a </w:t>
      </w:r>
      <w:r w:rsidR="00DA2D9A">
        <w:t>cognitive process</w:t>
      </w:r>
      <w:r w:rsidR="00B81D20">
        <w:t>.</w:t>
      </w:r>
    </w:p>
    <w:p w14:paraId="5231FC56" w14:textId="40F4F401" w:rsidR="00042155" w:rsidRPr="002E4DB4" w:rsidRDefault="00042155" w:rsidP="00042155">
      <w:pPr>
        <w:rPr>
          <w:b/>
          <w:bCs/>
        </w:rPr>
      </w:pPr>
      <w:r>
        <w:rPr>
          <w:b/>
          <w:bCs/>
        </w:rPr>
        <w:t>Alternative explanatory factors: Beliefs</w:t>
      </w:r>
    </w:p>
    <w:p w14:paraId="46CEEB02" w14:textId="4D09FF01" w:rsidR="00563266" w:rsidRDefault="007908F8" w:rsidP="00947EB8">
      <w:pPr>
        <w:ind w:firstLine="720"/>
      </w:pPr>
      <w:r>
        <w:lastRenderedPageBreak/>
        <w:t>A</w:t>
      </w:r>
      <w:r w:rsidR="00E67A3A">
        <w:t xml:space="preserve"> second line of </w:t>
      </w:r>
      <w:r>
        <w:t>research</w:t>
      </w:r>
      <w:r w:rsidR="00E67A3A">
        <w:t xml:space="preserve"> </w:t>
      </w:r>
      <w:r>
        <w:t>puts</w:t>
      </w:r>
      <w:r w:rsidR="00E67A3A">
        <w:t xml:space="preserve"> beliefs</w:t>
      </w:r>
      <w:r>
        <w:t xml:space="preserve"> at the center </w:t>
      </w:r>
      <w:r w:rsidR="00640183">
        <w:t>of analysis</w:t>
      </w:r>
      <w:r w:rsidR="00E67A3A">
        <w:t>.</w:t>
      </w:r>
      <w:r w:rsidR="009902EE">
        <w:t xml:space="preserve"> </w:t>
      </w:r>
      <w:r w:rsidR="00CD4959">
        <w:t>V</w:t>
      </w:r>
      <w:r w:rsidR="00A14187">
        <w:t xml:space="preserve">alues have been shown to </w:t>
      </w:r>
      <w:r w:rsidR="005C5AC5">
        <w:t>expla</w:t>
      </w:r>
      <w:r w:rsidR="005D1EE0">
        <w:t xml:space="preserve">in </w:t>
      </w:r>
      <w:r w:rsidR="008255FB">
        <w:t xml:space="preserve">levels of support for redistribution. </w:t>
      </w:r>
      <w:r w:rsidR="00CD4959">
        <w:t xml:space="preserve">For instance, </w:t>
      </w:r>
      <w:r w:rsidR="005E3ADC">
        <w:t>Kulin and S</w:t>
      </w:r>
      <w:r w:rsidR="00E97713">
        <w:t>vallfors</w:t>
      </w:r>
      <w:r w:rsidR="0064625E">
        <w:t>’</w:t>
      </w:r>
      <w:r w:rsidR="00E97713">
        <w:t xml:space="preserve"> (2013) </w:t>
      </w:r>
      <w:r w:rsidR="006509ED">
        <w:t xml:space="preserve">cross-national study </w:t>
      </w:r>
      <w:r w:rsidR="00E97713">
        <w:t>find</w:t>
      </w:r>
      <w:r w:rsidR="0064625E">
        <w:t>s</w:t>
      </w:r>
      <w:r w:rsidR="00D765CC">
        <w:t xml:space="preserve"> </w:t>
      </w:r>
      <w:r w:rsidR="008D00A2">
        <w:t xml:space="preserve">the relationship between </w:t>
      </w:r>
      <w:r w:rsidR="00960A2A">
        <w:t>values</w:t>
      </w:r>
      <w:r w:rsidR="00C23771">
        <w:t xml:space="preserve"> (i.e., self-transcendence and self-enhancement)</w:t>
      </w:r>
      <w:r w:rsidR="00673AFA">
        <w:t xml:space="preserve"> </w:t>
      </w:r>
      <w:r w:rsidR="00C23771">
        <w:t>and attitudes toward distribution</w:t>
      </w:r>
      <w:r w:rsidR="00960A2A">
        <w:t xml:space="preserve"> </w:t>
      </w:r>
      <w:r w:rsidR="00673AFA">
        <w:t>is</w:t>
      </w:r>
      <w:r w:rsidR="00960A2A">
        <w:t xml:space="preserve"> stronger for higher income classes</w:t>
      </w:r>
      <w:r w:rsidR="00673AFA">
        <w:t xml:space="preserve"> and, in countries with </w:t>
      </w:r>
      <w:r w:rsidR="00642AEA">
        <w:t>lower levels of income inequality, the linkage between values and attitudes towards redistribution is</w:t>
      </w:r>
      <w:r w:rsidR="001D2301">
        <w:t xml:space="preserve"> less sensitive to class.</w:t>
      </w:r>
      <w:r w:rsidR="00BA12F6">
        <w:t xml:space="preserve"> Furthermore,</w:t>
      </w:r>
      <w:r w:rsidR="001D2301">
        <w:t xml:space="preserve"> </w:t>
      </w:r>
      <w:r w:rsidR="00BA12F6">
        <w:t>a</w:t>
      </w:r>
      <w:r w:rsidR="00925643">
        <w:t xml:space="preserve"> paper by Corneo &amp;</w:t>
      </w:r>
      <w:r w:rsidR="008C4093">
        <w:t xml:space="preserve"> </w:t>
      </w:r>
      <w:r w:rsidR="008C4093" w:rsidRPr="008C4093">
        <w:t>Grüner</w:t>
      </w:r>
      <w:r w:rsidR="008C4093">
        <w:t xml:space="preserve"> (2002) </w:t>
      </w:r>
      <w:r w:rsidR="004054F2" w:rsidRPr="004054F2">
        <w:t>found that economic incentives, values, and social rivalry all play a role in shaping individual preferences for redistribution.</w:t>
      </w:r>
      <w:r w:rsidR="0043068D">
        <w:t xml:space="preserve"> </w:t>
      </w:r>
      <w:r w:rsidR="004054F2">
        <w:t>This demonstrates that</w:t>
      </w:r>
      <w:r w:rsidR="00B20B87">
        <w:t xml:space="preserve"> people’s attitudes toward redistribution </w:t>
      </w:r>
      <w:r w:rsidR="00220EA1">
        <w:t xml:space="preserve">are not solely based on their income, but also their values and beliefs. </w:t>
      </w:r>
      <w:r w:rsidR="000B2E50">
        <w:t>People's attitudes on redistribution are partly influenced by their perceptions of the factors that lead to economic success, such as family history or personal effort. Those who believe that family background is the most important driver of income are found to be more inclined to support redistribution, whereas those who value personal hard effort are more likely to reject it</w:t>
      </w:r>
      <w:r w:rsidR="00641082">
        <w:t xml:space="preserve"> Corneo &amp; </w:t>
      </w:r>
      <w:r w:rsidR="00641082" w:rsidRPr="008C4093">
        <w:t>Grüner</w:t>
      </w:r>
      <w:r w:rsidR="00641082">
        <w:t xml:space="preserve"> (2002)</w:t>
      </w:r>
      <w:r w:rsidR="000B2E50">
        <w:t>.</w:t>
      </w:r>
      <w:r w:rsidR="007935E5">
        <w:t xml:space="preserve"> </w:t>
      </w:r>
      <w:r w:rsidR="009F07E0">
        <w:t xml:space="preserve">These findings speak to the importance of meritocratic principles in </w:t>
      </w:r>
      <w:r w:rsidR="0013047E">
        <w:t xml:space="preserve">shaping individual preferences for redistribution. </w:t>
      </w:r>
    </w:p>
    <w:p w14:paraId="169BEE70" w14:textId="0C909E0D" w:rsidR="0068577E" w:rsidRDefault="0013047E" w:rsidP="0068577E">
      <w:pPr>
        <w:ind w:firstLine="720"/>
      </w:pPr>
      <w:r>
        <w:t xml:space="preserve">There is a large literature that explores the relationship between meritocracy and inequality. </w:t>
      </w:r>
      <w:r w:rsidR="005C1240">
        <w:t xml:space="preserve">Currently, this </w:t>
      </w:r>
      <w:r w:rsidR="00947EB8">
        <w:t>perspective</w:t>
      </w:r>
      <w:r w:rsidR="00FB732B">
        <w:t xml:space="preserve"> on </w:t>
      </w:r>
      <w:r w:rsidR="00947EB8">
        <w:t>income inequality</w:t>
      </w:r>
      <w:r w:rsidR="00FB732B">
        <w:t xml:space="preserve"> is best embodied by the work of Johnathan Mijs. </w:t>
      </w:r>
      <w:r w:rsidR="00B83701">
        <w:t xml:space="preserve">The proliferation of meritocratic </w:t>
      </w:r>
      <w:r w:rsidR="00B75DC8">
        <w:t>beliefs</w:t>
      </w:r>
      <w:r w:rsidR="00B83701">
        <w:t xml:space="preserve"> is </w:t>
      </w:r>
      <w:r w:rsidR="00B07CB5">
        <w:t>p</w:t>
      </w:r>
      <w:r w:rsidR="00971B46">
        <w:t xml:space="preserve">erhaps the most consequential value for </w:t>
      </w:r>
      <w:r w:rsidR="00B07CB5">
        <w:t>how people legitimize and rationalize inequality</w:t>
      </w:r>
      <w:r w:rsidR="00E61DD5">
        <w:t xml:space="preserve">, as it </w:t>
      </w:r>
      <w:r w:rsidR="006216D7">
        <w:t>frames</w:t>
      </w:r>
      <w:r w:rsidR="002C6635">
        <w:t xml:space="preserve"> success as</w:t>
      </w:r>
      <w:r w:rsidR="003D0C20">
        <w:t xml:space="preserve"> </w:t>
      </w:r>
      <w:r w:rsidR="00E61DD5">
        <w:t>the</w:t>
      </w:r>
      <w:r w:rsidR="003D0C20">
        <w:t xml:space="preserve"> </w:t>
      </w:r>
      <w:r w:rsidR="00E61DD5">
        <w:t>sole</w:t>
      </w:r>
      <w:r w:rsidR="006216D7">
        <w:t xml:space="preserve"> </w:t>
      </w:r>
      <w:r w:rsidR="003D0C20">
        <w:t>product</w:t>
      </w:r>
      <w:r w:rsidR="00666375">
        <w:t xml:space="preserve"> of </w:t>
      </w:r>
      <w:r w:rsidR="00E61DD5">
        <w:t xml:space="preserve">an individual’s </w:t>
      </w:r>
      <w:r w:rsidR="00666375">
        <w:t>effort and talent (Mijs, 2020)</w:t>
      </w:r>
      <w:r w:rsidR="003940AA">
        <w:t>.</w:t>
      </w:r>
      <w:r w:rsidR="006F55E5">
        <w:t xml:space="preserve"> </w:t>
      </w:r>
      <w:r w:rsidR="00E61DD5">
        <w:t>Hence, m</w:t>
      </w:r>
      <w:r w:rsidR="006F55E5">
        <w:t>eritocracy renders high levels of income inequality justifiable</w:t>
      </w:r>
      <w:r w:rsidR="00AD24D3">
        <w:t xml:space="preserve"> </w:t>
      </w:r>
      <w:r w:rsidR="00D66C19">
        <w:t xml:space="preserve">on the grounds that it </w:t>
      </w:r>
      <w:r w:rsidR="000C20C9">
        <w:t>reflects</w:t>
      </w:r>
      <w:r w:rsidR="00B02AD4">
        <w:t xml:space="preserve"> market rewards for talent and effort.</w:t>
      </w:r>
      <w:r w:rsidR="00232A48">
        <w:t xml:space="preserve"> </w:t>
      </w:r>
    </w:p>
    <w:p w14:paraId="0BC4E172" w14:textId="7E56B5B5" w:rsidR="0031716C" w:rsidRDefault="00232A48" w:rsidP="0068577E">
      <w:pPr>
        <w:ind w:firstLine="720"/>
      </w:pPr>
      <w:r>
        <w:t xml:space="preserve">This line of thinking has held up empirically. </w:t>
      </w:r>
      <w:r w:rsidR="00732F75">
        <w:t xml:space="preserve">Mijs (2018) established </w:t>
      </w:r>
      <w:r w:rsidR="005F76C0">
        <w:t xml:space="preserve">a link between beliefs </w:t>
      </w:r>
      <w:r w:rsidR="00732F75">
        <w:t>in</w:t>
      </w:r>
      <w:r w:rsidR="005F76C0">
        <w:t xml:space="preserve"> meritocracy</w:t>
      </w:r>
      <w:r w:rsidR="00091C95">
        <w:t xml:space="preserve"> and a lack of concern toward inequality</w:t>
      </w:r>
      <w:r w:rsidR="0068577E">
        <w:t>:</w:t>
      </w:r>
      <w:r w:rsidR="00233A30">
        <w:t xml:space="preserve"> </w:t>
      </w:r>
      <w:r w:rsidR="00366B58">
        <w:t xml:space="preserve">A strong belief in meritocracy is </w:t>
      </w:r>
      <w:r w:rsidR="00510330">
        <w:t xml:space="preserve">typically higher among </w:t>
      </w:r>
      <w:r w:rsidR="00233A30">
        <w:t>people</w:t>
      </w:r>
      <w:r w:rsidR="00510330">
        <w:t xml:space="preserve"> </w:t>
      </w:r>
      <w:r w:rsidR="0075296C">
        <w:t>w</w:t>
      </w:r>
      <w:r w:rsidR="000E7261">
        <w:t>ho reside in a similar position in the income distribution</w:t>
      </w:r>
      <w:r w:rsidR="008B0CBF">
        <w:t xml:space="preserve"> and lower among </w:t>
      </w:r>
      <w:r w:rsidR="00113384">
        <w:t>residents</w:t>
      </w:r>
      <w:r w:rsidR="008B0CBF">
        <w:t xml:space="preserve"> who </w:t>
      </w:r>
      <w:r w:rsidR="0075296C">
        <w:t>reside in</w:t>
      </w:r>
      <w:r w:rsidR="008F4017">
        <w:t xml:space="preserve"> economically diverse areas</w:t>
      </w:r>
      <w:r w:rsidR="00113384">
        <w:t xml:space="preserve">. </w:t>
      </w:r>
      <w:r w:rsidR="00B73590">
        <w:t xml:space="preserve">Considering </w:t>
      </w:r>
      <w:r w:rsidR="00CE5A43">
        <w:t xml:space="preserve">people’s social context </w:t>
      </w:r>
      <w:r w:rsidR="00F9334B">
        <w:t>is</w:t>
      </w:r>
      <w:r w:rsidR="00A83BD8">
        <w:t xml:space="preserve"> made up of people</w:t>
      </w:r>
      <w:r w:rsidR="00F9334B">
        <w:t xml:space="preserve"> </w:t>
      </w:r>
      <w:r w:rsidR="00A83BD8">
        <w:t>of similar standing and background</w:t>
      </w:r>
      <w:r w:rsidR="007C0448">
        <w:t xml:space="preserve">, meritocratic beliefs dominate </w:t>
      </w:r>
      <w:r w:rsidR="00033896">
        <w:t>and explain the absence of a rise in concern for income inequality.</w:t>
      </w:r>
      <w:r w:rsidR="009521DE">
        <w:t xml:space="preserve"> </w:t>
      </w:r>
    </w:p>
    <w:p w14:paraId="3F31687D" w14:textId="37C36D9B" w:rsidR="00042155" w:rsidRPr="00042155" w:rsidRDefault="00042155">
      <w:pPr>
        <w:rPr>
          <w:b/>
          <w:bCs/>
        </w:rPr>
      </w:pPr>
      <w:r>
        <w:rPr>
          <w:b/>
          <w:bCs/>
        </w:rPr>
        <w:t>Alternative explanatory factors: Experiences</w:t>
      </w:r>
    </w:p>
    <w:p w14:paraId="01576A4C" w14:textId="62033F72" w:rsidR="001614E8" w:rsidRDefault="00202A49" w:rsidP="00680AA2">
      <w:pPr>
        <w:ind w:firstLine="720"/>
      </w:pPr>
      <w:r>
        <w:t xml:space="preserve">A third </w:t>
      </w:r>
      <w:r w:rsidR="00865605">
        <w:t>perspective</w:t>
      </w:r>
      <w:r w:rsidR="008A4733">
        <w:t xml:space="preserve"> emphasizes the role of experience</w:t>
      </w:r>
      <w:r>
        <w:t>s</w:t>
      </w:r>
      <w:r w:rsidR="008A4733">
        <w:t>.</w:t>
      </w:r>
      <w:r w:rsidR="009B0571">
        <w:t xml:space="preserve"> The literature that </w:t>
      </w:r>
      <w:r w:rsidR="00865605">
        <w:t>touched on</w:t>
      </w:r>
      <w:r w:rsidR="009B0571">
        <w:t xml:space="preserve"> the relationship between mis(perception) and </w:t>
      </w:r>
      <w:r w:rsidR="00550DD7">
        <w:t xml:space="preserve">attitudes toward redistribution attributed misperception to </w:t>
      </w:r>
      <w:r w:rsidR="001614E8">
        <w:t xml:space="preserve">the cognitive bias people develop when overlying on their immediate environment to draw conclusions about </w:t>
      </w:r>
      <w:r w:rsidR="00555B2B">
        <w:t>income distributions</w:t>
      </w:r>
      <w:r w:rsidR="006B7B5C">
        <w:t xml:space="preserve">. </w:t>
      </w:r>
      <w:r w:rsidR="00555B2B">
        <w:t xml:space="preserve">(Hauser &amp; Norton, 2017; Minkoff &amp; Lyons, 2019; Mijs, 2018). </w:t>
      </w:r>
      <w:r w:rsidR="006B7B5C">
        <w:t xml:space="preserve">In short, their immediate environment is not </w:t>
      </w:r>
      <w:r w:rsidR="00D47D36">
        <w:t>representative of the socio-economic landscape of their society</w:t>
      </w:r>
      <w:r w:rsidR="009A0356">
        <w:t>, so they make inaccurate comparisons and conclusions</w:t>
      </w:r>
      <w:r w:rsidR="00D47D36">
        <w:t>.</w:t>
      </w:r>
      <w:r w:rsidR="0011068B">
        <w:t xml:space="preserve"> Similarly, the literature that explores the role of values (meritocracy) </w:t>
      </w:r>
      <w:r w:rsidR="00832593">
        <w:t xml:space="preserve">found that belief in meritocracy is </w:t>
      </w:r>
      <w:r w:rsidR="00E764F9">
        <w:t>impacted by an individual</w:t>
      </w:r>
      <w:r w:rsidR="00A61198">
        <w:t>’s</w:t>
      </w:r>
      <w:r w:rsidR="00E764F9">
        <w:t xml:space="preserve"> </w:t>
      </w:r>
      <w:r w:rsidR="00CA0FF7">
        <w:t>social context</w:t>
      </w:r>
      <w:r w:rsidR="00191A15">
        <w:t xml:space="preserve">. When people’s immediate environment is not </w:t>
      </w:r>
      <w:r w:rsidR="009A0356">
        <w:t xml:space="preserve">emblematic of </w:t>
      </w:r>
      <w:r w:rsidR="00191A15">
        <w:t>the realities of income</w:t>
      </w:r>
      <w:r w:rsidR="001E5195">
        <w:t xml:space="preserve"> inequality</w:t>
      </w:r>
      <w:r w:rsidR="00B4399A">
        <w:t xml:space="preserve">, their exposure to and interactions with people across economic </w:t>
      </w:r>
      <w:r w:rsidR="00167CA9">
        <w:t>lines is limited</w:t>
      </w:r>
      <w:r w:rsidR="000B0D4F">
        <w:t xml:space="preserve">. </w:t>
      </w:r>
      <w:r w:rsidR="00A71251">
        <w:t>These takeaways</w:t>
      </w:r>
      <w:r w:rsidR="008C1C15">
        <w:t xml:space="preserve"> point to the role experiences in </w:t>
      </w:r>
      <w:r w:rsidR="0034390A">
        <w:t xml:space="preserve">shaping attitudes towards redistribution. </w:t>
      </w:r>
    </w:p>
    <w:p w14:paraId="247DB1A2" w14:textId="6C55E057" w:rsidR="00057F33" w:rsidRDefault="00E77BEB">
      <w:r>
        <w:tab/>
        <w:t xml:space="preserve">The role of experiences is </w:t>
      </w:r>
      <w:r w:rsidR="00425664">
        <w:t>coherently laid out in Mijs’ concept</w:t>
      </w:r>
      <w:r w:rsidR="00940F0D">
        <w:t>ual</w:t>
      </w:r>
      <w:r w:rsidR="0051032C">
        <w:t xml:space="preserve"> framework</w:t>
      </w:r>
      <w:r w:rsidR="00425664">
        <w:t xml:space="preserve"> of inferential spaces. </w:t>
      </w:r>
      <w:r w:rsidR="00E252F8">
        <w:t xml:space="preserve">Under the context of income inequality, inferential spaces are </w:t>
      </w:r>
      <w:r w:rsidR="008662DC">
        <w:t>environments</w:t>
      </w:r>
      <w:r w:rsidR="00A51EAF">
        <w:t xml:space="preserve"> that “</w:t>
      </w:r>
      <w:r w:rsidR="00A51EAF" w:rsidRPr="00A51EAF">
        <w:t>shape the development of a person’s inequality beliefs by exposing that person to a certain type and range of information, but not to their counterfactuals</w:t>
      </w:r>
      <w:r w:rsidR="00A51EAF">
        <w:t>” (Mijs, 2018</w:t>
      </w:r>
      <w:r w:rsidR="008662DC">
        <w:t xml:space="preserve">, p.7). </w:t>
      </w:r>
      <w:r w:rsidR="007D0799">
        <w:t xml:space="preserve">Schools and neighborhoods </w:t>
      </w:r>
      <w:r w:rsidR="00DE262C">
        <w:t>are two primary examples of inferential spaces</w:t>
      </w:r>
      <w:r w:rsidR="00940F0D">
        <w:t xml:space="preserve"> and are the primary places that people make sense of their position in society</w:t>
      </w:r>
      <w:r w:rsidR="00EA304F">
        <w:t xml:space="preserve">. </w:t>
      </w:r>
      <w:r w:rsidR="00EA304F" w:rsidRPr="00EA304F">
        <w:t xml:space="preserve">People tend to compare themselves to coworkers, relatives, and friends who are </w:t>
      </w:r>
      <w:r w:rsidR="00EA304F" w:rsidRPr="00EA304F">
        <w:lastRenderedPageBreak/>
        <w:t>socioeconomically similar to them</w:t>
      </w:r>
      <w:r w:rsidR="00E06A98">
        <w:t xml:space="preserve"> and t</w:t>
      </w:r>
      <w:r w:rsidR="00A52D41">
        <w:t xml:space="preserve">he </w:t>
      </w:r>
      <w:r w:rsidR="00B75AF7">
        <w:t>conclusions</w:t>
      </w:r>
      <w:r w:rsidR="00A52D41">
        <w:t xml:space="preserve"> </w:t>
      </w:r>
      <w:r w:rsidR="00B91F92">
        <w:t>that transpire from</w:t>
      </w:r>
      <w:r w:rsidR="00A52D41">
        <w:t xml:space="preserve"> these comparisons are</w:t>
      </w:r>
      <w:r w:rsidR="00B777C0">
        <w:t xml:space="preserve"> </w:t>
      </w:r>
      <w:r w:rsidR="00EA304F" w:rsidRPr="00EA304F">
        <w:t xml:space="preserve">limited and biased, </w:t>
      </w:r>
      <w:r w:rsidR="00B75AF7">
        <w:t>creat</w:t>
      </w:r>
      <w:r w:rsidR="00B91F92">
        <w:t>ing</w:t>
      </w:r>
      <w:r w:rsidR="00B75AF7">
        <w:t xml:space="preserve"> an inaccurate</w:t>
      </w:r>
      <w:r w:rsidR="00EA304F" w:rsidRPr="00EA304F">
        <w:t xml:space="preserve"> perception of society</w:t>
      </w:r>
      <w:r w:rsidR="005C2BC1">
        <w:t xml:space="preserve"> (i.e., assuming </w:t>
      </w:r>
      <w:r w:rsidR="00FC2DD5">
        <w:t>the inferential spaces are not socio-economically diverse)</w:t>
      </w:r>
      <w:r w:rsidR="00EA304F" w:rsidRPr="00EA304F">
        <w:t>.</w:t>
      </w:r>
      <w:r w:rsidR="000F75B3">
        <w:t xml:space="preserve"> </w:t>
      </w:r>
      <w:r w:rsidR="00A61047">
        <w:t>P</w:t>
      </w:r>
      <w:r w:rsidR="00B519A4">
        <w:t>eople’s understanding of income inequality</w:t>
      </w:r>
      <w:r w:rsidR="00A61047">
        <w:t xml:space="preserve">, therefore, </w:t>
      </w:r>
      <w:r w:rsidR="00B519A4">
        <w:t>is shaped by their social context (i.e., experiences in inferential spaces)</w:t>
      </w:r>
      <w:r w:rsidR="00416890">
        <w:t>.</w:t>
      </w:r>
      <w:r w:rsidR="00BB7F2F">
        <w:t xml:space="preserve"> Socio-economically diverse spaces </w:t>
      </w:r>
      <w:r w:rsidR="00EA007F">
        <w:t xml:space="preserve">encourage the consideration of structural factors and homogenous spaces </w:t>
      </w:r>
      <w:r w:rsidR="00457D22">
        <w:t>foster</w:t>
      </w:r>
      <w:r w:rsidR="00456375">
        <w:t xml:space="preserve"> meritocratic beliefs.</w:t>
      </w:r>
      <w:r w:rsidR="00416890">
        <w:t xml:space="preserve"> </w:t>
      </w:r>
    </w:p>
    <w:p w14:paraId="2C2AB568" w14:textId="44BE215E" w:rsidR="002A5980" w:rsidRPr="00680AA2" w:rsidRDefault="00664876" w:rsidP="000F6C82">
      <w:pPr>
        <w:ind w:firstLine="720"/>
        <w:rPr>
          <w:rFonts w:cstheme="minorHAnsi"/>
        </w:rPr>
      </w:pPr>
      <w:commentRangeStart w:id="1"/>
      <w:r>
        <w:t xml:space="preserve">Belief in meritocracy </w:t>
      </w:r>
      <w:commentRangeEnd w:id="1"/>
      <w:r w:rsidR="00EF36E1">
        <w:rPr>
          <w:rStyle w:val="CommentReference"/>
        </w:rPr>
        <w:commentReference w:id="1"/>
      </w:r>
      <w:r>
        <w:t xml:space="preserve">is </w:t>
      </w:r>
      <w:r w:rsidR="001D307A">
        <w:t xml:space="preserve">juxtaposed with belief in </w:t>
      </w:r>
      <w:r w:rsidR="000F6C82">
        <w:t>structural</w:t>
      </w:r>
      <w:r w:rsidR="001D307A">
        <w:t xml:space="preserve"> inequality, which leaves people open to the ideas that class, social and cultural capital, gender, and other factors influence opportunities and</w:t>
      </w:r>
      <w:r w:rsidR="00C741EC">
        <w:t xml:space="preserve"> outcomes.</w:t>
      </w:r>
      <w:r w:rsidR="00F97B6A">
        <w:t xml:space="preserve"> </w:t>
      </w:r>
      <w:r w:rsidR="00F97B6A">
        <w:rPr>
          <w:rFonts w:cstheme="minorHAnsi"/>
        </w:rPr>
        <w:t>Therefore</w:t>
      </w:r>
      <w:r w:rsidR="00F97B6A" w:rsidRPr="00B4099B">
        <w:rPr>
          <w:rFonts w:cstheme="minorHAnsi"/>
        </w:rPr>
        <w:t>, even if someone works hard and exhibits talent, their income level is not solely influenced by these factors, but also because of their socio-economic background and the structural inequalities found in institutions</w:t>
      </w:r>
      <w:r w:rsidR="002F58E6">
        <w:rPr>
          <w:rFonts w:cstheme="minorHAnsi"/>
        </w:rPr>
        <w:t xml:space="preserve">. </w:t>
      </w:r>
      <w:commentRangeStart w:id="2"/>
      <w:r w:rsidR="002C3BA3">
        <w:rPr>
          <w:rFonts w:cstheme="minorHAnsi"/>
        </w:rPr>
        <w:t xml:space="preserve">Mijs (2018) finds that </w:t>
      </w:r>
      <w:r w:rsidR="00BD5245">
        <w:rPr>
          <w:rFonts w:cstheme="minorHAnsi"/>
        </w:rPr>
        <w:t>p</w:t>
      </w:r>
      <w:r w:rsidR="00BD5245" w:rsidRPr="00BD5245">
        <w:rPr>
          <w:rFonts w:cstheme="minorHAnsi"/>
        </w:rPr>
        <w:t xml:space="preserve">eople in more unequal societies are more prone to </w:t>
      </w:r>
      <w:r w:rsidR="009E0105">
        <w:rPr>
          <w:rFonts w:cstheme="minorHAnsi"/>
        </w:rPr>
        <w:t>the belief</w:t>
      </w:r>
      <w:r w:rsidR="00BD5245" w:rsidRPr="00BD5245">
        <w:rPr>
          <w:rFonts w:cstheme="minorHAnsi"/>
        </w:rPr>
        <w:t xml:space="preserve"> that success is the result of a meritocratic process than citizens in more egalitarian nations.</w:t>
      </w:r>
      <w:commentRangeEnd w:id="2"/>
      <w:r w:rsidR="00EF36E1">
        <w:rPr>
          <w:rStyle w:val="CommentReference"/>
        </w:rPr>
        <w:commentReference w:id="2"/>
      </w:r>
      <w:r w:rsidR="00C530D2">
        <w:rPr>
          <w:rFonts w:cstheme="minorHAnsi"/>
        </w:rPr>
        <w:t xml:space="preserve"> This suggests that exposure to </w:t>
      </w:r>
      <w:r w:rsidR="00EE03F7">
        <w:rPr>
          <w:rFonts w:cstheme="minorHAnsi"/>
        </w:rPr>
        <w:t xml:space="preserve">income inequality </w:t>
      </w:r>
      <w:r w:rsidR="00DA7D0E">
        <w:rPr>
          <w:rFonts w:cstheme="minorHAnsi"/>
        </w:rPr>
        <w:t>plays a</w:t>
      </w:r>
      <w:r w:rsidR="00EE03F7">
        <w:rPr>
          <w:rFonts w:cstheme="minorHAnsi"/>
        </w:rPr>
        <w:t xml:space="preserve"> </w:t>
      </w:r>
      <w:r w:rsidR="000C20C9">
        <w:rPr>
          <w:rFonts w:cstheme="minorHAnsi"/>
        </w:rPr>
        <w:t>crucial role</w:t>
      </w:r>
      <w:r w:rsidR="00EE03F7">
        <w:rPr>
          <w:rFonts w:cstheme="minorHAnsi"/>
        </w:rPr>
        <w:t xml:space="preserve"> </w:t>
      </w:r>
      <w:r w:rsidR="00DA7D0E">
        <w:rPr>
          <w:rFonts w:cstheme="minorHAnsi"/>
        </w:rPr>
        <w:t>in</w:t>
      </w:r>
      <w:r w:rsidR="00EE03F7">
        <w:rPr>
          <w:rFonts w:cstheme="minorHAnsi"/>
        </w:rPr>
        <w:t xml:space="preserve"> explaining</w:t>
      </w:r>
      <w:r w:rsidR="00F6197C">
        <w:rPr>
          <w:rFonts w:cstheme="minorHAnsi"/>
        </w:rPr>
        <w:t xml:space="preserve"> people’s </w:t>
      </w:r>
      <w:r w:rsidR="00DA7D0E">
        <w:rPr>
          <w:rFonts w:cstheme="minorHAnsi"/>
        </w:rPr>
        <w:t>views</w:t>
      </w:r>
      <w:r w:rsidR="00704836">
        <w:rPr>
          <w:rFonts w:cstheme="minorHAnsi"/>
        </w:rPr>
        <w:t xml:space="preserve"> on</w:t>
      </w:r>
      <w:r w:rsidR="00F6197C">
        <w:rPr>
          <w:rFonts w:cstheme="minorHAnsi"/>
        </w:rPr>
        <w:t xml:space="preserve"> inequality</w:t>
      </w:r>
      <w:r w:rsidR="00704836">
        <w:rPr>
          <w:rFonts w:cstheme="minorHAnsi"/>
        </w:rPr>
        <w:t xml:space="preserve">, as it </w:t>
      </w:r>
      <w:r w:rsidR="00861C5C">
        <w:rPr>
          <w:rFonts w:cstheme="minorHAnsi"/>
        </w:rPr>
        <w:t>spurs</w:t>
      </w:r>
      <w:r w:rsidR="000B60BE">
        <w:rPr>
          <w:rFonts w:cstheme="minorHAnsi"/>
        </w:rPr>
        <w:t xml:space="preserve"> </w:t>
      </w:r>
      <w:r w:rsidR="0066495E">
        <w:rPr>
          <w:rFonts w:cstheme="minorHAnsi"/>
        </w:rPr>
        <w:t xml:space="preserve">experiences </w:t>
      </w:r>
      <w:r w:rsidR="009627A2">
        <w:rPr>
          <w:rFonts w:cstheme="minorHAnsi"/>
        </w:rPr>
        <w:t>with</w:t>
      </w:r>
      <w:r w:rsidR="0066495E">
        <w:rPr>
          <w:rFonts w:cstheme="minorHAnsi"/>
        </w:rPr>
        <w:t xml:space="preserve"> </w:t>
      </w:r>
      <w:r w:rsidR="009627A2">
        <w:rPr>
          <w:rFonts w:cstheme="minorHAnsi"/>
        </w:rPr>
        <w:t>people and spaces</w:t>
      </w:r>
      <w:r w:rsidR="00450371">
        <w:rPr>
          <w:rFonts w:cstheme="minorHAnsi"/>
        </w:rPr>
        <w:t xml:space="preserve"> that are</w:t>
      </w:r>
      <w:r w:rsidR="0066495E">
        <w:rPr>
          <w:rFonts w:cstheme="minorHAnsi"/>
        </w:rPr>
        <w:t xml:space="preserve"> socio-econom</w:t>
      </w:r>
      <w:r w:rsidR="00450371">
        <w:rPr>
          <w:rFonts w:cstheme="minorHAnsi"/>
        </w:rPr>
        <w:t>ically diverse</w:t>
      </w:r>
      <w:r w:rsidR="00680AA2">
        <w:rPr>
          <w:rFonts w:cstheme="minorHAnsi"/>
        </w:rPr>
        <w:t xml:space="preserve">. </w:t>
      </w:r>
      <w:r w:rsidR="00680AA2" w:rsidRPr="00680AA2">
        <w:rPr>
          <w:rFonts w:cstheme="minorHAnsi"/>
        </w:rPr>
        <w:t xml:space="preserve">Those who live in locations with comparable income levels </w:t>
      </w:r>
      <w:r w:rsidR="00ED2CEC">
        <w:rPr>
          <w:rFonts w:cstheme="minorHAnsi"/>
        </w:rPr>
        <w:t xml:space="preserve">are more likely to </w:t>
      </w:r>
      <w:r w:rsidR="00680AA2" w:rsidRPr="00680AA2">
        <w:rPr>
          <w:rFonts w:cstheme="minorHAnsi"/>
        </w:rPr>
        <w:t>believe in meritocracy</w:t>
      </w:r>
      <w:r w:rsidR="00ED2CEC">
        <w:rPr>
          <w:rFonts w:cstheme="minorHAnsi"/>
        </w:rPr>
        <w:t>, while those</w:t>
      </w:r>
      <w:r w:rsidR="00680AA2" w:rsidRPr="00680AA2">
        <w:rPr>
          <w:rFonts w:cstheme="minorHAnsi"/>
        </w:rPr>
        <w:t xml:space="preserve"> who live in more economically varied areas</w:t>
      </w:r>
      <w:r w:rsidR="001C4781">
        <w:rPr>
          <w:rFonts w:cstheme="minorHAnsi"/>
        </w:rPr>
        <w:t xml:space="preserve"> can better perceive </w:t>
      </w:r>
      <w:r w:rsidR="009B52C3">
        <w:rPr>
          <w:rFonts w:cstheme="minorHAnsi"/>
        </w:rPr>
        <w:t>the importance of money</w:t>
      </w:r>
      <w:r w:rsidR="00C56A9A">
        <w:rPr>
          <w:rFonts w:cstheme="minorHAnsi"/>
        </w:rPr>
        <w:t xml:space="preserve"> and class on their quality of life</w:t>
      </w:r>
      <w:r w:rsidR="00477519">
        <w:rPr>
          <w:rFonts w:cstheme="minorHAnsi"/>
        </w:rPr>
        <w:t xml:space="preserve">, leading to a stronger </w:t>
      </w:r>
      <w:r w:rsidR="00234803">
        <w:rPr>
          <w:rFonts w:cstheme="minorHAnsi"/>
        </w:rPr>
        <w:t xml:space="preserve">belief in structural inequality. </w:t>
      </w:r>
    </w:p>
    <w:p w14:paraId="68480D0B" w14:textId="6666017E" w:rsidR="002A5980" w:rsidRPr="002D6EC4" w:rsidRDefault="00A6470C">
      <w:pPr>
        <w:rPr>
          <w:b/>
          <w:bCs/>
        </w:rPr>
      </w:pPr>
      <w:r w:rsidRPr="002D6EC4">
        <w:rPr>
          <w:b/>
          <w:bCs/>
        </w:rPr>
        <w:t xml:space="preserve">Summary and Implications for </w:t>
      </w:r>
      <w:r w:rsidR="00892820" w:rsidRPr="002D6EC4">
        <w:rPr>
          <w:b/>
          <w:bCs/>
        </w:rPr>
        <w:t>Redistribution attitudes</w:t>
      </w:r>
    </w:p>
    <w:p w14:paraId="778541BA" w14:textId="69EE11B2" w:rsidR="00057F33" w:rsidRDefault="00F65628" w:rsidP="00192CDD">
      <w:pPr>
        <w:ind w:firstLine="720"/>
      </w:pPr>
      <w:r w:rsidRPr="00F65628">
        <w:t>The proliferation of meritocratic beliefs, the experiences that shape these beliefs, and the rise of income inequality are inextricably linked.</w:t>
      </w:r>
      <w:r>
        <w:t xml:space="preserve"> </w:t>
      </w:r>
      <w:r w:rsidR="00C23A9C">
        <w:t>Because concern for income inequality is predicated on experiences</w:t>
      </w:r>
      <w:r w:rsidR="0044057A">
        <w:t xml:space="preserve">, the increased separation between </w:t>
      </w:r>
      <w:r w:rsidR="00AA6E64">
        <w:t>socio-economic groups</w:t>
      </w:r>
      <w:r w:rsidR="0044057A">
        <w:t xml:space="preserve"> </w:t>
      </w:r>
      <w:r w:rsidR="007B2C4A">
        <w:t xml:space="preserve">results in a societal tendency to explain inequality in </w:t>
      </w:r>
      <w:r w:rsidR="008D720B">
        <w:t>meritocratic</w:t>
      </w:r>
      <w:r w:rsidR="007B2C4A">
        <w:t xml:space="preserve"> terms. </w:t>
      </w:r>
      <w:r w:rsidR="00250EFE">
        <w:t>As inequality grows, spaces become increasingly homogenous</w:t>
      </w:r>
      <w:r w:rsidR="00306A7D">
        <w:t xml:space="preserve"> and separated</w:t>
      </w:r>
      <w:r w:rsidR="00250EFE">
        <w:t xml:space="preserve">, </w:t>
      </w:r>
      <w:r w:rsidR="007D36DF">
        <w:t xml:space="preserve">and, ultimately, this leads people to </w:t>
      </w:r>
      <w:r w:rsidR="00412307">
        <w:t xml:space="preserve">favor </w:t>
      </w:r>
      <w:r w:rsidR="007D36DF">
        <w:t>meritocratic beliefs</w:t>
      </w:r>
      <w:r w:rsidR="00412307">
        <w:t xml:space="preserve">. This </w:t>
      </w:r>
      <w:r w:rsidR="008D720B">
        <w:t>separation</w:t>
      </w:r>
      <w:r w:rsidR="002A00BD">
        <w:t xml:space="preserve"> </w:t>
      </w:r>
      <w:r w:rsidR="00412307">
        <w:t xml:space="preserve">helps explain why we’ve seen a growth in meritocratic beliefs over time </w:t>
      </w:r>
      <w:r w:rsidR="002A00BD">
        <w:t xml:space="preserve">and, by extension, </w:t>
      </w:r>
      <w:r w:rsidR="008D720B">
        <w:t xml:space="preserve">the absence of an increase in concern for income inequality. </w:t>
      </w:r>
      <w:r w:rsidR="00CA7382">
        <w:t xml:space="preserve">These sociological insights </w:t>
      </w:r>
      <w:r w:rsidR="002F200A">
        <w:t xml:space="preserve">offer insight as to why one does not see </w:t>
      </w:r>
      <w:r w:rsidR="003206C0">
        <w:t>a rise in</w:t>
      </w:r>
      <w:r w:rsidR="002F200A">
        <w:t xml:space="preserve"> support for </w:t>
      </w:r>
      <w:r w:rsidR="003206C0">
        <w:t>redistribution</w:t>
      </w:r>
      <w:r w:rsidR="00D871F3">
        <w:t xml:space="preserve"> (instead of concern for inequality)</w:t>
      </w:r>
      <w:r w:rsidR="003206C0">
        <w:t xml:space="preserve">. Inequality becomes self-reinforcing </w:t>
      </w:r>
      <w:r w:rsidR="002E3F10">
        <w:t xml:space="preserve">with the homogenization of social spaces </w:t>
      </w:r>
      <w:r w:rsidR="003B4DBE">
        <w:t xml:space="preserve">and </w:t>
      </w:r>
      <w:r w:rsidR="006476CF">
        <w:t xml:space="preserve">legitimized through meritocracy. </w:t>
      </w:r>
    </w:p>
    <w:p w14:paraId="2663F12B" w14:textId="01AE57C8" w:rsidR="000414A1" w:rsidRDefault="00D91049" w:rsidP="00192CDD">
      <w:pPr>
        <w:ind w:firstLine="720"/>
      </w:pPr>
      <w:r>
        <w:t xml:space="preserve">These conclusions </w:t>
      </w:r>
      <w:r w:rsidR="00DB7B37">
        <w:t xml:space="preserve">explain why </w:t>
      </w:r>
      <w:r w:rsidR="002D3F0A">
        <w:t>countries with higher levels of income inequality do not demonstrate more support for redistribution</w:t>
      </w:r>
      <w:r w:rsidR="002F0944">
        <w:t xml:space="preserve"> and why perception and beliefs cannot fully explain what is going on without the </w:t>
      </w:r>
      <w:r w:rsidR="000414A1">
        <w:t>consideration</w:t>
      </w:r>
      <w:r w:rsidR="002F0944">
        <w:t xml:space="preserve"> of experiences</w:t>
      </w:r>
      <w:r w:rsidR="002D3F0A">
        <w:t xml:space="preserve">. </w:t>
      </w:r>
      <w:r w:rsidR="00820C64">
        <w:t xml:space="preserve">Citizens do not formulate their preferences for redistribution </w:t>
      </w:r>
      <w:r w:rsidR="00FC4ABE">
        <w:t xml:space="preserve">by </w:t>
      </w:r>
      <w:r w:rsidR="00C62C12">
        <w:t xml:space="preserve">drawing conclusions </w:t>
      </w:r>
      <w:r w:rsidR="00AE0F32">
        <w:t>through</w:t>
      </w:r>
      <w:r w:rsidR="00FC4ABE">
        <w:t xml:space="preserve"> between</w:t>
      </w:r>
      <w:r w:rsidR="00AE0F32">
        <w:t>-</w:t>
      </w:r>
      <w:r w:rsidR="00FC4ABE">
        <w:t xml:space="preserve">country </w:t>
      </w:r>
      <w:r w:rsidR="00C62C12">
        <w:t>comparisons</w:t>
      </w:r>
      <w:r w:rsidR="00FC4ABE">
        <w:t xml:space="preserve"> are within</w:t>
      </w:r>
      <w:r w:rsidR="00AE0F32">
        <w:t>-</w:t>
      </w:r>
      <w:r w:rsidR="00FC4ABE">
        <w:t>country comparisons over time</w:t>
      </w:r>
      <w:r w:rsidR="004E0254">
        <w:t>, but through the</w:t>
      </w:r>
      <w:r w:rsidR="00C62C12">
        <w:t xml:space="preserve">ir own experiences and interactions with inequality. </w:t>
      </w:r>
      <w:r w:rsidR="00AE0F32">
        <w:t>Hence, t</w:t>
      </w:r>
      <w:r w:rsidR="008338CF">
        <w:t>he mechanism behind concern for inequality and</w:t>
      </w:r>
      <w:r w:rsidR="00B42457">
        <w:t>,</w:t>
      </w:r>
      <w:r w:rsidR="008338CF">
        <w:t xml:space="preserve"> by extension</w:t>
      </w:r>
      <w:r w:rsidR="00B42457">
        <w:t>,</w:t>
      </w:r>
      <w:r w:rsidR="008338CF">
        <w:t xml:space="preserve"> </w:t>
      </w:r>
      <w:r w:rsidR="00B42457">
        <w:t xml:space="preserve">attitudes toward redistribution, </w:t>
      </w:r>
      <w:r w:rsidR="001F474E">
        <w:t xml:space="preserve">is nested in local inequality dynamics. It is a process that relies on local cues rather than cross-national </w:t>
      </w:r>
      <w:r w:rsidR="00AE0F32">
        <w:t xml:space="preserve">perceptions of income inequality. </w:t>
      </w:r>
    </w:p>
    <w:p w14:paraId="2E348D7F" w14:textId="2AF33050" w:rsidR="00477024" w:rsidRDefault="00477024" w:rsidP="00192CDD">
      <w:pPr>
        <w:ind w:firstLine="720"/>
      </w:pPr>
      <w:r>
        <w:t>Under this context, income inequality is not an irrelevant factor</w:t>
      </w:r>
      <w:r w:rsidR="0048124E">
        <w:t xml:space="preserve"> </w:t>
      </w:r>
      <w:r w:rsidR="00EC57E1">
        <w:t xml:space="preserve">in so much as country-level inequality </w:t>
      </w:r>
      <w:r w:rsidR="00B94118">
        <w:t>measures are not relevant to shaping redistribution preferences</w:t>
      </w:r>
      <w:r>
        <w:t xml:space="preserve">. </w:t>
      </w:r>
      <w:r w:rsidR="00892820">
        <w:t>Local</w:t>
      </w:r>
      <w:r>
        <w:t xml:space="preserve"> levels of income inequality</w:t>
      </w:r>
      <w:r w:rsidR="00892820">
        <w:t>, however, do</w:t>
      </w:r>
      <w:r>
        <w:t xml:space="preserve"> matter</w:t>
      </w:r>
      <w:r w:rsidR="00892820">
        <w:t>,</w:t>
      </w:r>
      <w:r>
        <w:t xml:space="preserve"> because people make their socio-economic comparisons based on the immediate context.</w:t>
      </w:r>
      <w:r w:rsidR="00333D86">
        <w:t xml:space="preserve"> High levels of local income inequality indicate socio-economic diversity</w:t>
      </w:r>
      <w:r w:rsidR="009A170E">
        <w:t xml:space="preserve"> and, according to conceptual framework of inferential spaces </w:t>
      </w:r>
      <w:r w:rsidR="00C30973">
        <w:t xml:space="preserve">and the empirical findings explaining belief in meritocracy, </w:t>
      </w:r>
      <w:r w:rsidR="00762634">
        <w:t xml:space="preserve">this </w:t>
      </w:r>
      <w:r w:rsidR="00810DB2">
        <w:t xml:space="preserve">exposure to non-homogenous spaces </w:t>
      </w:r>
      <w:r w:rsidR="00C02B5E">
        <w:t>plays</w:t>
      </w:r>
      <w:r w:rsidR="00076BDC">
        <w:t xml:space="preserve"> a crucial role in shaping attitudes toward redistribution. </w:t>
      </w:r>
    </w:p>
    <w:p w14:paraId="291911FE" w14:textId="518B41D1" w:rsidR="0010298D" w:rsidRDefault="00FE3470" w:rsidP="00192CDD">
      <w:pPr>
        <w:ind w:firstLine="720"/>
      </w:pPr>
      <w:r w:rsidRPr="00FE3470">
        <w:lastRenderedPageBreak/>
        <w:t xml:space="preserve">This suggests that support for redistribution can be understood by considering the level of income inequality </w:t>
      </w:r>
      <w:r>
        <w:t>in an</w:t>
      </w:r>
      <w:r w:rsidR="000676C1">
        <w:t xml:space="preserve"> inferential space</w:t>
      </w:r>
      <w:r w:rsidRPr="00FE3470">
        <w:t>,</w:t>
      </w:r>
      <w:r w:rsidR="000676C1">
        <w:t xml:space="preserve"> such as a </w:t>
      </w:r>
      <w:r w:rsidR="00D57073">
        <w:t>neighborhood</w:t>
      </w:r>
      <w:r w:rsidR="000676C1">
        <w:t>,</w:t>
      </w:r>
      <w:r w:rsidRPr="00FE3470">
        <w:t xml:space="preserve"> as this serves as an indicator of the degree of socio-economic diversity</w:t>
      </w:r>
      <w:r w:rsidR="000676C1">
        <w:t xml:space="preserve"> one is exposed to</w:t>
      </w:r>
      <w:r w:rsidRPr="00FE3470">
        <w:t>.</w:t>
      </w:r>
      <w:r w:rsidR="00D57073">
        <w:t xml:space="preserve"> </w:t>
      </w:r>
      <w:r w:rsidR="00B26998">
        <w:t xml:space="preserve">Income inequality </w:t>
      </w:r>
      <w:r w:rsidR="00B51394">
        <w:t>is</w:t>
      </w:r>
      <w:r w:rsidR="00B26998">
        <w:t xml:space="preserve"> </w:t>
      </w:r>
      <w:r w:rsidR="005E0B98">
        <w:t>not the only indicator of socio-economic heterogeneity.</w:t>
      </w:r>
      <w:r w:rsidR="0043110F">
        <w:t xml:space="preserve"> Other</w:t>
      </w:r>
      <w:r w:rsidR="00C0374B">
        <w:t xml:space="preserve"> contextual factors</w:t>
      </w:r>
      <w:r w:rsidR="0043110F">
        <w:t xml:space="preserve"> include</w:t>
      </w:r>
      <w:r w:rsidR="00E422B4">
        <w:t xml:space="preserve"> </w:t>
      </w:r>
      <w:r w:rsidR="0030561C">
        <w:t xml:space="preserve">the </w:t>
      </w:r>
      <w:r w:rsidR="00E422B4">
        <w:t xml:space="preserve">age distribution, </w:t>
      </w:r>
      <w:r w:rsidR="009658DA">
        <w:t>population density</w:t>
      </w:r>
      <w:r w:rsidR="0050250F">
        <w:t>, immigrant population, an</w:t>
      </w:r>
      <w:r w:rsidR="002520A0">
        <w:t xml:space="preserve">d proportion of the population </w:t>
      </w:r>
      <w:r w:rsidR="00C16925">
        <w:t xml:space="preserve">who live around the social minimum. </w:t>
      </w:r>
      <w:r w:rsidR="0030561C">
        <w:t xml:space="preserve">These factors </w:t>
      </w:r>
      <w:r w:rsidR="00BC24FC">
        <w:t>are relevant in that they indicate the socio-</w:t>
      </w:r>
      <w:r w:rsidR="0010298D">
        <w:t>economic</w:t>
      </w:r>
      <w:r w:rsidR="00BC24FC">
        <w:t xml:space="preserve"> diversity of a</w:t>
      </w:r>
      <w:r w:rsidR="00C67AD9">
        <w:t xml:space="preserve"> geographical region, whether that be a neighborhood, city, or region. </w:t>
      </w:r>
      <w:r w:rsidR="0010298D">
        <w:t xml:space="preserve">This is not to say that </w:t>
      </w:r>
      <w:r w:rsidR="00AE2034">
        <w:t>attitudes</w:t>
      </w:r>
      <w:r w:rsidR="00813FF9">
        <w:t xml:space="preserve"> toward redistribution are </w:t>
      </w:r>
      <w:r w:rsidR="000840A7">
        <w:t xml:space="preserve">only dependent on </w:t>
      </w:r>
      <w:r w:rsidR="00AE2034">
        <w:t xml:space="preserve">the </w:t>
      </w:r>
      <w:r w:rsidR="000840A7">
        <w:t xml:space="preserve">contextual factors that </w:t>
      </w:r>
      <w:r w:rsidR="00AE2034">
        <w:t>serve</w:t>
      </w:r>
      <w:r w:rsidR="000840A7">
        <w:t xml:space="preserve"> as proxies for </w:t>
      </w:r>
      <w:r w:rsidR="00AE2034">
        <w:t xml:space="preserve">experiences with </w:t>
      </w:r>
      <w:r w:rsidR="000840A7">
        <w:t>socio-economic diversity. Individual level factors</w:t>
      </w:r>
      <w:r w:rsidR="0027746D">
        <w:t>, such as income level, religion,</w:t>
      </w:r>
      <w:r w:rsidR="00850A38">
        <w:t xml:space="preserve"> class,</w:t>
      </w:r>
      <w:r w:rsidR="0027746D">
        <w:t xml:space="preserve"> and political ideology</w:t>
      </w:r>
      <w:r w:rsidR="000840A7">
        <w:t xml:space="preserve"> </w:t>
      </w:r>
      <w:r w:rsidR="00AE2034">
        <w:t xml:space="preserve">also play a </w:t>
      </w:r>
      <w:r w:rsidR="00240914">
        <w:t>key role</w:t>
      </w:r>
      <w:r w:rsidR="00B31FE9">
        <w:t xml:space="preserve"> and some will likely moderate the </w:t>
      </w:r>
      <w:r w:rsidR="00926E45">
        <w:t>relationship between income inequality and support for redistribution</w:t>
      </w:r>
      <w:r w:rsidR="00240914">
        <w:t xml:space="preserve">. </w:t>
      </w:r>
    </w:p>
    <w:p w14:paraId="3D4DB503" w14:textId="0A449890" w:rsidR="006E2988" w:rsidRDefault="006E2988" w:rsidP="00192CDD">
      <w:pPr>
        <w:ind w:firstLine="720"/>
      </w:pPr>
      <w:commentRangeStart w:id="3"/>
      <w:commentRangeStart w:id="4"/>
      <w:r>
        <w:t>The following hypotheses are derived from the theoretical d</w:t>
      </w:r>
      <w:r w:rsidR="00C91A40">
        <w:t>iscussion above:</w:t>
      </w:r>
    </w:p>
    <w:p w14:paraId="27BDEB42" w14:textId="7A0FAD77" w:rsidR="00C91A40" w:rsidRDefault="00C91A40" w:rsidP="00B20824">
      <w:pPr>
        <w:ind w:left="720"/>
      </w:pPr>
      <w:r>
        <w:t xml:space="preserve">H1: </w:t>
      </w:r>
      <w:r w:rsidR="00B20824">
        <w:t>neighborhoods with higher levels of income inequality will show greater support for redistribution of income</w:t>
      </w:r>
      <w:r w:rsidR="00B161C3">
        <w:t>.</w:t>
      </w:r>
    </w:p>
    <w:p w14:paraId="6D9D44EF" w14:textId="3DA83BEC" w:rsidR="004032AD" w:rsidRDefault="004032AD" w:rsidP="00B20824">
      <w:pPr>
        <w:ind w:left="720"/>
      </w:pPr>
      <w:r>
        <w:t>H2: neighborh</w:t>
      </w:r>
      <w:r w:rsidR="00C30436">
        <w:t>ood</w:t>
      </w:r>
      <w:r>
        <w:t xml:space="preserve"> income inequality will </w:t>
      </w:r>
      <w:r w:rsidR="00460387">
        <w:t xml:space="preserve">explain </w:t>
      </w:r>
      <w:r w:rsidR="00C51C56">
        <w:t xml:space="preserve">between neighborhood differences in support for redistribution </w:t>
      </w:r>
      <w:r w:rsidR="00525AE8">
        <w:t>more so than city or regional income inequality</w:t>
      </w:r>
      <w:r w:rsidR="00B161C3">
        <w:t>.</w:t>
      </w:r>
    </w:p>
    <w:p w14:paraId="0213EB63" w14:textId="423EB97D" w:rsidR="00B161C3" w:rsidRDefault="00B161C3" w:rsidP="00B20824">
      <w:pPr>
        <w:ind w:left="720"/>
      </w:pPr>
      <w:r>
        <w:t xml:space="preserve">H3: </w:t>
      </w:r>
      <w:r w:rsidR="00635793">
        <w:t xml:space="preserve">Income level will negatively moderate the relationship between </w:t>
      </w:r>
      <w:r w:rsidR="00606989">
        <w:t>neighborhood</w:t>
      </w:r>
      <w:r w:rsidR="00635793">
        <w:t xml:space="preserve"> inequality</w:t>
      </w:r>
      <w:r w:rsidR="00606989">
        <w:t xml:space="preserve"> and support for </w:t>
      </w:r>
      <w:r w:rsidR="000C20C9">
        <w:t>redistribution.</w:t>
      </w:r>
      <w:r w:rsidR="00606989">
        <w:t xml:space="preserve"> </w:t>
      </w:r>
      <w:r w:rsidR="00635793">
        <w:t xml:space="preserve"> </w:t>
      </w:r>
      <w:commentRangeEnd w:id="3"/>
      <w:r w:rsidR="00FE682D">
        <w:rPr>
          <w:rStyle w:val="CommentReference"/>
        </w:rPr>
        <w:commentReference w:id="3"/>
      </w:r>
      <w:commentRangeEnd w:id="4"/>
      <w:r w:rsidR="00754F5B">
        <w:rPr>
          <w:rStyle w:val="CommentReference"/>
        </w:rPr>
        <w:commentReference w:id="4"/>
      </w:r>
    </w:p>
    <w:p w14:paraId="3201E387" w14:textId="77777777" w:rsidR="00057F33" w:rsidRDefault="00057F33"/>
    <w:p w14:paraId="646B2CB4" w14:textId="77777777" w:rsidR="00057F33" w:rsidRDefault="00057F33"/>
    <w:p w14:paraId="2F0D8A43" w14:textId="4FB3C884" w:rsidR="00057F33" w:rsidRDefault="001A08D7">
      <w:r>
        <w:t>NEXT:</w:t>
      </w:r>
    </w:p>
    <w:p w14:paraId="57FD5CEA" w14:textId="77777777" w:rsidR="001A08D7" w:rsidRDefault="001A08D7"/>
    <w:p w14:paraId="5E391F5E" w14:textId="47FFE3F3" w:rsidR="001A08D7" w:rsidRDefault="001A08D7">
      <w:r>
        <w:t>DESCRIBE THE DATA AND METHODS</w:t>
      </w:r>
    </w:p>
    <w:p w14:paraId="39F19BBC" w14:textId="77777777" w:rsidR="00057F33" w:rsidRDefault="00057F33"/>
    <w:p w14:paraId="12CB33B8" w14:textId="77777777" w:rsidR="00057F33" w:rsidRDefault="00057F33"/>
    <w:p w14:paraId="45DD99A2" w14:textId="77777777" w:rsidR="00057F33" w:rsidRDefault="00057F33"/>
    <w:p w14:paraId="2F9C33C8" w14:textId="77777777" w:rsidR="001B7D7A" w:rsidRDefault="001B7D7A"/>
    <w:p w14:paraId="1645C827" w14:textId="77777777" w:rsidR="00DF6CEE" w:rsidRDefault="00DF6CEE"/>
    <w:p w14:paraId="44907532" w14:textId="2B896E3E" w:rsidR="0004734B" w:rsidRDefault="0004734B"/>
    <w:p w14:paraId="3FC63095" w14:textId="77777777" w:rsidR="0004734B" w:rsidRDefault="0004734B"/>
    <w:p w14:paraId="2A71C123" w14:textId="77777777" w:rsidR="0082498F" w:rsidRDefault="0082498F"/>
    <w:p w14:paraId="2CDF782C" w14:textId="77777777" w:rsidR="009E43FB" w:rsidRDefault="009E43FB"/>
    <w:p w14:paraId="2D082A5D" w14:textId="77777777" w:rsidR="00E1729D" w:rsidRDefault="00E1729D"/>
    <w:p w14:paraId="214E992F" w14:textId="77777777" w:rsidR="00A9340E" w:rsidRDefault="00A9340E"/>
    <w:p w14:paraId="379412B6" w14:textId="77777777" w:rsidR="00A9340E" w:rsidRDefault="00A9340E"/>
    <w:p w14:paraId="4CB1F2CB" w14:textId="77777777" w:rsidR="00A9340E" w:rsidRDefault="00A9340E"/>
    <w:p w14:paraId="0A6F0B32" w14:textId="77777777" w:rsidR="00A9340E" w:rsidRDefault="00A9340E"/>
    <w:p w14:paraId="51F036AC" w14:textId="77777777" w:rsidR="00A9340E" w:rsidRDefault="00A9340E"/>
    <w:p w14:paraId="2C53DC93" w14:textId="77777777" w:rsidR="00A9340E" w:rsidRDefault="00A9340E"/>
    <w:p w14:paraId="7D5D8CDC" w14:textId="3426E8A7" w:rsidR="00A9340E" w:rsidRPr="00A9340E" w:rsidRDefault="00A9340E" w:rsidP="00A9340E">
      <w:pPr>
        <w:jc w:val="center"/>
        <w:rPr>
          <w:sz w:val="36"/>
          <w:szCs w:val="36"/>
        </w:rPr>
      </w:pPr>
      <w:r w:rsidRPr="00A9340E">
        <w:rPr>
          <w:sz w:val="36"/>
          <w:szCs w:val="36"/>
        </w:rPr>
        <w:t>Bibliography</w:t>
      </w:r>
    </w:p>
    <w:p w14:paraId="42BA9C88" w14:textId="77777777" w:rsidR="00A9340E" w:rsidRPr="00A9340E" w:rsidRDefault="00A9340E" w:rsidP="00A9340E">
      <w:pPr>
        <w:spacing w:after="0" w:line="480" w:lineRule="auto"/>
        <w:ind w:hanging="480"/>
        <w:rPr>
          <w:rFonts w:ascii="Times New Roman" w:eastAsia="Times New Roman" w:hAnsi="Times New Roman" w:cs="Times New Roman"/>
          <w:sz w:val="24"/>
          <w:szCs w:val="24"/>
        </w:rPr>
      </w:pPr>
      <w:r w:rsidRPr="00A9340E">
        <w:rPr>
          <w:rFonts w:ascii="Times New Roman" w:eastAsia="Times New Roman" w:hAnsi="Times New Roman" w:cs="Times New Roman"/>
          <w:sz w:val="24"/>
          <w:szCs w:val="24"/>
        </w:rPr>
        <w:t xml:space="preserve">Alesina, A., &amp; Angeletos, G.-M. (2005). Fairness and Redistribution. </w:t>
      </w:r>
      <w:r w:rsidRPr="00A9340E">
        <w:rPr>
          <w:rFonts w:ascii="Times New Roman" w:eastAsia="Times New Roman" w:hAnsi="Times New Roman" w:cs="Times New Roman"/>
          <w:i/>
          <w:iCs/>
          <w:sz w:val="24"/>
          <w:szCs w:val="24"/>
        </w:rPr>
        <w:t>American Economic Review</w:t>
      </w:r>
      <w:r w:rsidRPr="00A9340E">
        <w:rPr>
          <w:rFonts w:ascii="Times New Roman" w:eastAsia="Times New Roman" w:hAnsi="Times New Roman" w:cs="Times New Roman"/>
          <w:sz w:val="24"/>
          <w:szCs w:val="24"/>
        </w:rPr>
        <w:t xml:space="preserve">, </w:t>
      </w:r>
      <w:r w:rsidRPr="00A9340E">
        <w:rPr>
          <w:rFonts w:ascii="Times New Roman" w:eastAsia="Times New Roman" w:hAnsi="Times New Roman" w:cs="Times New Roman"/>
          <w:i/>
          <w:iCs/>
          <w:sz w:val="24"/>
          <w:szCs w:val="24"/>
        </w:rPr>
        <w:t>95</w:t>
      </w:r>
      <w:r w:rsidRPr="00A9340E">
        <w:rPr>
          <w:rFonts w:ascii="Times New Roman" w:eastAsia="Times New Roman" w:hAnsi="Times New Roman" w:cs="Times New Roman"/>
          <w:sz w:val="24"/>
          <w:szCs w:val="24"/>
        </w:rPr>
        <w:t xml:space="preserve">(4), 960–980. </w:t>
      </w:r>
      <w:hyperlink r:id="rId9" w:history="1">
        <w:r w:rsidRPr="00A9340E">
          <w:rPr>
            <w:rFonts w:ascii="Times New Roman" w:eastAsia="Times New Roman" w:hAnsi="Times New Roman" w:cs="Times New Roman"/>
            <w:color w:val="0000FF"/>
            <w:sz w:val="24"/>
            <w:szCs w:val="24"/>
            <w:u w:val="single"/>
          </w:rPr>
          <w:t>https://doi.org/10.1257/0002828054825655</w:t>
        </w:r>
      </w:hyperlink>
    </w:p>
    <w:p w14:paraId="0C13DE68" w14:textId="77777777" w:rsidR="00A9340E" w:rsidRPr="00A9340E" w:rsidRDefault="00A9340E" w:rsidP="00A9340E">
      <w:pPr>
        <w:spacing w:after="0" w:line="480" w:lineRule="auto"/>
        <w:ind w:hanging="480"/>
        <w:rPr>
          <w:rFonts w:ascii="Times New Roman" w:eastAsia="Times New Roman" w:hAnsi="Times New Roman" w:cs="Times New Roman"/>
          <w:sz w:val="24"/>
          <w:szCs w:val="24"/>
        </w:rPr>
      </w:pPr>
      <w:r w:rsidRPr="00A9340E">
        <w:rPr>
          <w:rFonts w:ascii="Times New Roman" w:eastAsia="Times New Roman" w:hAnsi="Times New Roman" w:cs="Times New Roman"/>
          <w:sz w:val="24"/>
          <w:szCs w:val="24"/>
        </w:rPr>
        <w:t xml:space="preserve">Alesina, A., &amp; Giuliano, P. (2015). Culture and Institutions. </w:t>
      </w:r>
      <w:r w:rsidRPr="00A9340E">
        <w:rPr>
          <w:rFonts w:ascii="Times New Roman" w:eastAsia="Times New Roman" w:hAnsi="Times New Roman" w:cs="Times New Roman"/>
          <w:i/>
          <w:iCs/>
          <w:sz w:val="24"/>
          <w:szCs w:val="24"/>
        </w:rPr>
        <w:t>Journal of Economic Literature</w:t>
      </w:r>
      <w:r w:rsidRPr="00A9340E">
        <w:rPr>
          <w:rFonts w:ascii="Times New Roman" w:eastAsia="Times New Roman" w:hAnsi="Times New Roman" w:cs="Times New Roman"/>
          <w:sz w:val="24"/>
          <w:szCs w:val="24"/>
        </w:rPr>
        <w:t xml:space="preserve">, </w:t>
      </w:r>
      <w:r w:rsidRPr="00A9340E">
        <w:rPr>
          <w:rFonts w:ascii="Times New Roman" w:eastAsia="Times New Roman" w:hAnsi="Times New Roman" w:cs="Times New Roman"/>
          <w:i/>
          <w:iCs/>
          <w:sz w:val="24"/>
          <w:szCs w:val="24"/>
        </w:rPr>
        <w:t>53</w:t>
      </w:r>
      <w:r w:rsidRPr="00A9340E">
        <w:rPr>
          <w:rFonts w:ascii="Times New Roman" w:eastAsia="Times New Roman" w:hAnsi="Times New Roman" w:cs="Times New Roman"/>
          <w:sz w:val="24"/>
          <w:szCs w:val="24"/>
        </w:rPr>
        <w:t xml:space="preserve">(4), 898–944. </w:t>
      </w:r>
      <w:hyperlink r:id="rId10" w:history="1">
        <w:r w:rsidRPr="00A9340E">
          <w:rPr>
            <w:rFonts w:ascii="Times New Roman" w:eastAsia="Times New Roman" w:hAnsi="Times New Roman" w:cs="Times New Roman"/>
            <w:color w:val="0000FF"/>
            <w:sz w:val="24"/>
            <w:szCs w:val="24"/>
            <w:u w:val="single"/>
          </w:rPr>
          <w:t>https://doi.org/10.1257/jel.53.4.898</w:t>
        </w:r>
      </w:hyperlink>
    </w:p>
    <w:p w14:paraId="7147FCD1" w14:textId="77777777" w:rsidR="00A9340E" w:rsidRPr="00A9340E" w:rsidRDefault="00A9340E" w:rsidP="00A9340E">
      <w:pPr>
        <w:spacing w:after="0" w:line="480" w:lineRule="auto"/>
        <w:ind w:hanging="480"/>
        <w:rPr>
          <w:rFonts w:ascii="Times New Roman" w:eastAsia="Times New Roman" w:hAnsi="Times New Roman" w:cs="Times New Roman"/>
          <w:sz w:val="24"/>
          <w:szCs w:val="24"/>
        </w:rPr>
      </w:pPr>
      <w:r w:rsidRPr="00A9340E">
        <w:rPr>
          <w:rFonts w:ascii="Times New Roman" w:eastAsia="Times New Roman" w:hAnsi="Times New Roman" w:cs="Times New Roman"/>
          <w:sz w:val="24"/>
          <w:szCs w:val="24"/>
        </w:rPr>
        <w:t xml:space="preserve">Alesina, A., &amp; La Ferrara, E. (2005). Preferences for redistribution in the land of opportunities. </w:t>
      </w:r>
      <w:r w:rsidRPr="00A9340E">
        <w:rPr>
          <w:rFonts w:ascii="Times New Roman" w:eastAsia="Times New Roman" w:hAnsi="Times New Roman" w:cs="Times New Roman"/>
          <w:i/>
          <w:iCs/>
          <w:sz w:val="24"/>
          <w:szCs w:val="24"/>
        </w:rPr>
        <w:t>Journal of Public Economics</w:t>
      </w:r>
      <w:r w:rsidRPr="00A9340E">
        <w:rPr>
          <w:rFonts w:ascii="Times New Roman" w:eastAsia="Times New Roman" w:hAnsi="Times New Roman" w:cs="Times New Roman"/>
          <w:sz w:val="24"/>
          <w:szCs w:val="24"/>
        </w:rPr>
        <w:t xml:space="preserve">, </w:t>
      </w:r>
      <w:r w:rsidRPr="00A9340E">
        <w:rPr>
          <w:rFonts w:ascii="Times New Roman" w:eastAsia="Times New Roman" w:hAnsi="Times New Roman" w:cs="Times New Roman"/>
          <w:i/>
          <w:iCs/>
          <w:sz w:val="24"/>
          <w:szCs w:val="24"/>
        </w:rPr>
        <w:t>89</w:t>
      </w:r>
      <w:r w:rsidRPr="00A9340E">
        <w:rPr>
          <w:rFonts w:ascii="Times New Roman" w:eastAsia="Times New Roman" w:hAnsi="Times New Roman" w:cs="Times New Roman"/>
          <w:sz w:val="24"/>
          <w:szCs w:val="24"/>
        </w:rPr>
        <w:t xml:space="preserve">(5–6), 897–931. </w:t>
      </w:r>
      <w:hyperlink r:id="rId11" w:history="1">
        <w:r w:rsidRPr="00A9340E">
          <w:rPr>
            <w:rFonts w:ascii="Times New Roman" w:eastAsia="Times New Roman" w:hAnsi="Times New Roman" w:cs="Times New Roman"/>
            <w:color w:val="0000FF"/>
            <w:sz w:val="24"/>
            <w:szCs w:val="24"/>
            <w:u w:val="single"/>
          </w:rPr>
          <w:t>https://doi.org/10.1016/j.jpubeco.2004.05.009</w:t>
        </w:r>
      </w:hyperlink>
    </w:p>
    <w:p w14:paraId="71BAD13D" w14:textId="77777777" w:rsidR="00A9340E" w:rsidRPr="00A9340E" w:rsidRDefault="00A9340E" w:rsidP="00A9340E">
      <w:pPr>
        <w:spacing w:after="0" w:line="480" w:lineRule="auto"/>
        <w:ind w:hanging="480"/>
        <w:rPr>
          <w:rFonts w:ascii="Times New Roman" w:eastAsia="Times New Roman" w:hAnsi="Times New Roman" w:cs="Times New Roman"/>
          <w:sz w:val="24"/>
          <w:szCs w:val="24"/>
        </w:rPr>
      </w:pPr>
      <w:r w:rsidRPr="00A9340E">
        <w:rPr>
          <w:rFonts w:ascii="Times New Roman" w:eastAsia="Times New Roman" w:hAnsi="Times New Roman" w:cs="Times New Roman"/>
          <w:sz w:val="24"/>
          <w:szCs w:val="24"/>
        </w:rPr>
        <w:t xml:space="preserve">Alesina, A., Stantcheva, S., &amp; Teso, E. (2018). Intergenerational Mobility and Preferences for Redistribution. </w:t>
      </w:r>
      <w:r w:rsidRPr="00A9340E">
        <w:rPr>
          <w:rFonts w:ascii="Times New Roman" w:eastAsia="Times New Roman" w:hAnsi="Times New Roman" w:cs="Times New Roman"/>
          <w:i/>
          <w:iCs/>
          <w:sz w:val="24"/>
          <w:szCs w:val="24"/>
        </w:rPr>
        <w:t>American Economic Review</w:t>
      </w:r>
      <w:r w:rsidRPr="00A9340E">
        <w:rPr>
          <w:rFonts w:ascii="Times New Roman" w:eastAsia="Times New Roman" w:hAnsi="Times New Roman" w:cs="Times New Roman"/>
          <w:sz w:val="24"/>
          <w:szCs w:val="24"/>
        </w:rPr>
        <w:t xml:space="preserve">, </w:t>
      </w:r>
      <w:r w:rsidRPr="00A9340E">
        <w:rPr>
          <w:rFonts w:ascii="Times New Roman" w:eastAsia="Times New Roman" w:hAnsi="Times New Roman" w:cs="Times New Roman"/>
          <w:i/>
          <w:iCs/>
          <w:sz w:val="24"/>
          <w:szCs w:val="24"/>
        </w:rPr>
        <w:t>108</w:t>
      </w:r>
      <w:r w:rsidRPr="00A9340E">
        <w:rPr>
          <w:rFonts w:ascii="Times New Roman" w:eastAsia="Times New Roman" w:hAnsi="Times New Roman" w:cs="Times New Roman"/>
          <w:sz w:val="24"/>
          <w:szCs w:val="24"/>
        </w:rPr>
        <w:t xml:space="preserve">(2), 521–554. </w:t>
      </w:r>
      <w:hyperlink r:id="rId12" w:history="1">
        <w:r w:rsidRPr="00A9340E">
          <w:rPr>
            <w:rFonts w:ascii="Times New Roman" w:eastAsia="Times New Roman" w:hAnsi="Times New Roman" w:cs="Times New Roman"/>
            <w:color w:val="0000FF"/>
            <w:sz w:val="24"/>
            <w:szCs w:val="24"/>
            <w:u w:val="single"/>
          </w:rPr>
          <w:t>https://doi.org/10.1257/aer.20162015</w:t>
        </w:r>
      </w:hyperlink>
    </w:p>
    <w:p w14:paraId="26F9FFFB" w14:textId="77777777" w:rsidR="00A9340E" w:rsidRPr="00A9340E" w:rsidRDefault="00A9340E" w:rsidP="00A9340E">
      <w:pPr>
        <w:spacing w:after="0" w:line="480" w:lineRule="auto"/>
        <w:ind w:hanging="480"/>
        <w:rPr>
          <w:rFonts w:ascii="Times New Roman" w:eastAsia="Times New Roman" w:hAnsi="Times New Roman" w:cs="Times New Roman"/>
          <w:sz w:val="24"/>
          <w:szCs w:val="24"/>
        </w:rPr>
      </w:pPr>
      <w:r w:rsidRPr="00A9340E">
        <w:rPr>
          <w:rFonts w:ascii="Times New Roman" w:eastAsia="Times New Roman" w:hAnsi="Times New Roman" w:cs="Times New Roman"/>
          <w:sz w:val="24"/>
          <w:szCs w:val="24"/>
        </w:rPr>
        <w:t xml:space="preserve">Bartels, L. M. (2005). Homer Gets a Tax Cut: Inequality and Public Policy in the American Mind. </w:t>
      </w:r>
      <w:r w:rsidRPr="00A9340E">
        <w:rPr>
          <w:rFonts w:ascii="Times New Roman" w:eastAsia="Times New Roman" w:hAnsi="Times New Roman" w:cs="Times New Roman"/>
          <w:i/>
          <w:iCs/>
          <w:sz w:val="24"/>
          <w:szCs w:val="24"/>
        </w:rPr>
        <w:t>Perspectives on Politics</w:t>
      </w:r>
      <w:r w:rsidRPr="00A9340E">
        <w:rPr>
          <w:rFonts w:ascii="Times New Roman" w:eastAsia="Times New Roman" w:hAnsi="Times New Roman" w:cs="Times New Roman"/>
          <w:sz w:val="24"/>
          <w:szCs w:val="24"/>
        </w:rPr>
        <w:t xml:space="preserve">, </w:t>
      </w:r>
      <w:r w:rsidRPr="00A9340E">
        <w:rPr>
          <w:rFonts w:ascii="Times New Roman" w:eastAsia="Times New Roman" w:hAnsi="Times New Roman" w:cs="Times New Roman"/>
          <w:i/>
          <w:iCs/>
          <w:sz w:val="24"/>
          <w:szCs w:val="24"/>
        </w:rPr>
        <w:t>3</w:t>
      </w:r>
      <w:r w:rsidRPr="00A9340E">
        <w:rPr>
          <w:rFonts w:ascii="Times New Roman" w:eastAsia="Times New Roman" w:hAnsi="Times New Roman" w:cs="Times New Roman"/>
          <w:sz w:val="24"/>
          <w:szCs w:val="24"/>
        </w:rPr>
        <w:t xml:space="preserve">(1), 15–31. </w:t>
      </w:r>
      <w:hyperlink r:id="rId13" w:history="1">
        <w:r w:rsidRPr="00A9340E">
          <w:rPr>
            <w:rFonts w:ascii="Times New Roman" w:eastAsia="Times New Roman" w:hAnsi="Times New Roman" w:cs="Times New Roman"/>
            <w:color w:val="0000FF"/>
            <w:sz w:val="24"/>
            <w:szCs w:val="24"/>
            <w:u w:val="single"/>
          </w:rPr>
          <w:t>https://doi.org/10.1017/S1537592705050036</w:t>
        </w:r>
      </w:hyperlink>
    </w:p>
    <w:p w14:paraId="5FDE0C89" w14:textId="77777777" w:rsidR="00A9340E" w:rsidRPr="00A9340E" w:rsidRDefault="00A9340E" w:rsidP="00A9340E">
      <w:pPr>
        <w:spacing w:after="0" w:line="480" w:lineRule="auto"/>
        <w:ind w:hanging="480"/>
        <w:rPr>
          <w:rFonts w:ascii="Times New Roman" w:eastAsia="Times New Roman" w:hAnsi="Times New Roman" w:cs="Times New Roman"/>
          <w:sz w:val="24"/>
          <w:szCs w:val="24"/>
        </w:rPr>
      </w:pPr>
      <w:r w:rsidRPr="00A9340E">
        <w:rPr>
          <w:rFonts w:ascii="Times New Roman" w:eastAsia="Times New Roman" w:hAnsi="Times New Roman" w:cs="Times New Roman"/>
          <w:sz w:val="24"/>
          <w:szCs w:val="24"/>
        </w:rPr>
        <w:t xml:space="preserve">Bassett, W. F., Burkett, J. P., &amp; Putterman, L. (1999). Income distribution, government transfers, and the problem of unequal influence. </w:t>
      </w:r>
      <w:r w:rsidRPr="00A9340E">
        <w:rPr>
          <w:rFonts w:ascii="Times New Roman" w:eastAsia="Times New Roman" w:hAnsi="Times New Roman" w:cs="Times New Roman"/>
          <w:i/>
          <w:iCs/>
          <w:sz w:val="24"/>
          <w:szCs w:val="24"/>
        </w:rPr>
        <w:t>European Journal of Political Economy</w:t>
      </w:r>
      <w:r w:rsidRPr="00A9340E">
        <w:rPr>
          <w:rFonts w:ascii="Times New Roman" w:eastAsia="Times New Roman" w:hAnsi="Times New Roman" w:cs="Times New Roman"/>
          <w:sz w:val="24"/>
          <w:szCs w:val="24"/>
        </w:rPr>
        <w:t xml:space="preserve">, </w:t>
      </w:r>
      <w:r w:rsidRPr="00A9340E">
        <w:rPr>
          <w:rFonts w:ascii="Times New Roman" w:eastAsia="Times New Roman" w:hAnsi="Times New Roman" w:cs="Times New Roman"/>
          <w:i/>
          <w:iCs/>
          <w:sz w:val="24"/>
          <w:szCs w:val="24"/>
        </w:rPr>
        <w:t>15</w:t>
      </w:r>
      <w:r w:rsidRPr="00A9340E">
        <w:rPr>
          <w:rFonts w:ascii="Times New Roman" w:eastAsia="Times New Roman" w:hAnsi="Times New Roman" w:cs="Times New Roman"/>
          <w:sz w:val="24"/>
          <w:szCs w:val="24"/>
        </w:rPr>
        <w:t xml:space="preserve">(2), 207–228. </w:t>
      </w:r>
      <w:hyperlink r:id="rId14" w:history="1">
        <w:r w:rsidRPr="00A9340E">
          <w:rPr>
            <w:rFonts w:ascii="Times New Roman" w:eastAsia="Times New Roman" w:hAnsi="Times New Roman" w:cs="Times New Roman"/>
            <w:color w:val="0000FF"/>
            <w:sz w:val="24"/>
            <w:szCs w:val="24"/>
            <w:u w:val="single"/>
          </w:rPr>
          <w:t>https://doi.org/10.1016/S0176-2680(99)00004-X</w:t>
        </w:r>
      </w:hyperlink>
    </w:p>
    <w:p w14:paraId="6493C121" w14:textId="77777777" w:rsidR="00A9340E" w:rsidRPr="00A9340E" w:rsidRDefault="00A9340E" w:rsidP="00A9340E">
      <w:pPr>
        <w:spacing w:after="0" w:line="480" w:lineRule="auto"/>
        <w:ind w:hanging="480"/>
        <w:rPr>
          <w:rFonts w:ascii="Times New Roman" w:eastAsia="Times New Roman" w:hAnsi="Times New Roman" w:cs="Times New Roman"/>
          <w:sz w:val="24"/>
          <w:szCs w:val="24"/>
        </w:rPr>
      </w:pPr>
      <w:r w:rsidRPr="00A9340E">
        <w:rPr>
          <w:rFonts w:ascii="Times New Roman" w:eastAsia="Times New Roman" w:hAnsi="Times New Roman" w:cs="Times New Roman"/>
          <w:sz w:val="24"/>
          <w:szCs w:val="24"/>
        </w:rPr>
        <w:t xml:space="preserve">Borge, L.-E., &amp; Rattsø, J. (2004). Income distribution and tax structure: Empirical test of the Meltzer–Richard hypothesis. </w:t>
      </w:r>
      <w:r w:rsidRPr="00A9340E">
        <w:rPr>
          <w:rFonts w:ascii="Times New Roman" w:eastAsia="Times New Roman" w:hAnsi="Times New Roman" w:cs="Times New Roman"/>
          <w:i/>
          <w:iCs/>
          <w:sz w:val="24"/>
          <w:szCs w:val="24"/>
        </w:rPr>
        <w:t>European Economic Review</w:t>
      </w:r>
      <w:r w:rsidRPr="00A9340E">
        <w:rPr>
          <w:rFonts w:ascii="Times New Roman" w:eastAsia="Times New Roman" w:hAnsi="Times New Roman" w:cs="Times New Roman"/>
          <w:sz w:val="24"/>
          <w:szCs w:val="24"/>
        </w:rPr>
        <w:t xml:space="preserve">, </w:t>
      </w:r>
      <w:r w:rsidRPr="00A9340E">
        <w:rPr>
          <w:rFonts w:ascii="Times New Roman" w:eastAsia="Times New Roman" w:hAnsi="Times New Roman" w:cs="Times New Roman"/>
          <w:i/>
          <w:iCs/>
          <w:sz w:val="24"/>
          <w:szCs w:val="24"/>
        </w:rPr>
        <w:t>48</w:t>
      </w:r>
      <w:r w:rsidRPr="00A9340E">
        <w:rPr>
          <w:rFonts w:ascii="Times New Roman" w:eastAsia="Times New Roman" w:hAnsi="Times New Roman" w:cs="Times New Roman"/>
          <w:sz w:val="24"/>
          <w:szCs w:val="24"/>
        </w:rPr>
        <w:t xml:space="preserve">(4), 805–826. </w:t>
      </w:r>
      <w:hyperlink r:id="rId15" w:history="1">
        <w:r w:rsidRPr="00A9340E">
          <w:rPr>
            <w:rFonts w:ascii="Times New Roman" w:eastAsia="Times New Roman" w:hAnsi="Times New Roman" w:cs="Times New Roman"/>
            <w:color w:val="0000FF"/>
            <w:sz w:val="24"/>
            <w:szCs w:val="24"/>
            <w:u w:val="single"/>
          </w:rPr>
          <w:t>https://doi.org/10.1016/j.euroecorev.2003.09.003</w:t>
        </w:r>
      </w:hyperlink>
    </w:p>
    <w:p w14:paraId="1364F545" w14:textId="77777777" w:rsidR="00A9340E" w:rsidRPr="00A9340E" w:rsidRDefault="00A9340E" w:rsidP="00A9340E">
      <w:pPr>
        <w:spacing w:after="0" w:line="480" w:lineRule="auto"/>
        <w:ind w:hanging="480"/>
        <w:rPr>
          <w:rFonts w:ascii="Times New Roman" w:eastAsia="Times New Roman" w:hAnsi="Times New Roman" w:cs="Times New Roman"/>
          <w:sz w:val="24"/>
          <w:szCs w:val="24"/>
        </w:rPr>
      </w:pPr>
      <w:r w:rsidRPr="00A9340E">
        <w:rPr>
          <w:rFonts w:ascii="Times New Roman" w:eastAsia="Times New Roman" w:hAnsi="Times New Roman" w:cs="Times New Roman"/>
          <w:sz w:val="24"/>
          <w:szCs w:val="24"/>
        </w:rPr>
        <w:lastRenderedPageBreak/>
        <w:t xml:space="preserve">Bradley, D., Huber, E., Moller, S., Nielsen, F., &amp; Stephens, D. (n.d.). DISTRIBUTION AND REDISTRIBUTION IN POSTINDUSTRIAL DEMOCRACIES. </w:t>
      </w:r>
      <w:r w:rsidRPr="00A9340E">
        <w:rPr>
          <w:rFonts w:ascii="Times New Roman" w:eastAsia="Times New Roman" w:hAnsi="Times New Roman" w:cs="Times New Roman"/>
          <w:i/>
          <w:iCs/>
          <w:sz w:val="24"/>
          <w:szCs w:val="24"/>
        </w:rPr>
        <w:t>WORLD POLITICS</w:t>
      </w:r>
      <w:r w:rsidRPr="00A9340E">
        <w:rPr>
          <w:rFonts w:ascii="Times New Roman" w:eastAsia="Times New Roman" w:hAnsi="Times New Roman" w:cs="Times New Roman"/>
          <w:sz w:val="24"/>
          <w:szCs w:val="24"/>
        </w:rPr>
        <w:t>.</w:t>
      </w:r>
    </w:p>
    <w:p w14:paraId="23220939" w14:textId="77777777" w:rsidR="00A9340E" w:rsidRPr="00A9340E" w:rsidRDefault="00A9340E" w:rsidP="00A9340E">
      <w:pPr>
        <w:spacing w:after="0" w:line="480" w:lineRule="auto"/>
        <w:ind w:hanging="480"/>
        <w:rPr>
          <w:rFonts w:ascii="Times New Roman" w:eastAsia="Times New Roman" w:hAnsi="Times New Roman" w:cs="Times New Roman"/>
          <w:sz w:val="24"/>
          <w:szCs w:val="24"/>
        </w:rPr>
      </w:pPr>
      <w:r w:rsidRPr="00A9340E">
        <w:rPr>
          <w:rFonts w:ascii="Times New Roman" w:eastAsia="Times New Roman" w:hAnsi="Times New Roman" w:cs="Times New Roman"/>
          <w:sz w:val="24"/>
          <w:szCs w:val="24"/>
        </w:rPr>
        <w:t xml:space="preserve">Corneo, G., &amp; Grüner, H. P. (2002). Individual preferences for political redistribution. </w:t>
      </w:r>
      <w:r w:rsidRPr="00A9340E">
        <w:rPr>
          <w:rFonts w:ascii="Times New Roman" w:eastAsia="Times New Roman" w:hAnsi="Times New Roman" w:cs="Times New Roman"/>
          <w:i/>
          <w:iCs/>
          <w:sz w:val="24"/>
          <w:szCs w:val="24"/>
        </w:rPr>
        <w:t>Journal of Public Economics</w:t>
      </w:r>
      <w:r w:rsidRPr="00A9340E">
        <w:rPr>
          <w:rFonts w:ascii="Times New Roman" w:eastAsia="Times New Roman" w:hAnsi="Times New Roman" w:cs="Times New Roman"/>
          <w:sz w:val="24"/>
          <w:szCs w:val="24"/>
        </w:rPr>
        <w:t xml:space="preserve">, </w:t>
      </w:r>
      <w:r w:rsidRPr="00A9340E">
        <w:rPr>
          <w:rFonts w:ascii="Times New Roman" w:eastAsia="Times New Roman" w:hAnsi="Times New Roman" w:cs="Times New Roman"/>
          <w:i/>
          <w:iCs/>
          <w:sz w:val="24"/>
          <w:szCs w:val="24"/>
        </w:rPr>
        <w:t>83</w:t>
      </w:r>
      <w:r w:rsidRPr="00A9340E">
        <w:rPr>
          <w:rFonts w:ascii="Times New Roman" w:eastAsia="Times New Roman" w:hAnsi="Times New Roman" w:cs="Times New Roman"/>
          <w:sz w:val="24"/>
          <w:szCs w:val="24"/>
        </w:rPr>
        <w:t xml:space="preserve">(1), 83–107. </w:t>
      </w:r>
      <w:hyperlink r:id="rId16" w:history="1">
        <w:r w:rsidRPr="00A9340E">
          <w:rPr>
            <w:rFonts w:ascii="Times New Roman" w:eastAsia="Times New Roman" w:hAnsi="Times New Roman" w:cs="Times New Roman"/>
            <w:color w:val="0000FF"/>
            <w:sz w:val="24"/>
            <w:szCs w:val="24"/>
            <w:u w:val="single"/>
          </w:rPr>
          <w:t>https://doi.org/10.1016/S0047-2727(00)00172-9</w:t>
        </w:r>
      </w:hyperlink>
    </w:p>
    <w:p w14:paraId="6BC8892D" w14:textId="77777777" w:rsidR="00A9340E" w:rsidRPr="00A9340E" w:rsidRDefault="00A9340E" w:rsidP="00A9340E">
      <w:pPr>
        <w:spacing w:after="0" w:line="480" w:lineRule="auto"/>
        <w:ind w:hanging="480"/>
        <w:rPr>
          <w:rFonts w:ascii="Times New Roman" w:eastAsia="Times New Roman" w:hAnsi="Times New Roman" w:cs="Times New Roman"/>
          <w:sz w:val="24"/>
          <w:szCs w:val="24"/>
        </w:rPr>
      </w:pPr>
      <w:r w:rsidRPr="00A9340E">
        <w:rPr>
          <w:rFonts w:ascii="Times New Roman" w:eastAsia="Times New Roman" w:hAnsi="Times New Roman" w:cs="Times New Roman"/>
          <w:sz w:val="24"/>
          <w:szCs w:val="24"/>
        </w:rPr>
        <w:t xml:space="preserve">Dallinger, U. (2010). Public support for redistribution: What explains cross-national differences? </w:t>
      </w:r>
      <w:r w:rsidRPr="00A9340E">
        <w:rPr>
          <w:rFonts w:ascii="Times New Roman" w:eastAsia="Times New Roman" w:hAnsi="Times New Roman" w:cs="Times New Roman"/>
          <w:i/>
          <w:iCs/>
          <w:sz w:val="24"/>
          <w:szCs w:val="24"/>
        </w:rPr>
        <w:t>Journal of European Social Policy</w:t>
      </w:r>
      <w:r w:rsidRPr="00A9340E">
        <w:rPr>
          <w:rFonts w:ascii="Times New Roman" w:eastAsia="Times New Roman" w:hAnsi="Times New Roman" w:cs="Times New Roman"/>
          <w:sz w:val="24"/>
          <w:szCs w:val="24"/>
        </w:rPr>
        <w:t xml:space="preserve">, </w:t>
      </w:r>
      <w:r w:rsidRPr="00A9340E">
        <w:rPr>
          <w:rFonts w:ascii="Times New Roman" w:eastAsia="Times New Roman" w:hAnsi="Times New Roman" w:cs="Times New Roman"/>
          <w:i/>
          <w:iCs/>
          <w:sz w:val="24"/>
          <w:szCs w:val="24"/>
        </w:rPr>
        <w:t>20</w:t>
      </w:r>
      <w:r w:rsidRPr="00A9340E">
        <w:rPr>
          <w:rFonts w:ascii="Times New Roman" w:eastAsia="Times New Roman" w:hAnsi="Times New Roman" w:cs="Times New Roman"/>
          <w:sz w:val="24"/>
          <w:szCs w:val="24"/>
        </w:rPr>
        <w:t xml:space="preserve">(4), 333–349. </w:t>
      </w:r>
      <w:hyperlink r:id="rId17" w:history="1">
        <w:r w:rsidRPr="00A9340E">
          <w:rPr>
            <w:rFonts w:ascii="Times New Roman" w:eastAsia="Times New Roman" w:hAnsi="Times New Roman" w:cs="Times New Roman"/>
            <w:color w:val="0000FF"/>
            <w:sz w:val="24"/>
            <w:szCs w:val="24"/>
            <w:u w:val="single"/>
          </w:rPr>
          <w:t>https://doi.org/10.1177/0958928710374373</w:t>
        </w:r>
      </w:hyperlink>
    </w:p>
    <w:p w14:paraId="07436967" w14:textId="77777777" w:rsidR="00A9340E" w:rsidRPr="00A9340E" w:rsidRDefault="00A9340E" w:rsidP="00A9340E">
      <w:pPr>
        <w:spacing w:after="0" w:line="480" w:lineRule="auto"/>
        <w:ind w:hanging="480"/>
        <w:rPr>
          <w:rFonts w:ascii="Times New Roman" w:eastAsia="Times New Roman" w:hAnsi="Times New Roman" w:cs="Times New Roman"/>
          <w:sz w:val="24"/>
          <w:szCs w:val="24"/>
        </w:rPr>
      </w:pPr>
      <w:r w:rsidRPr="00A9340E">
        <w:rPr>
          <w:rFonts w:ascii="Times New Roman" w:eastAsia="Times New Roman" w:hAnsi="Times New Roman" w:cs="Times New Roman"/>
          <w:sz w:val="24"/>
          <w:szCs w:val="24"/>
        </w:rPr>
        <w:t xml:space="preserve">Dion, M. L., &amp; Birchfield, V. (2010). Economic Development, Income Inequality, and Preferences for Redistribution1: Development, Inequality, and Redistribution. </w:t>
      </w:r>
      <w:r w:rsidRPr="00A9340E">
        <w:rPr>
          <w:rFonts w:ascii="Times New Roman" w:eastAsia="Times New Roman" w:hAnsi="Times New Roman" w:cs="Times New Roman"/>
          <w:i/>
          <w:iCs/>
          <w:sz w:val="24"/>
          <w:szCs w:val="24"/>
        </w:rPr>
        <w:t>International Studies Quarterly</w:t>
      </w:r>
      <w:r w:rsidRPr="00A9340E">
        <w:rPr>
          <w:rFonts w:ascii="Times New Roman" w:eastAsia="Times New Roman" w:hAnsi="Times New Roman" w:cs="Times New Roman"/>
          <w:sz w:val="24"/>
          <w:szCs w:val="24"/>
        </w:rPr>
        <w:t xml:space="preserve">, </w:t>
      </w:r>
      <w:r w:rsidRPr="00A9340E">
        <w:rPr>
          <w:rFonts w:ascii="Times New Roman" w:eastAsia="Times New Roman" w:hAnsi="Times New Roman" w:cs="Times New Roman"/>
          <w:i/>
          <w:iCs/>
          <w:sz w:val="24"/>
          <w:szCs w:val="24"/>
        </w:rPr>
        <w:t>54</w:t>
      </w:r>
      <w:r w:rsidRPr="00A9340E">
        <w:rPr>
          <w:rFonts w:ascii="Times New Roman" w:eastAsia="Times New Roman" w:hAnsi="Times New Roman" w:cs="Times New Roman"/>
          <w:sz w:val="24"/>
          <w:szCs w:val="24"/>
        </w:rPr>
        <w:t xml:space="preserve">(2), 315–334. </w:t>
      </w:r>
      <w:hyperlink r:id="rId18" w:history="1">
        <w:r w:rsidRPr="00A9340E">
          <w:rPr>
            <w:rFonts w:ascii="Times New Roman" w:eastAsia="Times New Roman" w:hAnsi="Times New Roman" w:cs="Times New Roman"/>
            <w:color w:val="0000FF"/>
            <w:sz w:val="24"/>
            <w:szCs w:val="24"/>
            <w:u w:val="single"/>
          </w:rPr>
          <w:t>https://doi.org/10.1111/j.1468-2478.2010.00589.x</w:t>
        </w:r>
      </w:hyperlink>
    </w:p>
    <w:p w14:paraId="402F572E" w14:textId="77777777" w:rsidR="00A9340E" w:rsidRPr="00A9340E" w:rsidRDefault="00A9340E" w:rsidP="00A9340E">
      <w:pPr>
        <w:spacing w:after="0" w:line="480" w:lineRule="auto"/>
        <w:ind w:hanging="480"/>
        <w:rPr>
          <w:rFonts w:ascii="Times New Roman" w:eastAsia="Times New Roman" w:hAnsi="Times New Roman" w:cs="Times New Roman"/>
          <w:sz w:val="24"/>
          <w:szCs w:val="24"/>
        </w:rPr>
      </w:pPr>
      <w:r w:rsidRPr="00A9340E">
        <w:rPr>
          <w:rFonts w:ascii="Times New Roman" w:eastAsia="Times New Roman" w:hAnsi="Times New Roman" w:cs="Times New Roman"/>
          <w:sz w:val="24"/>
          <w:szCs w:val="24"/>
        </w:rPr>
        <w:t xml:space="preserve">Duman, A. (2013). Beliefs, Economic Volatility, and Redistributive Preferences Across Developing Countries: Beliefs, Volatility, and Redistribution. </w:t>
      </w:r>
      <w:r w:rsidRPr="00A9340E">
        <w:rPr>
          <w:rFonts w:ascii="Times New Roman" w:eastAsia="Times New Roman" w:hAnsi="Times New Roman" w:cs="Times New Roman"/>
          <w:i/>
          <w:iCs/>
          <w:sz w:val="24"/>
          <w:szCs w:val="24"/>
        </w:rPr>
        <w:t>The Developing Economies</w:t>
      </w:r>
      <w:r w:rsidRPr="00A9340E">
        <w:rPr>
          <w:rFonts w:ascii="Times New Roman" w:eastAsia="Times New Roman" w:hAnsi="Times New Roman" w:cs="Times New Roman"/>
          <w:sz w:val="24"/>
          <w:szCs w:val="24"/>
        </w:rPr>
        <w:t xml:space="preserve">, </w:t>
      </w:r>
      <w:r w:rsidRPr="00A9340E">
        <w:rPr>
          <w:rFonts w:ascii="Times New Roman" w:eastAsia="Times New Roman" w:hAnsi="Times New Roman" w:cs="Times New Roman"/>
          <w:i/>
          <w:iCs/>
          <w:sz w:val="24"/>
          <w:szCs w:val="24"/>
        </w:rPr>
        <w:t>51</w:t>
      </w:r>
      <w:r w:rsidRPr="00A9340E">
        <w:rPr>
          <w:rFonts w:ascii="Times New Roman" w:eastAsia="Times New Roman" w:hAnsi="Times New Roman" w:cs="Times New Roman"/>
          <w:sz w:val="24"/>
          <w:szCs w:val="24"/>
        </w:rPr>
        <w:t xml:space="preserve">(2), 203–218. </w:t>
      </w:r>
      <w:hyperlink r:id="rId19" w:history="1">
        <w:r w:rsidRPr="00A9340E">
          <w:rPr>
            <w:rFonts w:ascii="Times New Roman" w:eastAsia="Times New Roman" w:hAnsi="Times New Roman" w:cs="Times New Roman"/>
            <w:color w:val="0000FF"/>
            <w:sz w:val="24"/>
            <w:szCs w:val="24"/>
            <w:u w:val="single"/>
          </w:rPr>
          <w:t>https://doi.org/10.1111/deve.12011</w:t>
        </w:r>
      </w:hyperlink>
    </w:p>
    <w:p w14:paraId="7330537A" w14:textId="77777777" w:rsidR="00A9340E" w:rsidRPr="00A9340E" w:rsidRDefault="00A9340E" w:rsidP="00A9340E">
      <w:pPr>
        <w:spacing w:after="0" w:line="480" w:lineRule="auto"/>
        <w:ind w:hanging="480"/>
        <w:rPr>
          <w:rFonts w:ascii="Times New Roman" w:eastAsia="Times New Roman" w:hAnsi="Times New Roman" w:cs="Times New Roman"/>
          <w:sz w:val="24"/>
          <w:szCs w:val="24"/>
        </w:rPr>
      </w:pPr>
      <w:r w:rsidRPr="00A9340E">
        <w:rPr>
          <w:rFonts w:ascii="Times New Roman" w:eastAsia="Times New Roman" w:hAnsi="Times New Roman" w:cs="Times New Roman"/>
          <w:sz w:val="24"/>
          <w:szCs w:val="24"/>
        </w:rPr>
        <w:t xml:space="preserve">Finseraas, H. (2009). Income Inequality and Demand for Redistribution: A Multilevel Analysis of European Public Opinion. </w:t>
      </w:r>
      <w:r w:rsidRPr="00A9340E">
        <w:rPr>
          <w:rFonts w:ascii="Times New Roman" w:eastAsia="Times New Roman" w:hAnsi="Times New Roman" w:cs="Times New Roman"/>
          <w:i/>
          <w:iCs/>
          <w:sz w:val="24"/>
          <w:szCs w:val="24"/>
        </w:rPr>
        <w:t>Scandinavian Political Studies</w:t>
      </w:r>
      <w:r w:rsidRPr="00A9340E">
        <w:rPr>
          <w:rFonts w:ascii="Times New Roman" w:eastAsia="Times New Roman" w:hAnsi="Times New Roman" w:cs="Times New Roman"/>
          <w:sz w:val="24"/>
          <w:szCs w:val="24"/>
        </w:rPr>
        <w:t xml:space="preserve">, </w:t>
      </w:r>
      <w:r w:rsidRPr="00A9340E">
        <w:rPr>
          <w:rFonts w:ascii="Times New Roman" w:eastAsia="Times New Roman" w:hAnsi="Times New Roman" w:cs="Times New Roman"/>
          <w:i/>
          <w:iCs/>
          <w:sz w:val="24"/>
          <w:szCs w:val="24"/>
        </w:rPr>
        <w:t>32</w:t>
      </w:r>
      <w:r w:rsidRPr="00A9340E">
        <w:rPr>
          <w:rFonts w:ascii="Times New Roman" w:eastAsia="Times New Roman" w:hAnsi="Times New Roman" w:cs="Times New Roman"/>
          <w:sz w:val="24"/>
          <w:szCs w:val="24"/>
        </w:rPr>
        <w:t xml:space="preserve">(1), 94–119. </w:t>
      </w:r>
      <w:hyperlink r:id="rId20" w:history="1">
        <w:r w:rsidRPr="00A9340E">
          <w:rPr>
            <w:rFonts w:ascii="Times New Roman" w:eastAsia="Times New Roman" w:hAnsi="Times New Roman" w:cs="Times New Roman"/>
            <w:color w:val="0000FF"/>
            <w:sz w:val="24"/>
            <w:szCs w:val="24"/>
            <w:u w:val="single"/>
          </w:rPr>
          <w:t>https://doi.org/10.1111/j.1467-9477.2008.00211.x</w:t>
        </w:r>
      </w:hyperlink>
    </w:p>
    <w:p w14:paraId="1FFF725F" w14:textId="77777777" w:rsidR="00A9340E" w:rsidRPr="00A9340E" w:rsidRDefault="00A9340E" w:rsidP="00A9340E">
      <w:pPr>
        <w:spacing w:after="0" w:line="480" w:lineRule="auto"/>
        <w:ind w:hanging="480"/>
        <w:rPr>
          <w:rFonts w:ascii="Times New Roman" w:eastAsia="Times New Roman" w:hAnsi="Times New Roman" w:cs="Times New Roman"/>
          <w:sz w:val="24"/>
          <w:szCs w:val="24"/>
        </w:rPr>
      </w:pPr>
      <w:r w:rsidRPr="00A9340E">
        <w:rPr>
          <w:rFonts w:ascii="Times New Roman" w:eastAsia="Times New Roman" w:hAnsi="Times New Roman" w:cs="Times New Roman"/>
          <w:sz w:val="24"/>
          <w:szCs w:val="24"/>
        </w:rPr>
        <w:t xml:space="preserve">García‐Sánchez, E., Osborne, D., Willis, G. B., &amp; Rodríguez‐Bailón, R. (2020). Attitudes towards redistribution and the interplay between perceptions and beliefs about inequality. </w:t>
      </w:r>
      <w:r w:rsidRPr="00A9340E">
        <w:rPr>
          <w:rFonts w:ascii="Times New Roman" w:eastAsia="Times New Roman" w:hAnsi="Times New Roman" w:cs="Times New Roman"/>
          <w:i/>
          <w:iCs/>
          <w:sz w:val="24"/>
          <w:szCs w:val="24"/>
        </w:rPr>
        <w:t>British Journal of Social Psychology</w:t>
      </w:r>
      <w:r w:rsidRPr="00A9340E">
        <w:rPr>
          <w:rFonts w:ascii="Times New Roman" w:eastAsia="Times New Roman" w:hAnsi="Times New Roman" w:cs="Times New Roman"/>
          <w:sz w:val="24"/>
          <w:szCs w:val="24"/>
        </w:rPr>
        <w:t xml:space="preserve">, </w:t>
      </w:r>
      <w:r w:rsidRPr="00A9340E">
        <w:rPr>
          <w:rFonts w:ascii="Times New Roman" w:eastAsia="Times New Roman" w:hAnsi="Times New Roman" w:cs="Times New Roman"/>
          <w:i/>
          <w:iCs/>
          <w:sz w:val="24"/>
          <w:szCs w:val="24"/>
        </w:rPr>
        <w:t>59</w:t>
      </w:r>
      <w:r w:rsidRPr="00A9340E">
        <w:rPr>
          <w:rFonts w:ascii="Times New Roman" w:eastAsia="Times New Roman" w:hAnsi="Times New Roman" w:cs="Times New Roman"/>
          <w:sz w:val="24"/>
          <w:szCs w:val="24"/>
        </w:rPr>
        <w:t xml:space="preserve">(1), 111–136. </w:t>
      </w:r>
      <w:hyperlink r:id="rId21" w:history="1">
        <w:r w:rsidRPr="00A9340E">
          <w:rPr>
            <w:rFonts w:ascii="Times New Roman" w:eastAsia="Times New Roman" w:hAnsi="Times New Roman" w:cs="Times New Roman"/>
            <w:color w:val="0000FF"/>
            <w:sz w:val="24"/>
            <w:szCs w:val="24"/>
            <w:u w:val="single"/>
          </w:rPr>
          <w:t>https://doi.org/10.1111/bjso.12326</w:t>
        </w:r>
      </w:hyperlink>
    </w:p>
    <w:p w14:paraId="25D37484" w14:textId="77777777" w:rsidR="00A9340E" w:rsidRPr="00A9340E" w:rsidRDefault="00A9340E" w:rsidP="00A9340E">
      <w:pPr>
        <w:spacing w:after="0" w:line="480" w:lineRule="auto"/>
        <w:ind w:hanging="480"/>
        <w:rPr>
          <w:rFonts w:ascii="Times New Roman" w:eastAsia="Times New Roman" w:hAnsi="Times New Roman" w:cs="Times New Roman"/>
          <w:sz w:val="24"/>
          <w:szCs w:val="24"/>
        </w:rPr>
      </w:pPr>
      <w:r w:rsidRPr="00A9340E">
        <w:rPr>
          <w:rFonts w:ascii="Times New Roman" w:eastAsia="Times New Roman" w:hAnsi="Times New Roman" w:cs="Times New Roman"/>
          <w:sz w:val="24"/>
          <w:szCs w:val="24"/>
        </w:rPr>
        <w:t xml:space="preserve">Gilens, M. (2005). Inequality and Democratic Responsiveness. </w:t>
      </w:r>
      <w:r w:rsidRPr="00A9340E">
        <w:rPr>
          <w:rFonts w:ascii="Times New Roman" w:eastAsia="Times New Roman" w:hAnsi="Times New Roman" w:cs="Times New Roman"/>
          <w:i/>
          <w:iCs/>
          <w:sz w:val="24"/>
          <w:szCs w:val="24"/>
        </w:rPr>
        <w:t>Public Opinion Quarterly</w:t>
      </w:r>
      <w:r w:rsidRPr="00A9340E">
        <w:rPr>
          <w:rFonts w:ascii="Times New Roman" w:eastAsia="Times New Roman" w:hAnsi="Times New Roman" w:cs="Times New Roman"/>
          <w:sz w:val="24"/>
          <w:szCs w:val="24"/>
        </w:rPr>
        <w:t xml:space="preserve">, </w:t>
      </w:r>
      <w:r w:rsidRPr="00A9340E">
        <w:rPr>
          <w:rFonts w:ascii="Times New Roman" w:eastAsia="Times New Roman" w:hAnsi="Times New Roman" w:cs="Times New Roman"/>
          <w:i/>
          <w:iCs/>
          <w:sz w:val="24"/>
          <w:szCs w:val="24"/>
        </w:rPr>
        <w:t>69</w:t>
      </w:r>
      <w:r w:rsidRPr="00A9340E">
        <w:rPr>
          <w:rFonts w:ascii="Times New Roman" w:eastAsia="Times New Roman" w:hAnsi="Times New Roman" w:cs="Times New Roman"/>
          <w:sz w:val="24"/>
          <w:szCs w:val="24"/>
        </w:rPr>
        <w:t xml:space="preserve">(5), 778–796. </w:t>
      </w:r>
      <w:hyperlink r:id="rId22" w:history="1">
        <w:r w:rsidRPr="00A9340E">
          <w:rPr>
            <w:rFonts w:ascii="Times New Roman" w:eastAsia="Times New Roman" w:hAnsi="Times New Roman" w:cs="Times New Roman"/>
            <w:color w:val="0000FF"/>
            <w:sz w:val="24"/>
            <w:szCs w:val="24"/>
            <w:u w:val="single"/>
          </w:rPr>
          <w:t>https://doi.org/10.1093/poq/nfi058</w:t>
        </w:r>
      </w:hyperlink>
    </w:p>
    <w:p w14:paraId="3C29A2CD" w14:textId="77777777" w:rsidR="00A9340E" w:rsidRPr="00A9340E" w:rsidRDefault="00A9340E" w:rsidP="00A9340E">
      <w:pPr>
        <w:spacing w:after="0" w:line="480" w:lineRule="auto"/>
        <w:ind w:hanging="480"/>
        <w:rPr>
          <w:rFonts w:ascii="Times New Roman" w:eastAsia="Times New Roman" w:hAnsi="Times New Roman" w:cs="Times New Roman"/>
          <w:sz w:val="24"/>
          <w:szCs w:val="24"/>
        </w:rPr>
      </w:pPr>
      <w:r w:rsidRPr="00A9340E">
        <w:rPr>
          <w:rFonts w:ascii="Times New Roman" w:eastAsia="Times New Roman" w:hAnsi="Times New Roman" w:cs="Times New Roman"/>
          <w:sz w:val="24"/>
          <w:szCs w:val="24"/>
        </w:rPr>
        <w:t xml:space="preserve">Guillaud, E. (2013). Preferences for redistribution: An empirical analysis over 33 countries. </w:t>
      </w:r>
      <w:r w:rsidRPr="00A9340E">
        <w:rPr>
          <w:rFonts w:ascii="Times New Roman" w:eastAsia="Times New Roman" w:hAnsi="Times New Roman" w:cs="Times New Roman"/>
          <w:i/>
          <w:iCs/>
          <w:sz w:val="24"/>
          <w:szCs w:val="24"/>
        </w:rPr>
        <w:t>The Journal of Economic Inequality</w:t>
      </w:r>
      <w:r w:rsidRPr="00A9340E">
        <w:rPr>
          <w:rFonts w:ascii="Times New Roman" w:eastAsia="Times New Roman" w:hAnsi="Times New Roman" w:cs="Times New Roman"/>
          <w:sz w:val="24"/>
          <w:szCs w:val="24"/>
        </w:rPr>
        <w:t xml:space="preserve">, </w:t>
      </w:r>
      <w:r w:rsidRPr="00A9340E">
        <w:rPr>
          <w:rFonts w:ascii="Times New Roman" w:eastAsia="Times New Roman" w:hAnsi="Times New Roman" w:cs="Times New Roman"/>
          <w:i/>
          <w:iCs/>
          <w:sz w:val="24"/>
          <w:szCs w:val="24"/>
        </w:rPr>
        <w:t>11</w:t>
      </w:r>
      <w:r w:rsidRPr="00A9340E">
        <w:rPr>
          <w:rFonts w:ascii="Times New Roman" w:eastAsia="Times New Roman" w:hAnsi="Times New Roman" w:cs="Times New Roman"/>
          <w:sz w:val="24"/>
          <w:szCs w:val="24"/>
        </w:rPr>
        <w:t xml:space="preserve">(1), 57–78. </w:t>
      </w:r>
      <w:hyperlink r:id="rId23" w:history="1">
        <w:r w:rsidRPr="00A9340E">
          <w:rPr>
            <w:rFonts w:ascii="Times New Roman" w:eastAsia="Times New Roman" w:hAnsi="Times New Roman" w:cs="Times New Roman"/>
            <w:color w:val="0000FF"/>
            <w:sz w:val="24"/>
            <w:szCs w:val="24"/>
            <w:u w:val="single"/>
          </w:rPr>
          <w:t>https://doi.org/10.1007/s10888-011-9205-0</w:t>
        </w:r>
      </w:hyperlink>
    </w:p>
    <w:p w14:paraId="24576AD1" w14:textId="77777777" w:rsidR="00A9340E" w:rsidRPr="00A9340E" w:rsidRDefault="00A9340E" w:rsidP="00A9340E">
      <w:pPr>
        <w:spacing w:after="0" w:line="480" w:lineRule="auto"/>
        <w:ind w:hanging="480"/>
        <w:rPr>
          <w:rFonts w:ascii="Times New Roman" w:eastAsia="Times New Roman" w:hAnsi="Times New Roman" w:cs="Times New Roman"/>
          <w:sz w:val="24"/>
          <w:szCs w:val="24"/>
        </w:rPr>
      </w:pPr>
      <w:r w:rsidRPr="00A9340E">
        <w:rPr>
          <w:rFonts w:ascii="Times New Roman" w:eastAsia="Times New Roman" w:hAnsi="Times New Roman" w:cs="Times New Roman"/>
          <w:sz w:val="24"/>
          <w:szCs w:val="24"/>
        </w:rPr>
        <w:lastRenderedPageBreak/>
        <w:t xml:space="preserve">Hacker, J. S. (2004). Privatizing Risk without Privatizing the Welfare State: The Hidden Politics of Social Policy Retrenchment in the United States. </w:t>
      </w:r>
      <w:r w:rsidRPr="00A9340E">
        <w:rPr>
          <w:rFonts w:ascii="Times New Roman" w:eastAsia="Times New Roman" w:hAnsi="Times New Roman" w:cs="Times New Roman"/>
          <w:i/>
          <w:iCs/>
          <w:sz w:val="24"/>
          <w:szCs w:val="24"/>
        </w:rPr>
        <w:t>American Political Science Review</w:t>
      </w:r>
      <w:r w:rsidRPr="00A9340E">
        <w:rPr>
          <w:rFonts w:ascii="Times New Roman" w:eastAsia="Times New Roman" w:hAnsi="Times New Roman" w:cs="Times New Roman"/>
          <w:sz w:val="24"/>
          <w:szCs w:val="24"/>
        </w:rPr>
        <w:t xml:space="preserve">, </w:t>
      </w:r>
      <w:r w:rsidRPr="00A9340E">
        <w:rPr>
          <w:rFonts w:ascii="Times New Roman" w:eastAsia="Times New Roman" w:hAnsi="Times New Roman" w:cs="Times New Roman"/>
          <w:i/>
          <w:iCs/>
          <w:sz w:val="24"/>
          <w:szCs w:val="24"/>
        </w:rPr>
        <w:t>98</w:t>
      </w:r>
      <w:r w:rsidRPr="00A9340E">
        <w:rPr>
          <w:rFonts w:ascii="Times New Roman" w:eastAsia="Times New Roman" w:hAnsi="Times New Roman" w:cs="Times New Roman"/>
          <w:sz w:val="24"/>
          <w:szCs w:val="24"/>
        </w:rPr>
        <w:t xml:space="preserve">(2), 243–260. </w:t>
      </w:r>
      <w:hyperlink r:id="rId24" w:history="1">
        <w:r w:rsidRPr="00A9340E">
          <w:rPr>
            <w:rFonts w:ascii="Times New Roman" w:eastAsia="Times New Roman" w:hAnsi="Times New Roman" w:cs="Times New Roman"/>
            <w:color w:val="0000FF"/>
            <w:sz w:val="24"/>
            <w:szCs w:val="24"/>
            <w:u w:val="single"/>
          </w:rPr>
          <w:t>https://doi.org/10.1017/S0003055404001121</w:t>
        </w:r>
      </w:hyperlink>
    </w:p>
    <w:p w14:paraId="48A98D52" w14:textId="77777777" w:rsidR="00A9340E" w:rsidRPr="00A9340E" w:rsidRDefault="00A9340E" w:rsidP="00A9340E">
      <w:pPr>
        <w:spacing w:after="0" w:line="480" w:lineRule="auto"/>
        <w:ind w:hanging="480"/>
        <w:rPr>
          <w:rFonts w:ascii="Times New Roman" w:eastAsia="Times New Roman" w:hAnsi="Times New Roman" w:cs="Times New Roman"/>
          <w:sz w:val="24"/>
          <w:szCs w:val="24"/>
        </w:rPr>
      </w:pPr>
      <w:r w:rsidRPr="00A9340E">
        <w:rPr>
          <w:rFonts w:ascii="Times New Roman" w:eastAsia="Times New Roman" w:hAnsi="Times New Roman" w:cs="Times New Roman"/>
          <w:sz w:val="24"/>
          <w:szCs w:val="24"/>
        </w:rPr>
        <w:t xml:space="preserve">Hauser, O. P., &amp; Norton, M. I. (2017). (Mis)perceptions of inequality. </w:t>
      </w:r>
      <w:r w:rsidRPr="00A9340E">
        <w:rPr>
          <w:rFonts w:ascii="Times New Roman" w:eastAsia="Times New Roman" w:hAnsi="Times New Roman" w:cs="Times New Roman"/>
          <w:i/>
          <w:iCs/>
          <w:sz w:val="24"/>
          <w:szCs w:val="24"/>
        </w:rPr>
        <w:t>Current Opinion in Psychology</w:t>
      </w:r>
      <w:r w:rsidRPr="00A9340E">
        <w:rPr>
          <w:rFonts w:ascii="Times New Roman" w:eastAsia="Times New Roman" w:hAnsi="Times New Roman" w:cs="Times New Roman"/>
          <w:sz w:val="24"/>
          <w:szCs w:val="24"/>
        </w:rPr>
        <w:t xml:space="preserve">, </w:t>
      </w:r>
      <w:r w:rsidRPr="00A9340E">
        <w:rPr>
          <w:rFonts w:ascii="Times New Roman" w:eastAsia="Times New Roman" w:hAnsi="Times New Roman" w:cs="Times New Roman"/>
          <w:i/>
          <w:iCs/>
          <w:sz w:val="24"/>
          <w:szCs w:val="24"/>
        </w:rPr>
        <w:t>18</w:t>
      </w:r>
      <w:r w:rsidRPr="00A9340E">
        <w:rPr>
          <w:rFonts w:ascii="Times New Roman" w:eastAsia="Times New Roman" w:hAnsi="Times New Roman" w:cs="Times New Roman"/>
          <w:sz w:val="24"/>
          <w:szCs w:val="24"/>
        </w:rPr>
        <w:t xml:space="preserve">, 21–25. </w:t>
      </w:r>
      <w:hyperlink r:id="rId25" w:history="1">
        <w:r w:rsidRPr="00A9340E">
          <w:rPr>
            <w:rFonts w:ascii="Times New Roman" w:eastAsia="Times New Roman" w:hAnsi="Times New Roman" w:cs="Times New Roman"/>
            <w:color w:val="0000FF"/>
            <w:sz w:val="24"/>
            <w:szCs w:val="24"/>
            <w:u w:val="single"/>
          </w:rPr>
          <w:t>https://doi.org/10.1016/j.copsyc.2017.07.024</w:t>
        </w:r>
      </w:hyperlink>
    </w:p>
    <w:p w14:paraId="2B9F61E0" w14:textId="77777777" w:rsidR="00A9340E" w:rsidRPr="00A9340E" w:rsidRDefault="00A9340E" w:rsidP="00A9340E">
      <w:pPr>
        <w:spacing w:after="0" w:line="480" w:lineRule="auto"/>
        <w:ind w:hanging="480"/>
        <w:rPr>
          <w:rFonts w:ascii="Times New Roman" w:eastAsia="Times New Roman" w:hAnsi="Times New Roman" w:cs="Times New Roman"/>
          <w:sz w:val="24"/>
          <w:szCs w:val="24"/>
        </w:rPr>
      </w:pPr>
      <w:r w:rsidRPr="00A9340E">
        <w:rPr>
          <w:rFonts w:ascii="Times New Roman" w:eastAsia="Times New Roman" w:hAnsi="Times New Roman" w:cs="Times New Roman"/>
          <w:sz w:val="24"/>
          <w:szCs w:val="24"/>
        </w:rPr>
        <w:t xml:space="preserve">Iversen, T., &amp; Soskice, D. (2006). Electoral Institutions and the Politics of Coalitions: Why Some Democracies Redistribute More Than Others. </w:t>
      </w:r>
      <w:r w:rsidRPr="00A9340E">
        <w:rPr>
          <w:rFonts w:ascii="Times New Roman" w:eastAsia="Times New Roman" w:hAnsi="Times New Roman" w:cs="Times New Roman"/>
          <w:i/>
          <w:iCs/>
          <w:sz w:val="24"/>
          <w:szCs w:val="24"/>
        </w:rPr>
        <w:t>American Political Science Review</w:t>
      </w:r>
      <w:r w:rsidRPr="00A9340E">
        <w:rPr>
          <w:rFonts w:ascii="Times New Roman" w:eastAsia="Times New Roman" w:hAnsi="Times New Roman" w:cs="Times New Roman"/>
          <w:sz w:val="24"/>
          <w:szCs w:val="24"/>
        </w:rPr>
        <w:t xml:space="preserve">, </w:t>
      </w:r>
      <w:r w:rsidRPr="00A9340E">
        <w:rPr>
          <w:rFonts w:ascii="Times New Roman" w:eastAsia="Times New Roman" w:hAnsi="Times New Roman" w:cs="Times New Roman"/>
          <w:i/>
          <w:iCs/>
          <w:sz w:val="24"/>
          <w:szCs w:val="24"/>
        </w:rPr>
        <w:t>100</w:t>
      </w:r>
      <w:r w:rsidRPr="00A9340E">
        <w:rPr>
          <w:rFonts w:ascii="Times New Roman" w:eastAsia="Times New Roman" w:hAnsi="Times New Roman" w:cs="Times New Roman"/>
          <w:sz w:val="24"/>
          <w:szCs w:val="24"/>
        </w:rPr>
        <w:t xml:space="preserve">(2), 165–181. </w:t>
      </w:r>
      <w:hyperlink r:id="rId26" w:history="1">
        <w:r w:rsidRPr="00A9340E">
          <w:rPr>
            <w:rFonts w:ascii="Times New Roman" w:eastAsia="Times New Roman" w:hAnsi="Times New Roman" w:cs="Times New Roman"/>
            <w:color w:val="0000FF"/>
            <w:sz w:val="24"/>
            <w:szCs w:val="24"/>
            <w:u w:val="single"/>
          </w:rPr>
          <w:t>https://doi.org/10.1017/S0003055406062083</w:t>
        </w:r>
      </w:hyperlink>
    </w:p>
    <w:p w14:paraId="1C7A951C" w14:textId="77777777" w:rsidR="00A9340E" w:rsidRPr="00A9340E" w:rsidRDefault="00A9340E" w:rsidP="00A9340E">
      <w:pPr>
        <w:spacing w:after="0" w:line="480" w:lineRule="auto"/>
        <w:ind w:hanging="480"/>
        <w:rPr>
          <w:rFonts w:ascii="Times New Roman" w:eastAsia="Times New Roman" w:hAnsi="Times New Roman" w:cs="Times New Roman"/>
          <w:sz w:val="24"/>
          <w:szCs w:val="24"/>
        </w:rPr>
      </w:pPr>
      <w:r w:rsidRPr="00A9340E">
        <w:rPr>
          <w:rFonts w:ascii="Times New Roman" w:eastAsia="Times New Roman" w:hAnsi="Times New Roman" w:cs="Times New Roman"/>
          <w:sz w:val="24"/>
          <w:szCs w:val="24"/>
        </w:rPr>
        <w:t xml:space="preserve">Jæger, M. M. (2006). Welfare Regimes and Attitudes Towards Redistribution: The Regime Hypothesis Revisited. </w:t>
      </w:r>
      <w:r w:rsidRPr="00A9340E">
        <w:rPr>
          <w:rFonts w:ascii="Times New Roman" w:eastAsia="Times New Roman" w:hAnsi="Times New Roman" w:cs="Times New Roman"/>
          <w:i/>
          <w:iCs/>
          <w:sz w:val="24"/>
          <w:szCs w:val="24"/>
        </w:rPr>
        <w:t>European Sociological Review</w:t>
      </w:r>
      <w:r w:rsidRPr="00A9340E">
        <w:rPr>
          <w:rFonts w:ascii="Times New Roman" w:eastAsia="Times New Roman" w:hAnsi="Times New Roman" w:cs="Times New Roman"/>
          <w:sz w:val="24"/>
          <w:szCs w:val="24"/>
        </w:rPr>
        <w:t xml:space="preserve">, </w:t>
      </w:r>
      <w:r w:rsidRPr="00A9340E">
        <w:rPr>
          <w:rFonts w:ascii="Times New Roman" w:eastAsia="Times New Roman" w:hAnsi="Times New Roman" w:cs="Times New Roman"/>
          <w:i/>
          <w:iCs/>
          <w:sz w:val="24"/>
          <w:szCs w:val="24"/>
        </w:rPr>
        <w:t>22</w:t>
      </w:r>
      <w:r w:rsidRPr="00A9340E">
        <w:rPr>
          <w:rFonts w:ascii="Times New Roman" w:eastAsia="Times New Roman" w:hAnsi="Times New Roman" w:cs="Times New Roman"/>
          <w:sz w:val="24"/>
          <w:szCs w:val="24"/>
        </w:rPr>
        <w:t xml:space="preserve">(2), 157–170. </w:t>
      </w:r>
      <w:hyperlink r:id="rId27" w:history="1">
        <w:r w:rsidRPr="00A9340E">
          <w:rPr>
            <w:rFonts w:ascii="Times New Roman" w:eastAsia="Times New Roman" w:hAnsi="Times New Roman" w:cs="Times New Roman"/>
            <w:color w:val="0000FF"/>
            <w:sz w:val="24"/>
            <w:szCs w:val="24"/>
            <w:u w:val="single"/>
          </w:rPr>
          <w:t>https://doi.org/10.1093/esr/jci049</w:t>
        </w:r>
      </w:hyperlink>
    </w:p>
    <w:p w14:paraId="25B718A2" w14:textId="77777777" w:rsidR="00A9340E" w:rsidRPr="00A9340E" w:rsidRDefault="00A9340E" w:rsidP="00A9340E">
      <w:pPr>
        <w:spacing w:after="0" w:line="480" w:lineRule="auto"/>
        <w:ind w:hanging="480"/>
        <w:rPr>
          <w:rFonts w:ascii="Times New Roman" w:eastAsia="Times New Roman" w:hAnsi="Times New Roman" w:cs="Times New Roman"/>
          <w:sz w:val="24"/>
          <w:szCs w:val="24"/>
        </w:rPr>
      </w:pPr>
      <w:r w:rsidRPr="00A9340E">
        <w:rPr>
          <w:rFonts w:ascii="Times New Roman" w:eastAsia="Times New Roman" w:hAnsi="Times New Roman" w:cs="Times New Roman"/>
          <w:sz w:val="24"/>
          <w:szCs w:val="24"/>
        </w:rPr>
        <w:t xml:space="preserve">Kambayashi, R., &amp; Lechevalier, S. (2022). Why do Redistributive Policies Differ across Countries? Analyzing the Multiple Dimensions of Preferences for Redistribution. </w:t>
      </w:r>
      <w:r w:rsidRPr="00A9340E">
        <w:rPr>
          <w:rFonts w:ascii="Times New Roman" w:eastAsia="Times New Roman" w:hAnsi="Times New Roman" w:cs="Times New Roman"/>
          <w:i/>
          <w:iCs/>
          <w:sz w:val="24"/>
          <w:szCs w:val="24"/>
        </w:rPr>
        <w:t>Review of Income and Wealth</w:t>
      </w:r>
      <w:r w:rsidRPr="00A9340E">
        <w:rPr>
          <w:rFonts w:ascii="Times New Roman" w:eastAsia="Times New Roman" w:hAnsi="Times New Roman" w:cs="Times New Roman"/>
          <w:sz w:val="24"/>
          <w:szCs w:val="24"/>
        </w:rPr>
        <w:t xml:space="preserve">, </w:t>
      </w:r>
      <w:r w:rsidRPr="00A9340E">
        <w:rPr>
          <w:rFonts w:ascii="Times New Roman" w:eastAsia="Times New Roman" w:hAnsi="Times New Roman" w:cs="Times New Roman"/>
          <w:i/>
          <w:iCs/>
          <w:sz w:val="24"/>
          <w:szCs w:val="24"/>
        </w:rPr>
        <w:t>68</w:t>
      </w:r>
      <w:r w:rsidRPr="00A9340E">
        <w:rPr>
          <w:rFonts w:ascii="Times New Roman" w:eastAsia="Times New Roman" w:hAnsi="Times New Roman" w:cs="Times New Roman"/>
          <w:sz w:val="24"/>
          <w:szCs w:val="24"/>
        </w:rPr>
        <w:t xml:space="preserve">(4), 1032–1057. </w:t>
      </w:r>
      <w:hyperlink r:id="rId28" w:history="1">
        <w:r w:rsidRPr="00A9340E">
          <w:rPr>
            <w:rFonts w:ascii="Times New Roman" w:eastAsia="Times New Roman" w:hAnsi="Times New Roman" w:cs="Times New Roman"/>
            <w:color w:val="0000FF"/>
            <w:sz w:val="24"/>
            <w:szCs w:val="24"/>
            <w:u w:val="single"/>
          </w:rPr>
          <w:t>https://doi.org/10.1111/roiw.12541</w:t>
        </w:r>
      </w:hyperlink>
    </w:p>
    <w:p w14:paraId="7C38C0EF" w14:textId="77777777" w:rsidR="00A9340E" w:rsidRPr="00A9340E" w:rsidRDefault="00A9340E" w:rsidP="00A9340E">
      <w:pPr>
        <w:spacing w:after="0" w:line="480" w:lineRule="auto"/>
        <w:ind w:hanging="480"/>
        <w:rPr>
          <w:rFonts w:ascii="Times New Roman" w:eastAsia="Times New Roman" w:hAnsi="Times New Roman" w:cs="Times New Roman"/>
          <w:sz w:val="24"/>
          <w:szCs w:val="24"/>
        </w:rPr>
      </w:pPr>
      <w:r w:rsidRPr="00A9340E">
        <w:rPr>
          <w:rFonts w:ascii="Times New Roman" w:eastAsia="Times New Roman" w:hAnsi="Times New Roman" w:cs="Times New Roman"/>
          <w:sz w:val="24"/>
          <w:szCs w:val="24"/>
        </w:rPr>
        <w:t xml:space="preserve">Kelly, N. J., &amp; Enns, P. K. (2010). Inequality and the Dynamics of Public Opinion: The Self-Reinforcing Link Between Economic Inequality and Mass Preferences. </w:t>
      </w:r>
      <w:r w:rsidRPr="00A9340E">
        <w:rPr>
          <w:rFonts w:ascii="Times New Roman" w:eastAsia="Times New Roman" w:hAnsi="Times New Roman" w:cs="Times New Roman"/>
          <w:i/>
          <w:iCs/>
          <w:sz w:val="24"/>
          <w:szCs w:val="24"/>
        </w:rPr>
        <w:t>American Journal of Political Science</w:t>
      </w:r>
      <w:r w:rsidRPr="00A9340E">
        <w:rPr>
          <w:rFonts w:ascii="Times New Roman" w:eastAsia="Times New Roman" w:hAnsi="Times New Roman" w:cs="Times New Roman"/>
          <w:sz w:val="24"/>
          <w:szCs w:val="24"/>
        </w:rPr>
        <w:t xml:space="preserve">, </w:t>
      </w:r>
      <w:r w:rsidRPr="00A9340E">
        <w:rPr>
          <w:rFonts w:ascii="Times New Roman" w:eastAsia="Times New Roman" w:hAnsi="Times New Roman" w:cs="Times New Roman"/>
          <w:i/>
          <w:iCs/>
          <w:sz w:val="24"/>
          <w:szCs w:val="24"/>
        </w:rPr>
        <w:t>54</w:t>
      </w:r>
      <w:r w:rsidRPr="00A9340E">
        <w:rPr>
          <w:rFonts w:ascii="Times New Roman" w:eastAsia="Times New Roman" w:hAnsi="Times New Roman" w:cs="Times New Roman"/>
          <w:sz w:val="24"/>
          <w:szCs w:val="24"/>
        </w:rPr>
        <w:t xml:space="preserve">(4), 855–870. </w:t>
      </w:r>
      <w:hyperlink r:id="rId29" w:history="1">
        <w:r w:rsidRPr="00A9340E">
          <w:rPr>
            <w:rFonts w:ascii="Times New Roman" w:eastAsia="Times New Roman" w:hAnsi="Times New Roman" w:cs="Times New Roman"/>
            <w:color w:val="0000FF"/>
            <w:sz w:val="24"/>
            <w:szCs w:val="24"/>
            <w:u w:val="single"/>
          </w:rPr>
          <w:t>https://doi.org/10.1111/j.1540-5907.2010.00472.x</w:t>
        </w:r>
      </w:hyperlink>
    </w:p>
    <w:p w14:paraId="284E98F8" w14:textId="77777777" w:rsidR="00A9340E" w:rsidRPr="00A9340E" w:rsidRDefault="00A9340E" w:rsidP="00A9340E">
      <w:pPr>
        <w:spacing w:after="0" w:line="480" w:lineRule="auto"/>
        <w:ind w:hanging="480"/>
        <w:rPr>
          <w:rFonts w:ascii="Times New Roman" w:eastAsia="Times New Roman" w:hAnsi="Times New Roman" w:cs="Times New Roman"/>
          <w:sz w:val="24"/>
          <w:szCs w:val="24"/>
        </w:rPr>
      </w:pPr>
      <w:r w:rsidRPr="00A9340E">
        <w:rPr>
          <w:rFonts w:ascii="Times New Roman" w:eastAsia="Times New Roman" w:hAnsi="Times New Roman" w:cs="Times New Roman"/>
          <w:sz w:val="24"/>
          <w:szCs w:val="24"/>
        </w:rPr>
        <w:t xml:space="preserve">Kenworthy, L., &amp; McCall, L. (2007). Inequality, public opinion and redistribution. </w:t>
      </w:r>
      <w:r w:rsidRPr="00A9340E">
        <w:rPr>
          <w:rFonts w:ascii="Times New Roman" w:eastAsia="Times New Roman" w:hAnsi="Times New Roman" w:cs="Times New Roman"/>
          <w:i/>
          <w:iCs/>
          <w:sz w:val="24"/>
          <w:szCs w:val="24"/>
        </w:rPr>
        <w:t>Socio-Economic Review</w:t>
      </w:r>
      <w:r w:rsidRPr="00A9340E">
        <w:rPr>
          <w:rFonts w:ascii="Times New Roman" w:eastAsia="Times New Roman" w:hAnsi="Times New Roman" w:cs="Times New Roman"/>
          <w:sz w:val="24"/>
          <w:szCs w:val="24"/>
        </w:rPr>
        <w:t xml:space="preserve">, </w:t>
      </w:r>
      <w:r w:rsidRPr="00A9340E">
        <w:rPr>
          <w:rFonts w:ascii="Times New Roman" w:eastAsia="Times New Roman" w:hAnsi="Times New Roman" w:cs="Times New Roman"/>
          <w:i/>
          <w:iCs/>
          <w:sz w:val="24"/>
          <w:szCs w:val="24"/>
        </w:rPr>
        <w:t>6</w:t>
      </w:r>
      <w:r w:rsidRPr="00A9340E">
        <w:rPr>
          <w:rFonts w:ascii="Times New Roman" w:eastAsia="Times New Roman" w:hAnsi="Times New Roman" w:cs="Times New Roman"/>
          <w:sz w:val="24"/>
          <w:szCs w:val="24"/>
        </w:rPr>
        <w:t xml:space="preserve">(1), 35–68. </w:t>
      </w:r>
      <w:hyperlink r:id="rId30" w:history="1">
        <w:r w:rsidRPr="00A9340E">
          <w:rPr>
            <w:rFonts w:ascii="Times New Roman" w:eastAsia="Times New Roman" w:hAnsi="Times New Roman" w:cs="Times New Roman"/>
            <w:color w:val="0000FF"/>
            <w:sz w:val="24"/>
            <w:szCs w:val="24"/>
            <w:u w:val="single"/>
          </w:rPr>
          <w:t>https://doi.org/10.1093/ser/mwm006</w:t>
        </w:r>
      </w:hyperlink>
    </w:p>
    <w:p w14:paraId="6A4F3D94" w14:textId="77777777" w:rsidR="00A9340E" w:rsidRPr="00A9340E" w:rsidRDefault="00A9340E" w:rsidP="00A9340E">
      <w:pPr>
        <w:spacing w:after="0" w:line="480" w:lineRule="auto"/>
        <w:ind w:hanging="480"/>
        <w:rPr>
          <w:rFonts w:ascii="Times New Roman" w:eastAsia="Times New Roman" w:hAnsi="Times New Roman" w:cs="Times New Roman"/>
          <w:sz w:val="24"/>
          <w:szCs w:val="24"/>
        </w:rPr>
      </w:pPr>
      <w:r w:rsidRPr="00A9340E">
        <w:rPr>
          <w:rFonts w:ascii="Times New Roman" w:eastAsia="Times New Roman" w:hAnsi="Times New Roman" w:cs="Times New Roman"/>
          <w:sz w:val="24"/>
          <w:szCs w:val="24"/>
        </w:rPr>
        <w:t xml:space="preserve">Kulin, J., &amp; Svallfors, S. (2013). Class, Values, and Attitudes Towards Redistribution: A European Comparison. </w:t>
      </w:r>
      <w:r w:rsidRPr="00A9340E">
        <w:rPr>
          <w:rFonts w:ascii="Times New Roman" w:eastAsia="Times New Roman" w:hAnsi="Times New Roman" w:cs="Times New Roman"/>
          <w:i/>
          <w:iCs/>
          <w:sz w:val="24"/>
          <w:szCs w:val="24"/>
        </w:rPr>
        <w:t>European Sociological Review</w:t>
      </w:r>
      <w:r w:rsidRPr="00A9340E">
        <w:rPr>
          <w:rFonts w:ascii="Times New Roman" w:eastAsia="Times New Roman" w:hAnsi="Times New Roman" w:cs="Times New Roman"/>
          <w:sz w:val="24"/>
          <w:szCs w:val="24"/>
        </w:rPr>
        <w:t xml:space="preserve">, </w:t>
      </w:r>
      <w:r w:rsidRPr="00A9340E">
        <w:rPr>
          <w:rFonts w:ascii="Times New Roman" w:eastAsia="Times New Roman" w:hAnsi="Times New Roman" w:cs="Times New Roman"/>
          <w:i/>
          <w:iCs/>
          <w:sz w:val="24"/>
          <w:szCs w:val="24"/>
        </w:rPr>
        <w:t>29</w:t>
      </w:r>
      <w:r w:rsidRPr="00A9340E">
        <w:rPr>
          <w:rFonts w:ascii="Times New Roman" w:eastAsia="Times New Roman" w:hAnsi="Times New Roman" w:cs="Times New Roman"/>
          <w:sz w:val="24"/>
          <w:szCs w:val="24"/>
        </w:rPr>
        <w:t xml:space="preserve">(2), 155–167. </w:t>
      </w:r>
      <w:hyperlink r:id="rId31" w:history="1">
        <w:r w:rsidRPr="00A9340E">
          <w:rPr>
            <w:rFonts w:ascii="Times New Roman" w:eastAsia="Times New Roman" w:hAnsi="Times New Roman" w:cs="Times New Roman"/>
            <w:color w:val="0000FF"/>
            <w:sz w:val="24"/>
            <w:szCs w:val="24"/>
            <w:u w:val="single"/>
          </w:rPr>
          <w:t>https://doi.org/10.1093/esr/jcr046</w:t>
        </w:r>
      </w:hyperlink>
    </w:p>
    <w:p w14:paraId="7CFA4EA6" w14:textId="77777777" w:rsidR="00A9340E" w:rsidRPr="00A9340E" w:rsidRDefault="00A9340E" w:rsidP="00A9340E">
      <w:pPr>
        <w:spacing w:after="0" w:line="480" w:lineRule="auto"/>
        <w:ind w:hanging="480"/>
        <w:rPr>
          <w:rFonts w:ascii="Times New Roman" w:eastAsia="Times New Roman" w:hAnsi="Times New Roman" w:cs="Times New Roman"/>
          <w:sz w:val="24"/>
          <w:szCs w:val="24"/>
        </w:rPr>
      </w:pPr>
      <w:r w:rsidRPr="00A9340E">
        <w:rPr>
          <w:rFonts w:ascii="Times New Roman" w:eastAsia="Times New Roman" w:hAnsi="Times New Roman" w:cs="Times New Roman"/>
          <w:sz w:val="24"/>
          <w:szCs w:val="24"/>
        </w:rPr>
        <w:lastRenderedPageBreak/>
        <w:t xml:space="preserve">Kuziemko, I., Norton, M. I., Saez, E., &amp; Stantcheva, S. (2015). How Elastic Are Preferences for Redistribution? Evidence from Randomized Survey Experiments. </w:t>
      </w:r>
      <w:r w:rsidRPr="00A9340E">
        <w:rPr>
          <w:rFonts w:ascii="Times New Roman" w:eastAsia="Times New Roman" w:hAnsi="Times New Roman" w:cs="Times New Roman"/>
          <w:i/>
          <w:iCs/>
          <w:sz w:val="24"/>
          <w:szCs w:val="24"/>
        </w:rPr>
        <w:t>American Economic Review</w:t>
      </w:r>
      <w:r w:rsidRPr="00A9340E">
        <w:rPr>
          <w:rFonts w:ascii="Times New Roman" w:eastAsia="Times New Roman" w:hAnsi="Times New Roman" w:cs="Times New Roman"/>
          <w:sz w:val="24"/>
          <w:szCs w:val="24"/>
        </w:rPr>
        <w:t xml:space="preserve">, </w:t>
      </w:r>
      <w:r w:rsidRPr="00A9340E">
        <w:rPr>
          <w:rFonts w:ascii="Times New Roman" w:eastAsia="Times New Roman" w:hAnsi="Times New Roman" w:cs="Times New Roman"/>
          <w:i/>
          <w:iCs/>
          <w:sz w:val="24"/>
          <w:szCs w:val="24"/>
        </w:rPr>
        <w:t>105</w:t>
      </w:r>
      <w:r w:rsidRPr="00A9340E">
        <w:rPr>
          <w:rFonts w:ascii="Times New Roman" w:eastAsia="Times New Roman" w:hAnsi="Times New Roman" w:cs="Times New Roman"/>
          <w:sz w:val="24"/>
          <w:szCs w:val="24"/>
        </w:rPr>
        <w:t xml:space="preserve">(4), 1478–1508. </w:t>
      </w:r>
      <w:hyperlink r:id="rId32" w:history="1">
        <w:r w:rsidRPr="00A9340E">
          <w:rPr>
            <w:rFonts w:ascii="Times New Roman" w:eastAsia="Times New Roman" w:hAnsi="Times New Roman" w:cs="Times New Roman"/>
            <w:color w:val="0000FF"/>
            <w:sz w:val="24"/>
            <w:szCs w:val="24"/>
            <w:u w:val="single"/>
          </w:rPr>
          <w:t>https://doi.org/10.1257/aer.20130360</w:t>
        </w:r>
      </w:hyperlink>
    </w:p>
    <w:p w14:paraId="29A8281F" w14:textId="77777777" w:rsidR="00A9340E" w:rsidRPr="00A9340E" w:rsidRDefault="00A9340E" w:rsidP="00A9340E">
      <w:pPr>
        <w:spacing w:after="0" w:line="480" w:lineRule="auto"/>
        <w:ind w:hanging="480"/>
        <w:rPr>
          <w:rFonts w:ascii="Times New Roman" w:eastAsia="Times New Roman" w:hAnsi="Times New Roman" w:cs="Times New Roman"/>
          <w:sz w:val="24"/>
          <w:szCs w:val="24"/>
        </w:rPr>
      </w:pPr>
      <w:r w:rsidRPr="00A9340E">
        <w:rPr>
          <w:rFonts w:ascii="Times New Roman" w:eastAsia="Times New Roman" w:hAnsi="Times New Roman" w:cs="Times New Roman"/>
          <w:sz w:val="24"/>
          <w:szCs w:val="24"/>
        </w:rPr>
        <w:t xml:space="preserve">Lübker, M. (2007). Inequality and the demand for redistribution: Are the assumptions of the new growth theory valid?1. </w:t>
      </w:r>
      <w:r w:rsidRPr="00A9340E">
        <w:rPr>
          <w:rFonts w:ascii="Times New Roman" w:eastAsia="Times New Roman" w:hAnsi="Times New Roman" w:cs="Times New Roman"/>
          <w:i/>
          <w:iCs/>
          <w:sz w:val="24"/>
          <w:szCs w:val="24"/>
        </w:rPr>
        <w:t>Socio-Economic Review</w:t>
      </w:r>
      <w:r w:rsidRPr="00A9340E">
        <w:rPr>
          <w:rFonts w:ascii="Times New Roman" w:eastAsia="Times New Roman" w:hAnsi="Times New Roman" w:cs="Times New Roman"/>
          <w:sz w:val="24"/>
          <w:szCs w:val="24"/>
        </w:rPr>
        <w:t xml:space="preserve">, </w:t>
      </w:r>
      <w:r w:rsidRPr="00A9340E">
        <w:rPr>
          <w:rFonts w:ascii="Times New Roman" w:eastAsia="Times New Roman" w:hAnsi="Times New Roman" w:cs="Times New Roman"/>
          <w:i/>
          <w:iCs/>
          <w:sz w:val="24"/>
          <w:szCs w:val="24"/>
        </w:rPr>
        <w:t>5</w:t>
      </w:r>
      <w:r w:rsidRPr="00A9340E">
        <w:rPr>
          <w:rFonts w:ascii="Times New Roman" w:eastAsia="Times New Roman" w:hAnsi="Times New Roman" w:cs="Times New Roman"/>
          <w:sz w:val="24"/>
          <w:szCs w:val="24"/>
        </w:rPr>
        <w:t xml:space="preserve">(1), 117–148. </w:t>
      </w:r>
      <w:hyperlink r:id="rId33" w:history="1">
        <w:r w:rsidRPr="00A9340E">
          <w:rPr>
            <w:rFonts w:ascii="Times New Roman" w:eastAsia="Times New Roman" w:hAnsi="Times New Roman" w:cs="Times New Roman"/>
            <w:color w:val="0000FF"/>
            <w:sz w:val="24"/>
            <w:szCs w:val="24"/>
            <w:u w:val="single"/>
          </w:rPr>
          <w:t>https://doi.org/10.1093/ser/mwl002</w:t>
        </w:r>
      </w:hyperlink>
    </w:p>
    <w:p w14:paraId="331803CE" w14:textId="77777777" w:rsidR="00A9340E" w:rsidRPr="00A9340E" w:rsidRDefault="00A9340E" w:rsidP="00A9340E">
      <w:pPr>
        <w:spacing w:after="0" w:line="480" w:lineRule="auto"/>
        <w:ind w:hanging="480"/>
        <w:rPr>
          <w:rFonts w:ascii="Times New Roman" w:eastAsia="Times New Roman" w:hAnsi="Times New Roman" w:cs="Times New Roman"/>
          <w:sz w:val="24"/>
          <w:szCs w:val="24"/>
        </w:rPr>
      </w:pPr>
      <w:r w:rsidRPr="00A9340E">
        <w:rPr>
          <w:rFonts w:ascii="Times New Roman" w:eastAsia="Times New Roman" w:hAnsi="Times New Roman" w:cs="Times New Roman"/>
          <w:sz w:val="24"/>
          <w:szCs w:val="24"/>
        </w:rPr>
        <w:t xml:space="preserve">Luttig, M. (2013). The Structure of Inequality and Americans’ Attitudes toward Redistribution. </w:t>
      </w:r>
      <w:r w:rsidRPr="00A9340E">
        <w:rPr>
          <w:rFonts w:ascii="Times New Roman" w:eastAsia="Times New Roman" w:hAnsi="Times New Roman" w:cs="Times New Roman"/>
          <w:i/>
          <w:iCs/>
          <w:sz w:val="24"/>
          <w:szCs w:val="24"/>
        </w:rPr>
        <w:t>Public Opinion Quarterly</w:t>
      </w:r>
      <w:r w:rsidRPr="00A9340E">
        <w:rPr>
          <w:rFonts w:ascii="Times New Roman" w:eastAsia="Times New Roman" w:hAnsi="Times New Roman" w:cs="Times New Roman"/>
          <w:sz w:val="24"/>
          <w:szCs w:val="24"/>
        </w:rPr>
        <w:t xml:space="preserve">, </w:t>
      </w:r>
      <w:r w:rsidRPr="00A9340E">
        <w:rPr>
          <w:rFonts w:ascii="Times New Roman" w:eastAsia="Times New Roman" w:hAnsi="Times New Roman" w:cs="Times New Roman"/>
          <w:i/>
          <w:iCs/>
          <w:sz w:val="24"/>
          <w:szCs w:val="24"/>
        </w:rPr>
        <w:t>77</w:t>
      </w:r>
      <w:r w:rsidRPr="00A9340E">
        <w:rPr>
          <w:rFonts w:ascii="Times New Roman" w:eastAsia="Times New Roman" w:hAnsi="Times New Roman" w:cs="Times New Roman"/>
          <w:sz w:val="24"/>
          <w:szCs w:val="24"/>
        </w:rPr>
        <w:t xml:space="preserve">(3), 811–821. </w:t>
      </w:r>
      <w:hyperlink r:id="rId34" w:history="1">
        <w:r w:rsidRPr="00A9340E">
          <w:rPr>
            <w:rFonts w:ascii="Times New Roman" w:eastAsia="Times New Roman" w:hAnsi="Times New Roman" w:cs="Times New Roman"/>
            <w:color w:val="0000FF"/>
            <w:sz w:val="24"/>
            <w:szCs w:val="24"/>
            <w:u w:val="single"/>
          </w:rPr>
          <w:t>https://doi.org/10.1093/poq/nft025</w:t>
        </w:r>
      </w:hyperlink>
    </w:p>
    <w:p w14:paraId="3B56C7CF" w14:textId="77777777" w:rsidR="00A9340E" w:rsidRPr="00A9340E" w:rsidRDefault="00A9340E" w:rsidP="00A9340E">
      <w:pPr>
        <w:spacing w:after="0" w:line="480" w:lineRule="auto"/>
        <w:ind w:hanging="480"/>
        <w:rPr>
          <w:rFonts w:ascii="Times New Roman" w:eastAsia="Times New Roman" w:hAnsi="Times New Roman" w:cs="Times New Roman"/>
          <w:sz w:val="24"/>
          <w:szCs w:val="24"/>
        </w:rPr>
      </w:pPr>
      <w:r w:rsidRPr="00A9340E">
        <w:rPr>
          <w:rFonts w:ascii="Times New Roman" w:eastAsia="Times New Roman" w:hAnsi="Times New Roman" w:cs="Times New Roman"/>
          <w:sz w:val="24"/>
          <w:szCs w:val="24"/>
        </w:rPr>
        <w:t xml:space="preserve">Meltzer, A. H., &amp; Richard, S. F. (1981). A Rational Theory of the Size of Government. </w:t>
      </w:r>
      <w:r w:rsidRPr="00A9340E">
        <w:rPr>
          <w:rFonts w:ascii="Times New Roman" w:eastAsia="Times New Roman" w:hAnsi="Times New Roman" w:cs="Times New Roman"/>
          <w:i/>
          <w:iCs/>
          <w:sz w:val="24"/>
          <w:szCs w:val="24"/>
        </w:rPr>
        <w:t>Journal of Political Economy</w:t>
      </w:r>
      <w:r w:rsidRPr="00A9340E">
        <w:rPr>
          <w:rFonts w:ascii="Times New Roman" w:eastAsia="Times New Roman" w:hAnsi="Times New Roman" w:cs="Times New Roman"/>
          <w:sz w:val="24"/>
          <w:szCs w:val="24"/>
        </w:rPr>
        <w:t xml:space="preserve">, </w:t>
      </w:r>
      <w:r w:rsidRPr="00A9340E">
        <w:rPr>
          <w:rFonts w:ascii="Times New Roman" w:eastAsia="Times New Roman" w:hAnsi="Times New Roman" w:cs="Times New Roman"/>
          <w:i/>
          <w:iCs/>
          <w:sz w:val="24"/>
          <w:szCs w:val="24"/>
        </w:rPr>
        <w:t>89</w:t>
      </w:r>
      <w:r w:rsidRPr="00A9340E">
        <w:rPr>
          <w:rFonts w:ascii="Times New Roman" w:eastAsia="Times New Roman" w:hAnsi="Times New Roman" w:cs="Times New Roman"/>
          <w:sz w:val="24"/>
          <w:szCs w:val="24"/>
        </w:rPr>
        <w:t xml:space="preserve">(5), 914–927. </w:t>
      </w:r>
      <w:hyperlink r:id="rId35" w:history="1">
        <w:r w:rsidRPr="00A9340E">
          <w:rPr>
            <w:rFonts w:ascii="Times New Roman" w:eastAsia="Times New Roman" w:hAnsi="Times New Roman" w:cs="Times New Roman"/>
            <w:color w:val="0000FF"/>
            <w:sz w:val="24"/>
            <w:szCs w:val="24"/>
            <w:u w:val="single"/>
          </w:rPr>
          <w:t>https://doi.org/10.1086/261013</w:t>
        </w:r>
      </w:hyperlink>
    </w:p>
    <w:p w14:paraId="0B3C1F1A" w14:textId="77777777" w:rsidR="00A9340E" w:rsidRPr="00A9340E" w:rsidRDefault="00A9340E" w:rsidP="00A9340E">
      <w:pPr>
        <w:spacing w:after="0" w:line="480" w:lineRule="auto"/>
        <w:ind w:hanging="480"/>
        <w:rPr>
          <w:rFonts w:ascii="Times New Roman" w:eastAsia="Times New Roman" w:hAnsi="Times New Roman" w:cs="Times New Roman"/>
          <w:sz w:val="24"/>
          <w:szCs w:val="24"/>
        </w:rPr>
      </w:pPr>
      <w:r w:rsidRPr="00A9340E">
        <w:rPr>
          <w:rFonts w:ascii="Times New Roman" w:eastAsia="Times New Roman" w:hAnsi="Times New Roman" w:cs="Times New Roman"/>
          <w:sz w:val="24"/>
          <w:szCs w:val="24"/>
        </w:rPr>
        <w:t xml:space="preserve">Mijs, J. (2018). Inequality Is a Problem of Inference: How People Solve the Social Puzzle of Unequal Outcomes. </w:t>
      </w:r>
      <w:r w:rsidRPr="00A9340E">
        <w:rPr>
          <w:rFonts w:ascii="Times New Roman" w:eastAsia="Times New Roman" w:hAnsi="Times New Roman" w:cs="Times New Roman"/>
          <w:i/>
          <w:iCs/>
          <w:sz w:val="24"/>
          <w:szCs w:val="24"/>
        </w:rPr>
        <w:t>Societies</w:t>
      </w:r>
      <w:r w:rsidRPr="00A9340E">
        <w:rPr>
          <w:rFonts w:ascii="Times New Roman" w:eastAsia="Times New Roman" w:hAnsi="Times New Roman" w:cs="Times New Roman"/>
          <w:sz w:val="24"/>
          <w:szCs w:val="24"/>
        </w:rPr>
        <w:t xml:space="preserve">, </w:t>
      </w:r>
      <w:r w:rsidRPr="00A9340E">
        <w:rPr>
          <w:rFonts w:ascii="Times New Roman" w:eastAsia="Times New Roman" w:hAnsi="Times New Roman" w:cs="Times New Roman"/>
          <w:i/>
          <w:iCs/>
          <w:sz w:val="24"/>
          <w:szCs w:val="24"/>
        </w:rPr>
        <w:t>8</w:t>
      </w:r>
      <w:r w:rsidRPr="00A9340E">
        <w:rPr>
          <w:rFonts w:ascii="Times New Roman" w:eastAsia="Times New Roman" w:hAnsi="Times New Roman" w:cs="Times New Roman"/>
          <w:sz w:val="24"/>
          <w:szCs w:val="24"/>
        </w:rPr>
        <w:t xml:space="preserve">(3), 64. </w:t>
      </w:r>
      <w:hyperlink r:id="rId36" w:history="1">
        <w:r w:rsidRPr="00A9340E">
          <w:rPr>
            <w:rFonts w:ascii="Times New Roman" w:eastAsia="Times New Roman" w:hAnsi="Times New Roman" w:cs="Times New Roman"/>
            <w:color w:val="0000FF"/>
            <w:sz w:val="24"/>
            <w:szCs w:val="24"/>
            <w:u w:val="single"/>
          </w:rPr>
          <w:t>https://doi.org/10.3390/soc8030064</w:t>
        </w:r>
      </w:hyperlink>
    </w:p>
    <w:p w14:paraId="1C81E630" w14:textId="77777777" w:rsidR="00A9340E" w:rsidRPr="00A9340E" w:rsidRDefault="00A9340E" w:rsidP="00A9340E">
      <w:pPr>
        <w:spacing w:after="0" w:line="480" w:lineRule="auto"/>
        <w:ind w:hanging="480"/>
        <w:rPr>
          <w:rFonts w:ascii="Times New Roman" w:eastAsia="Times New Roman" w:hAnsi="Times New Roman" w:cs="Times New Roman"/>
          <w:sz w:val="24"/>
          <w:szCs w:val="24"/>
        </w:rPr>
      </w:pPr>
      <w:r w:rsidRPr="00A9340E">
        <w:rPr>
          <w:rFonts w:ascii="Times New Roman" w:eastAsia="Times New Roman" w:hAnsi="Times New Roman" w:cs="Times New Roman"/>
          <w:sz w:val="24"/>
          <w:szCs w:val="24"/>
        </w:rPr>
        <w:t xml:space="preserve">Mijs, J. J. B. (2021a). Earning rent with your talent: Modern-day inequality rests on the power to define, transfer and institutionalize talent. </w:t>
      </w:r>
      <w:r w:rsidRPr="00A9340E">
        <w:rPr>
          <w:rFonts w:ascii="Times New Roman" w:eastAsia="Times New Roman" w:hAnsi="Times New Roman" w:cs="Times New Roman"/>
          <w:i/>
          <w:iCs/>
          <w:sz w:val="24"/>
          <w:szCs w:val="24"/>
        </w:rPr>
        <w:t>Educational Philosophy and Theory</w:t>
      </w:r>
      <w:r w:rsidRPr="00A9340E">
        <w:rPr>
          <w:rFonts w:ascii="Times New Roman" w:eastAsia="Times New Roman" w:hAnsi="Times New Roman" w:cs="Times New Roman"/>
          <w:sz w:val="24"/>
          <w:szCs w:val="24"/>
        </w:rPr>
        <w:t xml:space="preserve">, </w:t>
      </w:r>
      <w:r w:rsidRPr="00A9340E">
        <w:rPr>
          <w:rFonts w:ascii="Times New Roman" w:eastAsia="Times New Roman" w:hAnsi="Times New Roman" w:cs="Times New Roman"/>
          <w:i/>
          <w:iCs/>
          <w:sz w:val="24"/>
          <w:szCs w:val="24"/>
        </w:rPr>
        <w:t>53</w:t>
      </w:r>
      <w:r w:rsidRPr="00A9340E">
        <w:rPr>
          <w:rFonts w:ascii="Times New Roman" w:eastAsia="Times New Roman" w:hAnsi="Times New Roman" w:cs="Times New Roman"/>
          <w:sz w:val="24"/>
          <w:szCs w:val="24"/>
        </w:rPr>
        <w:t xml:space="preserve">(8), 810–818. </w:t>
      </w:r>
      <w:hyperlink r:id="rId37" w:history="1">
        <w:r w:rsidRPr="00A9340E">
          <w:rPr>
            <w:rFonts w:ascii="Times New Roman" w:eastAsia="Times New Roman" w:hAnsi="Times New Roman" w:cs="Times New Roman"/>
            <w:color w:val="0000FF"/>
            <w:sz w:val="24"/>
            <w:szCs w:val="24"/>
            <w:u w:val="single"/>
          </w:rPr>
          <w:t>https://doi.org/10.1080/00131857.2020.1745629</w:t>
        </w:r>
      </w:hyperlink>
    </w:p>
    <w:p w14:paraId="3E688CB0" w14:textId="77777777" w:rsidR="00A9340E" w:rsidRPr="00A9340E" w:rsidRDefault="00A9340E" w:rsidP="00A9340E">
      <w:pPr>
        <w:spacing w:after="0" w:line="480" w:lineRule="auto"/>
        <w:ind w:hanging="480"/>
        <w:rPr>
          <w:rFonts w:ascii="Times New Roman" w:eastAsia="Times New Roman" w:hAnsi="Times New Roman" w:cs="Times New Roman"/>
          <w:sz w:val="24"/>
          <w:szCs w:val="24"/>
        </w:rPr>
      </w:pPr>
      <w:r w:rsidRPr="00A9340E">
        <w:rPr>
          <w:rFonts w:ascii="Times New Roman" w:eastAsia="Times New Roman" w:hAnsi="Times New Roman" w:cs="Times New Roman"/>
          <w:sz w:val="24"/>
          <w:szCs w:val="24"/>
        </w:rPr>
        <w:t xml:space="preserve">Mijs, J. J. B. (2021b). The paradox of inequality: Income inequality and belief in meritocracy go hand in hand. </w:t>
      </w:r>
      <w:r w:rsidRPr="00A9340E">
        <w:rPr>
          <w:rFonts w:ascii="Times New Roman" w:eastAsia="Times New Roman" w:hAnsi="Times New Roman" w:cs="Times New Roman"/>
          <w:i/>
          <w:iCs/>
          <w:sz w:val="24"/>
          <w:szCs w:val="24"/>
        </w:rPr>
        <w:t>Socio-Economic Review</w:t>
      </w:r>
      <w:r w:rsidRPr="00A9340E">
        <w:rPr>
          <w:rFonts w:ascii="Times New Roman" w:eastAsia="Times New Roman" w:hAnsi="Times New Roman" w:cs="Times New Roman"/>
          <w:sz w:val="24"/>
          <w:szCs w:val="24"/>
        </w:rPr>
        <w:t xml:space="preserve">, </w:t>
      </w:r>
      <w:r w:rsidRPr="00A9340E">
        <w:rPr>
          <w:rFonts w:ascii="Times New Roman" w:eastAsia="Times New Roman" w:hAnsi="Times New Roman" w:cs="Times New Roman"/>
          <w:i/>
          <w:iCs/>
          <w:sz w:val="24"/>
          <w:szCs w:val="24"/>
        </w:rPr>
        <w:t>19</w:t>
      </w:r>
      <w:r w:rsidRPr="00A9340E">
        <w:rPr>
          <w:rFonts w:ascii="Times New Roman" w:eastAsia="Times New Roman" w:hAnsi="Times New Roman" w:cs="Times New Roman"/>
          <w:sz w:val="24"/>
          <w:szCs w:val="24"/>
        </w:rPr>
        <w:t xml:space="preserve">(1), 7–35. </w:t>
      </w:r>
      <w:hyperlink r:id="rId38" w:history="1">
        <w:r w:rsidRPr="00A9340E">
          <w:rPr>
            <w:rFonts w:ascii="Times New Roman" w:eastAsia="Times New Roman" w:hAnsi="Times New Roman" w:cs="Times New Roman"/>
            <w:color w:val="0000FF"/>
            <w:sz w:val="24"/>
            <w:szCs w:val="24"/>
            <w:u w:val="single"/>
          </w:rPr>
          <w:t>https://doi.org/10.1093/ser/mwy051</w:t>
        </w:r>
      </w:hyperlink>
    </w:p>
    <w:p w14:paraId="4BEA2031" w14:textId="77777777" w:rsidR="00A9340E" w:rsidRPr="00A9340E" w:rsidRDefault="00A9340E" w:rsidP="00A9340E">
      <w:pPr>
        <w:spacing w:after="0" w:line="480" w:lineRule="auto"/>
        <w:ind w:hanging="480"/>
        <w:rPr>
          <w:rFonts w:ascii="Times New Roman" w:eastAsia="Times New Roman" w:hAnsi="Times New Roman" w:cs="Times New Roman"/>
          <w:sz w:val="24"/>
          <w:szCs w:val="24"/>
        </w:rPr>
      </w:pPr>
      <w:r w:rsidRPr="00A9340E">
        <w:rPr>
          <w:rFonts w:ascii="Times New Roman" w:eastAsia="Times New Roman" w:hAnsi="Times New Roman" w:cs="Times New Roman"/>
          <w:sz w:val="24"/>
          <w:szCs w:val="24"/>
        </w:rPr>
        <w:t xml:space="preserve">Mijs, J. J. B., Daenekindt, S., de Koster, W., &amp; van der Waal, J. (2022). Belief in Meritocracy Reexamined: Scrutinizing the Role of Subjective Social Mobility. </w:t>
      </w:r>
      <w:r w:rsidRPr="00A9340E">
        <w:rPr>
          <w:rFonts w:ascii="Times New Roman" w:eastAsia="Times New Roman" w:hAnsi="Times New Roman" w:cs="Times New Roman"/>
          <w:i/>
          <w:iCs/>
          <w:sz w:val="24"/>
          <w:szCs w:val="24"/>
        </w:rPr>
        <w:t>Social Psychology Quarterly</w:t>
      </w:r>
      <w:r w:rsidRPr="00A9340E">
        <w:rPr>
          <w:rFonts w:ascii="Times New Roman" w:eastAsia="Times New Roman" w:hAnsi="Times New Roman" w:cs="Times New Roman"/>
          <w:sz w:val="24"/>
          <w:szCs w:val="24"/>
        </w:rPr>
        <w:t xml:space="preserve">, </w:t>
      </w:r>
      <w:r w:rsidRPr="00A9340E">
        <w:rPr>
          <w:rFonts w:ascii="Times New Roman" w:eastAsia="Times New Roman" w:hAnsi="Times New Roman" w:cs="Times New Roman"/>
          <w:i/>
          <w:iCs/>
          <w:sz w:val="24"/>
          <w:szCs w:val="24"/>
        </w:rPr>
        <w:t>85</w:t>
      </w:r>
      <w:r w:rsidRPr="00A9340E">
        <w:rPr>
          <w:rFonts w:ascii="Times New Roman" w:eastAsia="Times New Roman" w:hAnsi="Times New Roman" w:cs="Times New Roman"/>
          <w:sz w:val="24"/>
          <w:szCs w:val="24"/>
        </w:rPr>
        <w:t xml:space="preserve">(2), 131–141. </w:t>
      </w:r>
      <w:hyperlink r:id="rId39" w:history="1">
        <w:r w:rsidRPr="00A9340E">
          <w:rPr>
            <w:rFonts w:ascii="Times New Roman" w:eastAsia="Times New Roman" w:hAnsi="Times New Roman" w:cs="Times New Roman"/>
            <w:color w:val="0000FF"/>
            <w:sz w:val="24"/>
            <w:szCs w:val="24"/>
            <w:u w:val="single"/>
          </w:rPr>
          <w:t>https://doi.org/10.1177/01902725211063818</w:t>
        </w:r>
      </w:hyperlink>
    </w:p>
    <w:p w14:paraId="6FE1D2FC" w14:textId="77777777" w:rsidR="00A9340E" w:rsidRPr="00A9340E" w:rsidRDefault="00A9340E" w:rsidP="00A9340E">
      <w:pPr>
        <w:spacing w:after="0" w:line="480" w:lineRule="auto"/>
        <w:ind w:hanging="480"/>
        <w:rPr>
          <w:rFonts w:ascii="Times New Roman" w:eastAsia="Times New Roman" w:hAnsi="Times New Roman" w:cs="Times New Roman"/>
          <w:sz w:val="24"/>
          <w:szCs w:val="24"/>
        </w:rPr>
      </w:pPr>
      <w:r w:rsidRPr="00A9340E">
        <w:rPr>
          <w:rFonts w:ascii="Times New Roman" w:eastAsia="Times New Roman" w:hAnsi="Times New Roman" w:cs="Times New Roman"/>
          <w:sz w:val="24"/>
          <w:szCs w:val="24"/>
        </w:rPr>
        <w:t xml:space="preserve">Mijs, J. J. B., de Koster, W., &amp; van der Waal, J. (2022). Belief change in times of crisis: Providing facts about COVID-19-induced inequalities closes the partisan divide but fuels intra-partisan </w:t>
      </w:r>
      <w:r w:rsidRPr="00A9340E">
        <w:rPr>
          <w:rFonts w:ascii="Times New Roman" w:eastAsia="Times New Roman" w:hAnsi="Times New Roman" w:cs="Times New Roman"/>
          <w:sz w:val="24"/>
          <w:szCs w:val="24"/>
        </w:rPr>
        <w:lastRenderedPageBreak/>
        <w:t xml:space="preserve">polarization about inequality. </w:t>
      </w:r>
      <w:r w:rsidRPr="00A9340E">
        <w:rPr>
          <w:rFonts w:ascii="Times New Roman" w:eastAsia="Times New Roman" w:hAnsi="Times New Roman" w:cs="Times New Roman"/>
          <w:i/>
          <w:iCs/>
          <w:sz w:val="24"/>
          <w:szCs w:val="24"/>
        </w:rPr>
        <w:t>Social Science Research</w:t>
      </w:r>
      <w:r w:rsidRPr="00A9340E">
        <w:rPr>
          <w:rFonts w:ascii="Times New Roman" w:eastAsia="Times New Roman" w:hAnsi="Times New Roman" w:cs="Times New Roman"/>
          <w:sz w:val="24"/>
          <w:szCs w:val="24"/>
        </w:rPr>
        <w:t xml:space="preserve">, </w:t>
      </w:r>
      <w:r w:rsidRPr="00A9340E">
        <w:rPr>
          <w:rFonts w:ascii="Times New Roman" w:eastAsia="Times New Roman" w:hAnsi="Times New Roman" w:cs="Times New Roman"/>
          <w:i/>
          <w:iCs/>
          <w:sz w:val="24"/>
          <w:szCs w:val="24"/>
        </w:rPr>
        <w:t>104</w:t>
      </w:r>
      <w:r w:rsidRPr="00A9340E">
        <w:rPr>
          <w:rFonts w:ascii="Times New Roman" w:eastAsia="Times New Roman" w:hAnsi="Times New Roman" w:cs="Times New Roman"/>
          <w:sz w:val="24"/>
          <w:szCs w:val="24"/>
        </w:rPr>
        <w:t xml:space="preserve">, 102692. </w:t>
      </w:r>
      <w:hyperlink r:id="rId40" w:history="1">
        <w:r w:rsidRPr="00A9340E">
          <w:rPr>
            <w:rFonts w:ascii="Times New Roman" w:eastAsia="Times New Roman" w:hAnsi="Times New Roman" w:cs="Times New Roman"/>
            <w:color w:val="0000FF"/>
            <w:sz w:val="24"/>
            <w:szCs w:val="24"/>
            <w:u w:val="single"/>
          </w:rPr>
          <w:t>https://doi.org/10.1016/j.ssresearch.2021.102692</w:t>
        </w:r>
      </w:hyperlink>
    </w:p>
    <w:p w14:paraId="45680FEC" w14:textId="77777777" w:rsidR="00A9340E" w:rsidRPr="00A9340E" w:rsidRDefault="00A9340E" w:rsidP="00A9340E">
      <w:pPr>
        <w:spacing w:after="0" w:line="480" w:lineRule="auto"/>
        <w:ind w:hanging="480"/>
        <w:rPr>
          <w:rFonts w:ascii="Times New Roman" w:eastAsia="Times New Roman" w:hAnsi="Times New Roman" w:cs="Times New Roman"/>
          <w:sz w:val="24"/>
          <w:szCs w:val="24"/>
        </w:rPr>
      </w:pPr>
      <w:r w:rsidRPr="00A9340E">
        <w:rPr>
          <w:rFonts w:ascii="Times New Roman" w:eastAsia="Times New Roman" w:hAnsi="Times New Roman" w:cs="Times New Roman"/>
          <w:sz w:val="24"/>
          <w:szCs w:val="24"/>
        </w:rPr>
        <w:t xml:space="preserve">Mijs, J. J. B., &amp; Hoy, C. (2022). How Information about Inequality Impacts Belief in Meritocracy: Evidence from a Randomized Survey Experiment in Australia, Indonesia and Mexico. </w:t>
      </w:r>
      <w:r w:rsidRPr="00A9340E">
        <w:rPr>
          <w:rFonts w:ascii="Times New Roman" w:eastAsia="Times New Roman" w:hAnsi="Times New Roman" w:cs="Times New Roman"/>
          <w:i/>
          <w:iCs/>
          <w:sz w:val="24"/>
          <w:szCs w:val="24"/>
        </w:rPr>
        <w:t>Social Problems</w:t>
      </w:r>
      <w:r w:rsidRPr="00A9340E">
        <w:rPr>
          <w:rFonts w:ascii="Times New Roman" w:eastAsia="Times New Roman" w:hAnsi="Times New Roman" w:cs="Times New Roman"/>
          <w:sz w:val="24"/>
          <w:szCs w:val="24"/>
        </w:rPr>
        <w:t xml:space="preserve">, </w:t>
      </w:r>
      <w:r w:rsidRPr="00A9340E">
        <w:rPr>
          <w:rFonts w:ascii="Times New Roman" w:eastAsia="Times New Roman" w:hAnsi="Times New Roman" w:cs="Times New Roman"/>
          <w:i/>
          <w:iCs/>
          <w:sz w:val="24"/>
          <w:szCs w:val="24"/>
        </w:rPr>
        <w:t>69</w:t>
      </w:r>
      <w:r w:rsidRPr="00A9340E">
        <w:rPr>
          <w:rFonts w:ascii="Times New Roman" w:eastAsia="Times New Roman" w:hAnsi="Times New Roman" w:cs="Times New Roman"/>
          <w:sz w:val="24"/>
          <w:szCs w:val="24"/>
        </w:rPr>
        <w:t xml:space="preserve">(1), 91–122. </w:t>
      </w:r>
      <w:hyperlink r:id="rId41" w:history="1">
        <w:r w:rsidRPr="00A9340E">
          <w:rPr>
            <w:rFonts w:ascii="Times New Roman" w:eastAsia="Times New Roman" w:hAnsi="Times New Roman" w:cs="Times New Roman"/>
            <w:color w:val="0000FF"/>
            <w:sz w:val="24"/>
            <w:szCs w:val="24"/>
            <w:u w:val="single"/>
          </w:rPr>
          <w:t>https://doi.org/10.1093/socpro/spaa059</w:t>
        </w:r>
      </w:hyperlink>
    </w:p>
    <w:p w14:paraId="4437ACAC" w14:textId="77777777" w:rsidR="00A9340E" w:rsidRPr="00A9340E" w:rsidRDefault="00A9340E" w:rsidP="00A9340E">
      <w:pPr>
        <w:spacing w:after="0" w:line="480" w:lineRule="auto"/>
        <w:ind w:hanging="480"/>
        <w:rPr>
          <w:rFonts w:ascii="Times New Roman" w:eastAsia="Times New Roman" w:hAnsi="Times New Roman" w:cs="Times New Roman"/>
          <w:sz w:val="24"/>
          <w:szCs w:val="24"/>
        </w:rPr>
      </w:pPr>
      <w:r w:rsidRPr="00A9340E">
        <w:rPr>
          <w:rFonts w:ascii="Times New Roman" w:eastAsia="Times New Roman" w:hAnsi="Times New Roman" w:cs="Times New Roman"/>
          <w:sz w:val="24"/>
          <w:szCs w:val="24"/>
        </w:rPr>
        <w:t xml:space="preserve">Mijs, J. J. B., &amp; Roe, E. L. (2021). Is America coming apart? Socioeconomic segregation in neighborhoods, schools, workplaces, and social networks, 1970–2020. </w:t>
      </w:r>
      <w:r w:rsidRPr="00A9340E">
        <w:rPr>
          <w:rFonts w:ascii="Times New Roman" w:eastAsia="Times New Roman" w:hAnsi="Times New Roman" w:cs="Times New Roman"/>
          <w:i/>
          <w:iCs/>
          <w:sz w:val="24"/>
          <w:szCs w:val="24"/>
        </w:rPr>
        <w:t>Sociology Compass</w:t>
      </w:r>
      <w:r w:rsidRPr="00A9340E">
        <w:rPr>
          <w:rFonts w:ascii="Times New Roman" w:eastAsia="Times New Roman" w:hAnsi="Times New Roman" w:cs="Times New Roman"/>
          <w:sz w:val="24"/>
          <w:szCs w:val="24"/>
        </w:rPr>
        <w:t xml:space="preserve">, </w:t>
      </w:r>
      <w:r w:rsidRPr="00A9340E">
        <w:rPr>
          <w:rFonts w:ascii="Times New Roman" w:eastAsia="Times New Roman" w:hAnsi="Times New Roman" w:cs="Times New Roman"/>
          <w:i/>
          <w:iCs/>
          <w:sz w:val="24"/>
          <w:szCs w:val="24"/>
        </w:rPr>
        <w:t>15</w:t>
      </w:r>
      <w:r w:rsidRPr="00A9340E">
        <w:rPr>
          <w:rFonts w:ascii="Times New Roman" w:eastAsia="Times New Roman" w:hAnsi="Times New Roman" w:cs="Times New Roman"/>
          <w:sz w:val="24"/>
          <w:szCs w:val="24"/>
        </w:rPr>
        <w:t xml:space="preserve">(6). </w:t>
      </w:r>
      <w:hyperlink r:id="rId42" w:history="1">
        <w:r w:rsidRPr="00A9340E">
          <w:rPr>
            <w:rFonts w:ascii="Times New Roman" w:eastAsia="Times New Roman" w:hAnsi="Times New Roman" w:cs="Times New Roman"/>
            <w:color w:val="0000FF"/>
            <w:sz w:val="24"/>
            <w:szCs w:val="24"/>
            <w:u w:val="single"/>
          </w:rPr>
          <w:t>https://doi.org/10.1111/soc4.12884</w:t>
        </w:r>
      </w:hyperlink>
    </w:p>
    <w:p w14:paraId="26E81774" w14:textId="77777777" w:rsidR="00A9340E" w:rsidRPr="00A9340E" w:rsidRDefault="00A9340E" w:rsidP="00A9340E">
      <w:pPr>
        <w:spacing w:after="0" w:line="480" w:lineRule="auto"/>
        <w:ind w:hanging="480"/>
        <w:rPr>
          <w:rFonts w:ascii="Times New Roman" w:eastAsia="Times New Roman" w:hAnsi="Times New Roman" w:cs="Times New Roman"/>
          <w:sz w:val="24"/>
          <w:szCs w:val="24"/>
        </w:rPr>
      </w:pPr>
      <w:r w:rsidRPr="00A9340E">
        <w:rPr>
          <w:rFonts w:ascii="Times New Roman" w:eastAsia="Times New Roman" w:hAnsi="Times New Roman" w:cs="Times New Roman"/>
          <w:sz w:val="24"/>
          <w:szCs w:val="24"/>
        </w:rPr>
        <w:t xml:space="preserve">Mijs, J. J. B., &amp; Savage, M. (2020). Meritocracy, Elitism and Inequality. </w:t>
      </w:r>
      <w:r w:rsidRPr="00A9340E">
        <w:rPr>
          <w:rFonts w:ascii="Times New Roman" w:eastAsia="Times New Roman" w:hAnsi="Times New Roman" w:cs="Times New Roman"/>
          <w:i/>
          <w:iCs/>
          <w:sz w:val="24"/>
          <w:szCs w:val="24"/>
        </w:rPr>
        <w:t>The Political Quarterly</w:t>
      </w:r>
      <w:r w:rsidRPr="00A9340E">
        <w:rPr>
          <w:rFonts w:ascii="Times New Roman" w:eastAsia="Times New Roman" w:hAnsi="Times New Roman" w:cs="Times New Roman"/>
          <w:sz w:val="24"/>
          <w:szCs w:val="24"/>
        </w:rPr>
        <w:t xml:space="preserve">, </w:t>
      </w:r>
      <w:r w:rsidRPr="00A9340E">
        <w:rPr>
          <w:rFonts w:ascii="Times New Roman" w:eastAsia="Times New Roman" w:hAnsi="Times New Roman" w:cs="Times New Roman"/>
          <w:i/>
          <w:iCs/>
          <w:sz w:val="24"/>
          <w:szCs w:val="24"/>
        </w:rPr>
        <w:t>91</w:t>
      </w:r>
      <w:r w:rsidRPr="00A9340E">
        <w:rPr>
          <w:rFonts w:ascii="Times New Roman" w:eastAsia="Times New Roman" w:hAnsi="Times New Roman" w:cs="Times New Roman"/>
          <w:sz w:val="24"/>
          <w:szCs w:val="24"/>
        </w:rPr>
        <w:t xml:space="preserve">(2), 397–404. </w:t>
      </w:r>
      <w:hyperlink r:id="rId43" w:history="1">
        <w:r w:rsidRPr="00A9340E">
          <w:rPr>
            <w:rFonts w:ascii="Times New Roman" w:eastAsia="Times New Roman" w:hAnsi="Times New Roman" w:cs="Times New Roman"/>
            <w:color w:val="0000FF"/>
            <w:sz w:val="24"/>
            <w:szCs w:val="24"/>
            <w:u w:val="single"/>
          </w:rPr>
          <w:t>https://doi.org/10.1111/1467-923X.12828</w:t>
        </w:r>
      </w:hyperlink>
    </w:p>
    <w:p w14:paraId="30D8963B" w14:textId="77777777" w:rsidR="00A9340E" w:rsidRPr="00A9340E" w:rsidRDefault="00A9340E" w:rsidP="00A9340E">
      <w:pPr>
        <w:spacing w:after="0" w:line="480" w:lineRule="auto"/>
        <w:ind w:hanging="480"/>
        <w:rPr>
          <w:rFonts w:ascii="Times New Roman" w:eastAsia="Times New Roman" w:hAnsi="Times New Roman" w:cs="Times New Roman"/>
          <w:sz w:val="24"/>
          <w:szCs w:val="24"/>
        </w:rPr>
      </w:pPr>
      <w:r w:rsidRPr="00A9340E">
        <w:rPr>
          <w:rFonts w:ascii="Times New Roman" w:eastAsia="Times New Roman" w:hAnsi="Times New Roman" w:cs="Times New Roman"/>
          <w:sz w:val="24"/>
          <w:szCs w:val="24"/>
        </w:rPr>
        <w:t xml:space="preserve">Milanovic, B. (2000). The median-voter hypothesis, income inequality, and income redistribution: An empirical test with the required data. </w:t>
      </w:r>
      <w:r w:rsidRPr="00A9340E">
        <w:rPr>
          <w:rFonts w:ascii="Times New Roman" w:eastAsia="Times New Roman" w:hAnsi="Times New Roman" w:cs="Times New Roman"/>
          <w:i/>
          <w:iCs/>
          <w:sz w:val="24"/>
          <w:szCs w:val="24"/>
        </w:rPr>
        <w:t>European Journal of Political Economy</w:t>
      </w:r>
      <w:r w:rsidRPr="00A9340E">
        <w:rPr>
          <w:rFonts w:ascii="Times New Roman" w:eastAsia="Times New Roman" w:hAnsi="Times New Roman" w:cs="Times New Roman"/>
          <w:sz w:val="24"/>
          <w:szCs w:val="24"/>
        </w:rPr>
        <w:t xml:space="preserve">, </w:t>
      </w:r>
      <w:r w:rsidRPr="00A9340E">
        <w:rPr>
          <w:rFonts w:ascii="Times New Roman" w:eastAsia="Times New Roman" w:hAnsi="Times New Roman" w:cs="Times New Roman"/>
          <w:i/>
          <w:iCs/>
          <w:sz w:val="24"/>
          <w:szCs w:val="24"/>
        </w:rPr>
        <w:t>16</w:t>
      </w:r>
      <w:r w:rsidRPr="00A9340E">
        <w:rPr>
          <w:rFonts w:ascii="Times New Roman" w:eastAsia="Times New Roman" w:hAnsi="Times New Roman" w:cs="Times New Roman"/>
          <w:sz w:val="24"/>
          <w:szCs w:val="24"/>
        </w:rPr>
        <w:t xml:space="preserve">(3), 367–410. </w:t>
      </w:r>
      <w:hyperlink r:id="rId44" w:history="1">
        <w:r w:rsidRPr="00A9340E">
          <w:rPr>
            <w:rFonts w:ascii="Times New Roman" w:eastAsia="Times New Roman" w:hAnsi="Times New Roman" w:cs="Times New Roman"/>
            <w:color w:val="0000FF"/>
            <w:sz w:val="24"/>
            <w:szCs w:val="24"/>
            <w:u w:val="single"/>
          </w:rPr>
          <w:t>https://doi.org/10.1016/S0176-2680(00)00014-8</w:t>
        </w:r>
      </w:hyperlink>
    </w:p>
    <w:p w14:paraId="00082E27" w14:textId="77777777" w:rsidR="00A9340E" w:rsidRPr="00A9340E" w:rsidRDefault="00A9340E" w:rsidP="00A9340E">
      <w:pPr>
        <w:spacing w:after="0" w:line="480" w:lineRule="auto"/>
        <w:ind w:hanging="480"/>
        <w:rPr>
          <w:rFonts w:ascii="Times New Roman" w:eastAsia="Times New Roman" w:hAnsi="Times New Roman" w:cs="Times New Roman"/>
          <w:sz w:val="24"/>
          <w:szCs w:val="24"/>
        </w:rPr>
      </w:pPr>
      <w:r w:rsidRPr="00A9340E">
        <w:rPr>
          <w:rFonts w:ascii="Times New Roman" w:eastAsia="Times New Roman" w:hAnsi="Times New Roman" w:cs="Times New Roman"/>
          <w:sz w:val="24"/>
          <w:szCs w:val="24"/>
        </w:rPr>
        <w:t xml:space="preserve">Minkoff, S. L., &amp; Lyons, J. (2019). Living With Inequality: Neighborhood Income Diversity and Perceptions of the Income Gap. </w:t>
      </w:r>
      <w:r w:rsidRPr="00A9340E">
        <w:rPr>
          <w:rFonts w:ascii="Times New Roman" w:eastAsia="Times New Roman" w:hAnsi="Times New Roman" w:cs="Times New Roman"/>
          <w:i/>
          <w:iCs/>
          <w:sz w:val="24"/>
          <w:szCs w:val="24"/>
        </w:rPr>
        <w:t>American Politics Research</w:t>
      </w:r>
      <w:r w:rsidRPr="00A9340E">
        <w:rPr>
          <w:rFonts w:ascii="Times New Roman" w:eastAsia="Times New Roman" w:hAnsi="Times New Roman" w:cs="Times New Roman"/>
          <w:sz w:val="24"/>
          <w:szCs w:val="24"/>
        </w:rPr>
        <w:t xml:space="preserve">, </w:t>
      </w:r>
      <w:r w:rsidRPr="00A9340E">
        <w:rPr>
          <w:rFonts w:ascii="Times New Roman" w:eastAsia="Times New Roman" w:hAnsi="Times New Roman" w:cs="Times New Roman"/>
          <w:i/>
          <w:iCs/>
          <w:sz w:val="24"/>
          <w:szCs w:val="24"/>
        </w:rPr>
        <w:t>47</w:t>
      </w:r>
      <w:r w:rsidRPr="00A9340E">
        <w:rPr>
          <w:rFonts w:ascii="Times New Roman" w:eastAsia="Times New Roman" w:hAnsi="Times New Roman" w:cs="Times New Roman"/>
          <w:sz w:val="24"/>
          <w:szCs w:val="24"/>
        </w:rPr>
        <w:t xml:space="preserve">(2), 329–361. </w:t>
      </w:r>
      <w:hyperlink r:id="rId45" w:history="1">
        <w:r w:rsidRPr="00A9340E">
          <w:rPr>
            <w:rFonts w:ascii="Times New Roman" w:eastAsia="Times New Roman" w:hAnsi="Times New Roman" w:cs="Times New Roman"/>
            <w:color w:val="0000FF"/>
            <w:sz w:val="24"/>
            <w:szCs w:val="24"/>
            <w:u w:val="single"/>
          </w:rPr>
          <w:t>https://doi.org/10.1177/1532673X17733799</w:t>
        </w:r>
      </w:hyperlink>
    </w:p>
    <w:p w14:paraId="54DF440A" w14:textId="77777777" w:rsidR="00A9340E" w:rsidRPr="00A9340E" w:rsidRDefault="00A9340E" w:rsidP="00A9340E">
      <w:pPr>
        <w:spacing w:after="0" w:line="480" w:lineRule="auto"/>
        <w:ind w:hanging="480"/>
        <w:rPr>
          <w:rFonts w:ascii="Times New Roman" w:eastAsia="Times New Roman" w:hAnsi="Times New Roman" w:cs="Times New Roman"/>
          <w:sz w:val="24"/>
          <w:szCs w:val="24"/>
        </w:rPr>
      </w:pPr>
      <w:r w:rsidRPr="00A9340E">
        <w:rPr>
          <w:rFonts w:ascii="Times New Roman" w:eastAsia="Times New Roman" w:hAnsi="Times New Roman" w:cs="Times New Roman"/>
          <w:sz w:val="24"/>
          <w:szCs w:val="24"/>
        </w:rPr>
        <w:t xml:space="preserve">Moene, K. O., &amp; Wallerstein, M. (n.d.). EARNINGS INEQUALITY AND WELFARE SPENDING A Disaggregated Analysis. </w:t>
      </w:r>
      <w:r w:rsidRPr="00A9340E">
        <w:rPr>
          <w:rFonts w:ascii="Times New Roman" w:eastAsia="Times New Roman" w:hAnsi="Times New Roman" w:cs="Times New Roman"/>
          <w:i/>
          <w:iCs/>
          <w:sz w:val="24"/>
          <w:szCs w:val="24"/>
        </w:rPr>
        <w:t>WORLD POLITICS</w:t>
      </w:r>
      <w:r w:rsidRPr="00A9340E">
        <w:rPr>
          <w:rFonts w:ascii="Times New Roman" w:eastAsia="Times New Roman" w:hAnsi="Times New Roman" w:cs="Times New Roman"/>
          <w:sz w:val="24"/>
          <w:szCs w:val="24"/>
        </w:rPr>
        <w:t>.</w:t>
      </w:r>
    </w:p>
    <w:p w14:paraId="1442247B" w14:textId="77777777" w:rsidR="00A9340E" w:rsidRPr="00A9340E" w:rsidRDefault="00A9340E" w:rsidP="00A9340E">
      <w:pPr>
        <w:spacing w:after="0" w:line="480" w:lineRule="auto"/>
        <w:ind w:hanging="480"/>
        <w:rPr>
          <w:rFonts w:ascii="Times New Roman" w:eastAsia="Times New Roman" w:hAnsi="Times New Roman" w:cs="Times New Roman"/>
          <w:sz w:val="24"/>
          <w:szCs w:val="24"/>
        </w:rPr>
      </w:pPr>
      <w:r w:rsidRPr="00A9340E">
        <w:rPr>
          <w:rFonts w:ascii="Times New Roman" w:eastAsia="Times New Roman" w:hAnsi="Times New Roman" w:cs="Times New Roman"/>
          <w:sz w:val="24"/>
          <w:szCs w:val="24"/>
        </w:rPr>
        <w:t xml:space="preserve">Moene, K. O., &amp; Wallerstein, M. (2001). Inequality, Social Insurance, and Redistribution. </w:t>
      </w:r>
      <w:r w:rsidRPr="00A9340E">
        <w:rPr>
          <w:rFonts w:ascii="Times New Roman" w:eastAsia="Times New Roman" w:hAnsi="Times New Roman" w:cs="Times New Roman"/>
          <w:i/>
          <w:iCs/>
          <w:sz w:val="24"/>
          <w:szCs w:val="24"/>
        </w:rPr>
        <w:t>American Political Science Review</w:t>
      </w:r>
      <w:r w:rsidRPr="00A9340E">
        <w:rPr>
          <w:rFonts w:ascii="Times New Roman" w:eastAsia="Times New Roman" w:hAnsi="Times New Roman" w:cs="Times New Roman"/>
          <w:sz w:val="24"/>
          <w:szCs w:val="24"/>
        </w:rPr>
        <w:t xml:space="preserve">, </w:t>
      </w:r>
      <w:r w:rsidRPr="00A9340E">
        <w:rPr>
          <w:rFonts w:ascii="Times New Roman" w:eastAsia="Times New Roman" w:hAnsi="Times New Roman" w:cs="Times New Roman"/>
          <w:i/>
          <w:iCs/>
          <w:sz w:val="24"/>
          <w:szCs w:val="24"/>
        </w:rPr>
        <w:t>95</w:t>
      </w:r>
      <w:r w:rsidRPr="00A9340E">
        <w:rPr>
          <w:rFonts w:ascii="Times New Roman" w:eastAsia="Times New Roman" w:hAnsi="Times New Roman" w:cs="Times New Roman"/>
          <w:sz w:val="24"/>
          <w:szCs w:val="24"/>
        </w:rPr>
        <w:t xml:space="preserve">(4), 859–874. </w:t>
      </w:r>
      <w:hyperlink r:id="rId46" w:history="1">
        <w:r w:rsidRPr="00A9340E">
          <w:rPr>
            <w:rFonts w:ascii="Times New Roman" w:eastAsia="Times New Roman" w:hAnsi="Times New Roman" w:cs="Times New Roman"/>
            <w:color w:val="0000FF"/>
            <w:sz w:val="24"/>
            <w:szCs w:val="24"/>
            <w:u w:val="single"/>
          </w:rPr>
          <w:t>https://doi.org/10.1017/S0003055400400067</w:t>
        </w:r>
      </w:hyperlink>
    </w:p>
    <w:p w14:paraId="487E3290" w14:textId="77777777" w:rsidR="00A9340E" w:rsidRPr="00A9340E" w:rsidRDefault="00A9340E" w:rsidP="00A9340E">
      <w:pPr>
        <w:spacing w:after="0" w:line="480" w:lineRule="auto"/>
        <w:ind w:hanging="480"/>
        <w:rPr>
          <w:rFonts w:ascii="Times New Roman" w:eastAsia="Times New Roman" w:hAnsi="Times New Roman" w:cs="Times New Roman"/>
          <w:sz w:val="24"/>
          <w:szCs w:val="24"/>
        </w:rPr>
      </w:pPr>
      <w:r w:rsidRPr="00A9340E">
        <w:rPr>
          <w:rFonts w:ascii="Times New Roman" w:eastAsia="Times New Roman" w:hAnsi="Times New Roman" w:cs="Times New Roman"/>
          <w:sz w:val="24"/>
          <w:szCs w:val="24"/>
        </w:rPr>
        <w:t xml:space="preserve">Olivera, J. (2015). Preferences for redistribution in Europe. </w:t>
      </w:r>
      <w:r w:rsidRPr="00A9340E">
        <w:rPr>
          <w:rFonts w:ascii="Times New Roman" w:eastAsia="Times New Roman" w:hAnsi="Times New Roman" w:cs="Times New Roman"/>
          <w:i/>
          <w:iCs/>
          <w:sz w:val="24"/>
          <w:szCs w:val="24"/>
        </w:rPr>
        <w:t>IZA Journal of European Labor Studies</w:t>
      </w:r>
      <w:r w:rsidRPr="00A9340E">
        <w:rPr>
          <w:rFonts w:ascii="Times New Roman" w:eastAsia="Times New Roman" w:hAnsi="Times New Roman" w:cs="Times New Roman"/>
          <w:sz w:val="24"/>
          <w:szCs w:val="24"/>
        </w:rPr>
        <w:t xml:space="preserve">, </w:t>
      </w:r>
      <w:r w:rsidRPr="00A9340E">
        <w:rPr>
          <w:rFonts w:ascii="Times New Roman" w:eastAsia="Times New Roman" w:hAnsi="Times New Roman" w:cs="Times New Roman"/>
          <w:i/>
          <w:iCs/>
          <w:sz w:val="24"/>
          <w:szCs w:val="24"/>
        </w:rPr>
        <w:t>4</w:t>
      </w:r>
      <w:r w:rsidRPr="00A9340E">
        <w:rPr>
          <w:rFonts w:ascii="Times New Roman" w:eastAsia="Times New Roman" w:hAnsi="Times New Roman" w:cs="Times New Roman"/>
          <w:sz w:val="24"/>
          <w:szCs w:val="24"/>
        </w:rPr>
        <w:t xml:space="preserve">(1), 14. </w:t>
      </w:r>
      <w:hyperlink r:id="rId47" w:history="1">
        <w:r w:rsidRPr="00A9340E">
          <w:rPr>
            <w:rFonts w:ascii="Times New Roman" w:eastAsia="Times New Roman" w:hAnsi="Times New Roman" w:cs="Times New Roman"/>
            <w:color w:val="0000FF"/>
            <w:sz w:val="24"/>
            <w:szCs w:val="24"/>
            <w:u w:val="single"/>
          </w:rPr>
          <w:t>https://doi.org/10.1186/s40174-015-0037-y</w:t>
        </w:r>
      </w:hyperlink>
    </w:p>
    <w:p w14:paraId="2C669AC7" w14:textId="77777777" w:rsidR="00A9340E" w:rsidRPr="00A9340E" w:rsidRDefault="00A9340E" w:rsidP="00A9340E">
      <w:pPr>
        <w:spacing w:after="0" w:line="480" w:lineRule="auto"/>
        <w:ind w:hanging="480"/>
        <w:rPr>
          <w:rFonts w:ascii="Times New Roman" w:eastAsia="Times New Roman" w:hAnsi="Times New Roman" w:cs="Times New Roman"/>
          <w:sz w:val="24"/>
          <w:szCs w:val="24"/>
        </w:rPr>
      </w:pPr>
      <w:r w:rsidRPr="00A9340E">
        <w:rPr>
          <w:rFonts w:ascii="Times New Roman" w:eastAsia="Times New Roman" w:hAnsi="Times New Roman" w:cs="Times New Roman"/>
          <w:sz w:val="24"/>
          <w:szCs w:val="24"/>
        </w:rPr>
        <w:lastRenderedPageBreak/>
        <w:t xml:space="preserve">Osberg, L., &amp; Smeeding, T. (2006). “Fair” Inequality? Attitudes toward Pay Differentials: The United States in Comparative Perspective. </w:t>
      </w:r>
      <w:r w:rsidRPr="00A9340E">
        <w:rPr>
          <w:rFonts w:ascii="Times New Roman" w:eastAsia="Times New Roman" w:hAnsi="Times New Roman" w:cs="Times New Roman"/>
          <w:i/>
          <w:iCs/>
          <w:sz w:val="24"/>
          <w:szCs w:val="24"/>
        </w:rPr>
        <w:t>American Sociological Review</w:t>
      </w:r>
      <w:r w:rsidRPr="00A9340E">
        <w:rPr>
          <w:rFonts w:ascii="Times New Roman" w:eastAsia="Times New Roman" w:hAnsi="Times New Roman" w:cs="Times New Roman"/>
          <w:sz w:val="24"/>
          <w:szCs w:val="24"/>
        </w:rPr>
        <w:t xml:space="preserve">, </w:t>
      </w:r>
      <w:r w:rsidRPr="00A9340E">
        <w:rPr>
          <w:rFonts w:ascii="Times New Roman" w:eastAsia="Times New Roman" w:hAnsi="Times New Roman" w:cs="Times New Roman"/>
          <w:i/>
          <w:iCs/>
          <w:sz w:val="24"/>
          <w:szCs w:val="24"/>
        </w:rPr>
        <w:t>71</w:t>
      </w:r>
      <w:r w:rsidRPr="00A9340E">
        <w:rPr>
          <w:rFonts w:ascii="Times New Roman" w:eastAsia="Times New Roman" w:hAnsi="Times New Roman" w:cs="Times New Roman"/>
          <w:sz w:val="24"/>
          <w:szCs w:val="24"/>
        </w:rPr>
        <w:t xml:space="preserve">(3), 450–473. </w:t>
      </w:r>
      <w:hyperlink r:id="rId48" w:history="1">
        <w:r w:rsidRPr="00A9340E">
          <w:rPr>
            <w:rFonts w:ascii="Times New Roman" w:eastAsia="Times New Roman" w:hAnsi="Times New Roman" w:cs="Times New Roman"/>
            <w:color w:val="0000FF"/>
            <w:sz w:val="24"/>
            <w:szCs w:val="24"/>
            <w:u w:val="single"/>
          </w:rPr>
          <w:t>https://doi.org/10.1177/000312240607100305</w:t>
        </w:r>
      </w:hyperlink>
    </w:p>
    <w:p w14:paraId="774C7D4F" w14:textId="77777777" w:rsidR="00A9340E" w:rsidRPr="00A9340E" w:rsidRDefault="00A9340E" w:rsidP="00A9340E">
      <w:pPr>
        <w:spacing w:after="0" w:line="480" w:lineRule="auto"/>
        <w:ind w:hanging="480"/>
        <w:rPr>
          <w:rFonts w:ascii="Times New Roman" w:eastAsia="Times New Roman" w:hAnsi="Times New Roman" w:cs="Times New Roman"/>
          <w:sz w:val="24"/>
          <w:szCs w:val="24"/>
        </w:rPr>
      </w:pPr>
      <w:r w:rsidRPr="00A9340E">
        <w:rPr>
          <w:rFonts w:ascii="Times New Roman" w:eastAsia="Times New Roman" w:hAnsi="Times New Roman" w:cs="Times New Roman"/>
          <w:sz w:val="24"/>
          <w:szCs w:val="24"/>
        </w:rPr>
        <w:t xml:space="preserve">Otjes, S. (2018). Distinguishing welfare state reform and income redistribution. A two-dimensional approach to the Dutch voter space on economic issues. </w:t>
      </w:r>
      <w:r w:rsidRPr="00A9340E">
        <w:rPr>
          <w:rFonts w:ascii="Times New Roman" w:eastAsia="Times New Roman" w:hAnsi="Times New Roman" w:cs="Times New Roman"/>
          <w:i/>
          <w:iCs/>
          <w:sz w:val="24"/>
          <w:szCs w:val="24"/>
        </w:rPr>
        <w:t>Party Politics</w:t>
      </w:r>
      <w:r w:rsidRPr="00A9340E">
        <w:rPr>
          <w:rFonts w:ascii="Times New Roman" w:eastAsia="Times New Roman" w:hAnsi="Times New Roman" w:cs="Times New Roman"/>
          <w:sz w:val="24"/>
          <w:szCs w:val="24"/>
        </w:rPr>
        <w:t xml:space="preserve">, </w:t>
      </w:r>
      <w:r w:rsidRPr="00A9340E">
        <w:rPr>
          <w:rFonts w:ascii="Times New Roman" w:eastAsia="Times New Roman" w:hAnsi="Times New Roman" w:cs="Times New Roman"/>
          <w:i/>
          <w:iCs/>
          <w:sz w:val="24"/>
          <w:szCs w:val="24"/>
        </w:rPr>
        <w:t>24</w:t>
      </w:r>
      <w:r w:rsidRPr="00A9340E">
        <w:rPr>
          <w:rFonts w:ascii="Times New Roman" w:eastAsia="Times New Roman" w:hAnsi="Times New Roman" w:cs="Times New Roman"/>
          <w:sz w:val="24"/>
          <w:szCs w:val="24"/>
        </w:rPr>
        <w:t xml:space="preserve">(5), 563–576. </w:t>
      </w:r>
      <w:hyperlink r:id="rId49" w:history="1">
        <w:r w:rsidRPr="00A9340E">
          <w:rPr>
            <w:rFonts w:ascii="Times New Roman" w:eastAsia="Times New Roman" w:hAnsi="Times New Roman" w:cs="Times New Roman"/>
            <w:color w:val="0000FF"/>
            <w:sz w:val="24"/>
            <w:szCs w:val="24"/>
            <w:u w:val="single"/>
          </w:rPr>
          <w:t>https://doi.org/10.1177/1354068816663039</w:t>
        </w:r>
      </w:hyperlink>
    </w:p>
    <w:p w14:paraId="4C7048AB" w14:textId="77777777" w:rsidR="00A9340E" w:rsidRPr="00A9340E" w:rsidRDefault="00A9340E" w:rsidP="00A9340E">
      <w:pPr>
        <w:spacing w:after="0" w:line="480" w:lineRule="auto"/>
        <w:ind w:hanging="480"/>
        <w:rPr>
          <w:rFonts w:ascii="Times New Roman" w:eastAsia="Times New Roman" w:hAnsi="Times New Roman" w:cs="Times New Roman"/>
          <w:sz w:val="24"/>
          <w:szCs w:val="24"/>
        </w:rPr>
      </w:pPr>
      <w:r w:rsidRPr="00A9340E">
        <w:rPr>
          <w:rFonts w:ascii="Times New Roman" w:eastAsia="Times New Roman" w:hAnsi="Times New Roman" w:cs="Times New Roman"/>
          <w:sz w:val="24"/>
          <w:szCs w:val="24"/>
        </w:rPr>
        <w:t xml:space="preserve">Palme, J. (2006). Welfare states and inequality: Institutional designs and distributive outcome. </w:t>
      </w:r>
      <w:r w:rsidRPr="00A9340E">
        <w:rPr>
          <w:rFonts w:ascii="Times New Roman" w:eastAsia="Times New Roman" w:hAnsi="Times New Roman" w:cs="Times New Roman"/>
          <w:i/>
          <w:iCs/>
          <w:sz w:val="24"/>
          <w:szCs w:val="24"/>
        </w:rPr>
        <w:t>Research in Social Stratification and Mobility</w:t>
      </w:r>
      <w:r w:rsidRPr="00A9340E">
        <w:rPr>
          <w:rFonts w:ascii="Times New Roman" w:eastAsia="Times New Roman" w:hAnsi="Times New Roman" w:cs="Times New Roman"/>
          <w:sz w:val="24"/>
          <w:szCs w:val="24"/>
        </w:rPr>
        <w:t xml:space="preserve">, </w:t>
      </w:r>
      <w:r w:rsidRPr="00A9340E">
        <w:rPr>
          <w:rFonts w:ascii="Times New Roman" w:eastAsia="Times New Roman" w:hAnsi="Times New Roman" w:cs="Times New Roman"/>
          <w:i/>
          <w:iCs/>
          <w:sz w:val="24"/>
          <w:szCs w:val="24"/>
        </w:rPr>
        <w:t>24</w:t>
      </w:r>
      <w:r w:rsidRPr="00A9340E">
        <w:rPr>
          <w:rFonts w:ascii="Times New Roman" w:eastAsia="Times New Roman" w:hAnsi="Times New Roman" w:cs="Times New Roman"/>
          <w:sz w:val="24"/>
          <w:szCs w:val="24"/>
        </w:rPr>
        <w:t xml:space="preserve">(4), 387–403. </w:t>
      </w:r>
      <w:hyperlink r:id="rId50" w:history="1">
        <w:r w:rsidRPr="00A9340E">
          <w:rPr>
            <w:rFonts w:ascii="Times New Roman" w:eastAsia="Times New Roman" w:hAnsi="Times New Roman" w:cs="Times New Roman"/>
            <w:color w:val="0000FF"/>
            <w:sz w:val="24"/>
            <w:szCs w:val="24"/>
            <w:u w:val="single"/>
          </w:rPr>
          <w:t>https://doi.org/10.1016/j.rssm.2006.10.004</w:t>
        </w:r>
      </w:hyperlink>
    </w:p>
    <w:p w14:paraId="0AA0A376" w14:textId="77777777" w:rsidR="00A9340E" w:rsidRPr="00A9340E" w:rsidRDefault="00A9340E" w:rsidP="00A9340E">
      <w:pPr>
        <w:spacing w:after="0" w:line="480" w:lineRule="auto"/>
        <w:ind w:hanging="480"/>
        <w:rPr>
          <w:rFonts w:ascii="Times New Roman" w:eastAsia="Times New Roman" w:hAnsi="Times New Roman" w:cs="Times New Roman"/>
          <w:sz w:val="24"/>
          <w:szCs w:val="24"/>
        </w:rPr>
      </w:pPr>
      <w:r w:rsidRPr="00A9340E">
        <w:rPr>
          <w:rFonts w:ascii="Times New Roman" w:eastAsia="Times New Roman" w:hAnsi="Times New Roman" w:cs="Times New Roman"/>
          <w:sz w:val="24"/>
          <w:szCs w:val="24"/>
        </w:rPr>
        <w:t xml:space="preserve">Piketty, T., &amp; Saez, E. (2014). Inequality in the long run. </w:t>
      </w:r>
      <w:r w:rsidRPr="00A9340E">
        <w:rPr>
          <w:rFonts w:ascii="Times New Roman" w:eastAsia="Times New Roman" w:hAnsi="Times New Roman" w:cs="Times New Roman"/>
          <w:i/>
          <w:iCs/>
          <w:sz w:val="24"/>
          <w:szCs w:val="24"/>
        </w:rPr>
        <w:t>Science</w:t>
      </w:r>
      <w:r w:rsidRPr="00A9340E">
        <w:rPr>
          <w:rFonts w:ascii="Times New Roman" w:eastAsia="Times New Roman" w:hAnsi="Times New Roman" w:cs="Times New Roman"/>
          <w:sz w:val="24"/>
          <w:szCs w:val="24"/>
        </w:rPr>
        <w:t xml:space="preserve">, </w:t>
      </w:r>
      <w:r w:rsidRPr="00A9340E">
        <w:rPr>
          <w:rFonts w:ascii="Times New Roman" w:eastAsia="Times New Roman" w:hAnsi="Times New Roman" w:cs="Times New Roman"/>
          <w:i/>
          <w:iCs/>
          <w:sz w:val="24"/>
          <w:szCs w:val="24"/>
        </w:rPr>
        <w:t>344</w:t>
      </w:r>
      <w:r w:rsidRPr="00A9340E">
        <w:rPr>
          <w:rFonts w:ascii="Times New Roman" w:eastAsia="Times New Roman" w:hAnsi="Times New Roman" w:cs="Times New Roman"/>
          <w:sz w:val="24"/>
          <w:szCs w:val="24"/>
        </w:rPr>
        <w:t xml:space="preserve">(6186), 838–843. </w:t>
      </w:r>
      <w:hyperlink r:id="rId51" w:history="1">
        <w:r w:rsidRPr="00A9340E">
          <w:rPr>
            <w:rFonts w:ascii="Times New Roman" w:eastAsia="Times New Roman" w:hAnsi="Times New Roman" w:cs="Times New Roman"/>
            <w:color w:val="0000FF"/>
            <w:sz w:val="24"/>
            <w:szCs w:val="24"/>
            <w:u w:val="single"/>
          </w:rPr>
          <w:t>https://doi.org/10.1126/science.1251936</w:t>
        </w:r>
      </w:hyperlink>
    </w:p>
    <w:p w14:paraId="4FABA974" w14:textId="77777777" w:rsidR="00A9340E" w:rsidRPr="00A9340E" w:rsidRDefault="00A9340E" w:rsidP="00A9340E">
      <w:pPr>
        <w:spacing w:after="0" w:line="480" w:lineRule="auto"/>
        <w:ind w:hanging="480"/>
        <w:rPr>
          <w:rFonts w:ascii="Times New Roman" w:eastAsia="Times New Roman" w:hAnsi="Times New Roman" w:cs="Times New Roman"/>
          <w:sz w:val="24"/>
          <w:szCs w:val="24"/>
        </w:rPr>
      </w:pPr>
      <w:r w:rsidRPr="00A9340E">
        <w:rPr>
          <w:rFonts w:ascii="Times New Roman" w:eastAsia="Times New Roman" w:hAnsi="Times New Roman" w:cs="Times New Roman"/>
          <w:i/>
          <w:iCs/>
          <w:sz w:val="24"/>
          <w:szCs w:val="24"/>
        </w:rPr>
        <w:t>Political Trust, Ideology, and Public Support for Government Spending</w:t>
      </w:r>
      <w:r w:rsidRPr="00A9340E">
        <w:rPr>
          <w:rFonts w:ascii="Times New Roman" w:eastAsia="Times New Roman" w:hAnsi="Times New Roman" w:cs="Times New Roman"/>
          <w:sz w:val="24"/>
          <w:szCs w:val="24"/>
        </w:rPr>
        <w:t>. (2022).</w:t>
      </w:r>
    </w:p>
    <w:p w14:paraId="07909AD7" w14:textId="77777777" w:rsidR="00A9340E" w:rsidRPr="00A9340E" w:rsidRDefault="00A9340E" w:rsidP="00A9340E">
      <w:pPr>
        <w:spacing w:after="0" w:line="480" w:lineRule="auto"/>
        <w:ind w:hanging="480"/>
        <w:rPr>
          <w:rFonts w:ascii="Times New Roman" w:eastAsia="Times New Roman" w:hAnsi="Times New Roman" w:cs="Times New Roman"/>
          <w:sz w:val="24"/>
          <w:szCs w:val="24"/>
        </w:rPr>
      </w:pPr>
      <w:r w:rsidRPr="00A9340E">
        <w:rPr>
          <w:rFonts w:ascii="Times New Roman" w:eastAsia="Times New Roman" w:hAnsi="Times New Roman" w:cs="Times New Roman"/>
          <w:sz w:val="24"/>
          <w:szCs w:val="24"/>
        </w:rPr>
        <w:t xml:space="preserve">Rudolph, T. J. (2009). Political Trust, Ideology, and Public Support for Tax Cuts. </w:t>
      </w:r>
      <w:r w:rsidRPr="00A9340E">
        <w:rPr>
          <w:rFonts w:ascii="Times New Roman" w:eastAsia="Times New Roman" w:hAnsi="Times New Roman" w:cs="Times New Roman"/>
          <w:i/>
          <w:iCs/>
          <w:sz w:val="24"/>
          <w:szCs w:val="24"/>
        </w:rPr>
        <w:t>Public Opinion Quarterly</w:t>
      </w:r>
      <w:r w:rsidRPr="00A9340E">
        <w:rPr>
          <w:rFonts w:ascii="Times New Roman" w:eastAsia="Times New Roman" w:hAnsi="Times New Roman" w:cs="Times New Roman"/>
          <w:sz w:val="24"/>
          <w:szCs w:val="24"/>
        </w:rPr>
        <w:t xml:space="preserve">, </w:t>
      </w:r>
      <w:r w:rsidRPr="00A9340E">
        <w:rPr>
          <w:rFonts w:ascii="Times New Roman" w:eastAsia="Times New Roman" w:hAnsi="Times New Roman" w:cs="Times New Roman"/>
          <w:i/>
          <w:iCs/>
          <w:sz w:val="24"/>
          <w:szCs w:val="24"/>
        </w:rPr>
        <w:t>73</w:t>
      </w:r>
      <w:r w:rsidRPr="00A9340E">
        <w:rPr>
          <w:rFonts w:ascii="Times New Roman" w:eastAsia="Times New Roman" w:hAnsi="Times New Roman" w:cs="Times New Roman"/>
          <w:sz w:val="24"/>
          <w:szCs w:val="24"/>
        </w:rPr>
        <w:t xml:space="preserve">(1), 144–158. </w:t>
      </w:r>
      <w:hyperlink r:id="rId52" w:history="1">
        <w:r w:rsidRPr="00A9340E">
          <w:rPr>
            <w:rFonts w:ascii="Times New Roman" w:eastAsia="Times New Roman" w:hAnsi="Times New Roman" w:cs="Times New Roman"/>
            <w:color w:val="0000FF"/>
            <w:sz w:val="24"/>
            <w:szCs w:val="24"/>
            <w:u w:val="single"/>
          </w:rPr>
          <w:t>https://doi.org/10.1093/poq/nfp012</w:t>
        </w:r>
      </w:hyperlink>
    </w:p>
    <w:p w14:paraId="5190D976" w14:textId="77777777" w:rsidR="00A9340E" w:rsidRPr="00A9340E" w:rsidRDefault="00A9340E" w:rsidP="00A9340E">
      <w:pPr>
        <w:spacing w:after="0" w:line="480" w:lineRule="auto"/>
        <w:ind w:hanging="480"/>
        <w:rPr>
          <w:rFonts w:ascii="Times New Roman" w:eastAsia="Times New Roman" w:hAnsi="Times New Roman" w:cs="Times New Roman"/>
          <w:sz w:val="24"/>
          <w:szCs w:val="24"/>
        </w:rPr>
      </w:pPr>
      <w:r w:rsidRPr="00A9340E">
        <w:rPr>
          <w:rFonts w:ascii="Times New Roman" w:eastAsia="Times New Roman" w:hAnsi="Times New Roman" w:cs="Times New Roman"/>
          <w:sz w:val="24"/>
          <w:szCs w:val="24"/>
        </w:rPr>
        <w:t xml:space="preserve">Schmidt-Catran, A. W. (2016). Economic inequality and public demand for redistribution: Combining cross-sectional and longitudinal evidence. </w:t>
      </w:r>
      <w:r w:rsidRPr="00A9340E">
        <w:rPr>
          <w:rFonts w:ascii="Times New Roman" w:eastAsia="Times New Roman" w:hAnsi="Times New Roman" w:cs="Times New Roman"/>
          <w:i/>
          <w:iCs/>
          <w:sz w:val="24"/>
          <w:szCs w:val="24"/>
        </w:rPr>
        <w:t>Socio-Economic Review</w:t>
      </w:r>
      <w:r w:rsidRPr="00A9340E">
        <w:rPr>
          <w:rFonts w:ascii="Times New Roman" w:eastAsia="Times New Roman" w:hAnsi="Times New Roman" w:cs="Times New Roman"/>
          <w:sz w:val="24"/>
          <w:szCs w:val="24"/>
        </w:rPr>
        <w:t xml:space="preserve">, </w:t>
      </w:r>
      <w:r w:rsidRPr="00A9340E">
        <w:rPr>
          <w:rFonts w:ascii="Times New Roman" w:eastAsia="Times New Roman" w:hAnsi="Times New Roman" w:cs="Times New Roman"/>
          <w:i/>
          <w:iCs/>
          <w:sz w:val="24"/>
          <w:szCs w:val="24"/>
        </w:rPr>
        <w:t>14</w:t>
      </w:r>
      <w:r w:rsidRPr="00A9340E">
        <w:rPr>
          <w:rFonts w:ascii="Times New Roman" w:eastAsia="Times New Roman" w:hAnsi="Times New Roman" w:cs="Times New Roman"/>
          <w:sz w:val="24"/>
          <w:szCs w:val="24"/>
        </w:rPr>
        <w:t xml:space="preserve">(1), 119–140. </w:t>
      </w:r>
      <w:hyperlink r:id="rId53" w:history="1">
        <w:r w:rsidRPr="00A9340E">
          <w:rPr>
            <w:rFonts w:ascii="Times New Roman" w:eastAsia="Times New Roman" w:hAnsi="Times New Roman" w:cs="Times New Roman"/>
            <w:color w:val="0000FF"/>
            <w:sz w:val="24"/>
            <w:szCs w:val="24"/>
            <w:u w:val="single"/>
          </w:rPr>
          <w:t>https://doi.org/10.1093/ser/mwu030</w:t>
        </w:r>
      </w:hyperlink>
    </w:p>
    <w:p w14:paraId="3CF355EA" w14:textId="77777777" w:rsidR="00A9340E" w:rsidRPr="00A9340E" w:rsidRDefault="00A9340E" w:rsidP="00A9340E">
      <w:pPr>
        <w:spacing w:after="0" w:line="480" w:lineRule="auto"/>
        <w:ind w:hanging="480"/>
        <w:rPr>
          <w:rFonts w:ascii="Times New Roman" w:eastAsia="Times New Roman" w:hAnsi="Times New Roman" w:cs="Times New Roman"/>
          <w:sz w:val="24"/>
          <w:szCs w:val="24"/>
        </w:rPr>
      </w:pPr>
      <w:r w:rsidRPr="00A9340E">
        <w:rPr>
          <w:rFonts w:ascii="Times New Roman" w:eastAsia="Times New Roman" w:hAnsi="Times New Roman" w:cs="Times New Roman"/>
          <w:sz w:val="24"/>
          <w:szCs w:val="24"/>
        </w:rPr>
        <w:t xml:space="preserve">Scruggs, L., &amp; Hayes, T. J. (2017). The Influence of Inequality on Welfare Generosity: Evidence from the US States. </w:t>
      </w:r>
      <w:r w:rsidRPr="00A9340E">
        <w:rPr>
          <w:rFonts w:ascii="Times New Roman" w:eastAsia="Times New Roman" w:hAnsi="Times New Roman" w:cs="Times New Roman"/>
          <w:i/>
          <w:iCs/>
          <w:sz w:val="24"/>
          <w:szCs w:val="24"/>
        </w:rPr>
        <w:t>Politics &amp; Society</w:t>
      </w:r>
      <w:r w:rsidRPr="00A9340E">
        <w:rPr>
          <w:rFonts w:ascii="Times New Roman" w:eastAsia="Times New Roman" w:hAnsi="Times New Roman" w:cs="Times New Roman"/>
          <w:sz w:val="24"/>
          <w:szCs w:val="24"/>
        </w:rPr>
        <w:t xml:space="preserve">, </w:t>
      </w:r>
      <w:r w:rsidRPr="00A9340E">
        <w:rPr>
          <w:rFonts w:ascii="Times New Roman" w:eastAsia="Times New Roman" w:hAnsi="Times New Roman" w:cs="Times New Roman"/>
          <w:i/>
          <w:iCs/>
          <w:sz w:val="24"/>
          <w:szCs w:val="24"/>
        </w:rPr>
        <w:t>45</w:t>
      </w:r>
      <w:r w:rsidRPr="00A9340E">
        <w:rPr>
          <w:rFonts w:ascii="Times New Roman" w:eastAsia="Times New Roman" w:hAnsi="Times New Roman" w:cs="Times New Roman"/>
          <w:sz w:val="24"/>
          <w:szCs w:val="24"/>
        </w:rPr>
        <w:t xml:space="preserve">(1), 35–66. </w:t>
      </w:r>
      <w:hyperlink r:id="rId54" w:history="1">
        <w:r w:rsidRPr="00A9340E">
          <w:rPr>
            <w:rFonts w:ascii="Times New Roman" w:eastAsia="Times New Roman" w:hAnsi="Times New Roman" w:cs="Times New Roman"/>
            <w:color w:val="0000FF"/>
            <w:sz w:val="24"/>
            <w:szCs w:val="24"/>
            <w:u w:val="single"/>
          </w:rPr>
          <w:t>https://doi.org/10.1177/0032329216683165</w:t>
        </w:r>
      </w:hyperlink>
    </w:p>
    <w:p w14:paraId="5E33C7E0" w14:textId="77777777" w:rsidR="00A9340E" w:rsidRPr="00A9340E" w:rsidRDefault="00A9340E" w:rsidP="00A9340E">
      <w:pPr>
        <w:spacing w:after="0" w:line="480" w:lineRule="auto"/>
        <w:ind w:hanging="480"/>
        <w:rPr>
          <w:rFonts w:ascii="Times New Roman" w:eastAsia="Times New Roman" w:hAnsi="Times New Roman" w:cs="Times New Roman"/>
          <w:sz w:val="24"/>
          <w:szCs w:val="24"/>
        </w:rPr>
      </w:pPr>
      <w:r w:rsidRPr="00A9340E">
        <w:rPr>
          <w:rFonts w:ascii="Times New Roman" w:eastAsia="Times New Roman" w:hAnsi="Times New Roman" w:cs="Times New Roman"/>
          <w:sz w:val="24"/>
          <w:szCs w:val="24"/>
        </w:rPr>
        <w:t xml:space="preserve">Shapiro, R. Y., &amp; Young, J. T. (1989). Public Opinion and the Welfare State: The United States in Comparative Perspective. </w:t>
      </w:r>
      <w:r w:rsidRPr="00A9340E">
        <w:rPr>
          <w:rFonts w:ascii="Times New Roman" w:eastAsia="Times New Roman" w:hAnsi="Times New Roman" w:cs="Times New Roman"/>
          <w:i/>
          <w:iCs/>
          <w:sz w:val="24"/>
          <w:szCs w:val="24"/>
        </w:rPr>
        <w:t>Political Science Quarterly</w:t>
      </w:r>
      <w:r w:rsidRPr="00A9340E">
        <w:rPr>
          <w:rFonts w:ascii="Times New Roman" w:eastAsia="Times New Roman" w:hAnsi="Times New Roman" w:cs="Times New Roman"/>
          <w:sz w:val="24"/>
          <w:szCs w:val="24"/>
        </w:rPr>
        <w:t xml:space="preserve">, </w:t>
      </w:r>
      <w:r w:rsidRPr="00A9340E">
        <w:rPr>
          <w:rFonts w:ascii="Times New Roman" w:eastAsia="Times New Roman" w:hAnsi="Times New Roman" w:cs="Times New Roman"/>
          <w:i/>
          <w:iCs/>
          <w:sz w:val="24"/>
          <w:szCs w:val="24"/>
        </w:rPr>
        <w:t>104</w:t>
      </w:r>
      <w:r w:rsidRPr="00A9340E">
        <w:rPr>
          <w:rFonts w:ascii="Times New Roman" w:eastAsia="Times New Roman" w:hAnsi="Times New Roman" w:cs="Times New Roman"/>
          <w:sz w:val="24"/>
          <w:szCs w:val="24"/>
        </w:rPr>
        <w:t xml:space="preserve">(1), 59. </w:t>
      </w:r>
      <w:hyperlink r:id="rId55" w:history="1">
        <w:r w:rsidRPr="00A9340E">
          <w:rPr>
            <w:rFonts w:ascii="Times New Roman" w:eastAsia="Times New Roman" w:hAnsi="Times New Roman" w:cs="Times New Roman"/>
            <w:color w:val="0000FF"/>
            <w:sz w:val="24"/>
            <w:szCs w:val="24"/>
            <w:u w:val="single"/>
          </w:rPr>
          <w:t>https://doi.org/10.2307/2150988</w:t>
        </w:r>
      </w:hyperlink>
    </w:p>
    <w:p w14:paraId="0387BC5D" w14:textId="77777777" w:rsidR="00A9340E" w:rsidRPr="00A9340E" w:rsidRDefault="00A9340E" w:rsidP="00A9340E">
      <w:pPr>
        <w:spacing w:after="0" w:line="480" w:lineRule="auto"/>
        <w:ind w:hanging="480"/>
        <w:rPr>
          <w:rFonts w:ascii="Times New Roman" w:eastAsia="Times New Roman" w:hAnsi="Times New Roman" w:cs="Times New Roman"/>
          <w:sz w:val="24"/>
          <w:szCs w:val="24"/>
        </w:rPr>
      </w:pPr>
      <w:r w:rsidRPr="00A9340E">
        <w:rPr>
          <w:rFonts w:ascii="Times New Roman" w:eastAsia="Times New Roman" w:hAnsi="Times New Roman" w:cs="Times New Roman"/>
          <w:sz w:val="24"/>
          <w:szCs w:val="24"/>
        </w:rPr>
        <w:lastRenderedPageBreak/>
        <w:t xml:space="preserve">Summers, K., Accominotti, F., Burchardt, T., Hecht, K., Mann, E., &amp; Mijs, J. (2022). Deliberating Inequality: A Blueprint for Studying the Social Formation of Beliefs about Economic Inequality. </w:t>
      </w:r>
      <w:r w:rsidRPr="00A9340E">
        <w:rPr>
          <w:rFonts w:ascii="Times New Roman" w:eastAsia="Times New Roman" w:hAnsi="Times New Roman" w:cs="Times New Roman"/>
          <w:i/>
          <w:iCs/>
          <w:sz w:val="24"/>
          <w:szCs w:val="24"/>
        </w:rPr>
        <w:t>Social Justice Research</w:t>
      </w:r>
      <w:r w:rsidRPr="00A9340E">
        <w:rPr>
          <w:rFonts w:ascii="Times New Roman" w:eastAsia="Times New Roman" w:hAnsi="Times New Roman" w:cs="Times New Roman"/>
          <w:sz w:val="24"/>
          <w:szCs w:val="24"/>
        </w:rPr>
        <w:t xml:space="preserve">, </w:t>
      </w:r>
      <w:r w:rsidRPr="00A9340E">
        <w:rPr>
          <w:rFonts w:ascii="Times New Roman" w:eastAsia="Times New Roman" w:hAnsi="Times New Roman" w:cs="Times New Roman"/>
          <w:i/>
          <w:iCs/>
          <w:sz w:val="24"/>
          <w:szCs w:val="24"/>
        </w:rPr>
        <w:t>35</w:t>
      </w:r>
      <w:r w:rsidRPr="00A9340E">
        <w:rPr>
          <w:rFonts w:ascii="Times New Roman" w:eastAsia="Times New Roman" w:hAnsi="Times New Roman" w:cs="Times New Roman"/>
          <w:sz w:val="24"/>
          <w:szCs w:val="24"/>
        </w:rPr>
        <w:t xml:space="preserve">(4), 379–400. </w:t>
      </w:r>
      <w:hyperlink r:id="rId56" w:history="1">
        <w:r w:rsidRPr="00A9340E">
          <w:rPr>
            <w:rFonts w:ascii="Times New Roman" w:eastAsia="Times New Roman" w:hAnsi="Times New Roman" w:cs="Times New Roman"/>
            <w:color w:val="0000FF"/>
            <w:sz w:val="24"/>
            <w:szCs w:val="24"/>
            <w:u w:val="single"/>
          </w:rPr>
          <w:t>https://doi.org/10.1007/s11211-022-00389-0</w:t>
        </w:r>
      </w:hyperlink>
    </w:p>
    <w:p w14:paraId="0951E30D" w14:textId="77777777" w:rsidR="00A9340E" w:rsidRPr="00A9340E" w:rsidRDefault="00A9340E" w:rsidP="00A9340E">
      <w:pPr>
        <w:spacing w:after="0" w:line="480" w:lineRule="auto"/>
        <w:ind w:hanging="480"/>
        <w:rPr>
          <w:rFonts w:ascii="Times New Roman" w:eastAsia="Times New Roman" w:hAnsi="Times New Roman" w:cs="Times New Roman"/>
          <w:sz w:val="24"/>
          <w:szCs w:val="24"/>
        </w:rPr>
      </w:pPr>
      <w:r w:rsidRPr="00A9340E">
        <w:rPr>
          <w:rFonts w:ascii="Times New Roman" w:eastAsia="Times New Roman" w:hAnsi="Times New Roman" w:cs="Times New Roman"/>
          <w:sz w:val="24"/>
          <w:szCs w:val="24"/>
        </w:rPr>
        <w:t xml:space="preserve">Trump, K.-S. (2018). Income Inequality Influences Perceptions of Legitimate Income Differences. </w:t>
      </w:r>
      <w:r w:rsidRPr="00A9340E">
        <w:rPr>
          <w:rFonts w:ascii="Times New Roman" w:eastAsia="Times New Roman" w:hAnsi="Times New Roman" w:cs="Times New Roman"/>
          <w:i/>
          <w:iCs/>
          <w:sz w:val="24"/>
          <w:szCs w:val="24"/>
        </w:rPr>
        <w:t>British Journal of Political Science</w:t>
      </w:r>
      <w:r w:rsidRPr="00A9340E">
        <w:rPr>
          <w:rFonts w:ascii="Times New Roman" w:eastAsia="Times New Roman" w:hAnsi="Times New Roman" w:cs="Times New Roman"/>
          <w:sz w:val="24"/>
          <w:szCs w:val="24"/>
        </w:rPr>
        <w:t xml:space="preserve">, </w:t>
      </w:r>
      <w:r w:rsidRPr="00A9340E">
        <w:rPr>
          <w:rFonts w:ascii="Times New Roman" w:eastAsia="Times New Roman" w:hAnsi="Times New Roman" w:cs="Times New Roman"/>
          <w:i/>
          <w:iCs/>
          <w:sz w:val="24"/>
          <w:szCs w:val="24"/>
        </w:rPr>
        <w:t>48</w:t>
      </w:r>
      <w:r w:rsidRPr="00A9340E">
        <w:rPr>
          <w:rFonts w:ascii="Times New Roman" w:eastAsia="Times New Roman" w:hAnsi="Times New Roman" w:cs="Times New Roman"/>
          <w:sz w:val="24"/>
          <w:szCs w:val="24"/>
        </w:rPr>
        <w:t xml:space="preserve">(4), 929–952. </w:t>
      </w:r>
      <w:hyperlink r:id="rId57" w:history="1">
        <w:r w:rsidRPr="00A9340E">
          <w:rPr>
            <w:rFonts w:ascii="Times New Roman" w:eastAsia="Times New Roman" w:hAnsi="Times New Roman" w:cs="Times New Roman"/>
            <w:color w:val="0000FF"/>
            <w:sz w:val="24"/>
            <w:szCs w:val="24"/>
            <w:u w:val="single"/>
          </w:rPr>
          <w:t>https://doi.org/10.1017/S0007123416000326</w:t>
        </w:r>
      </w:hyperlink>
    </w:p>
    <w:p w14:paraId="25802418" w14:textId="77777777" w:rsidR="00A9340E" w:rsidRPr="00A9340E" w:rsidRDefault="00A9340E" w:rsidP="00A9340E">
      <w:pPr>
        <w:spacing w:after="0" w:line="480" w:lineRule="auto"/>
        <w:ind w:hanging="480"/>
        <w:rPr>
          <w:rFonts w:ascii="Times New Roman" w:eastAsia="Times New Roman" w:hAnsi="Times New Roman" w:cs="Times New Roman"/>
          <w:sz w:val="24"/>
          <w:szCs w:val="24"/>
        </w:rPr>
      </w:pPr>
      <w:r w:rsidRPr="00A9340E">
        <w:rPr>
          <w:rFonts w:ascii="Times New Roman" w:eastAsia="Times New Roman" w:hAnsi="Times New Roman" w:cs="Times New Roman"/>
          <w:sz w:val="24"/>
          <w:szCs w:val="24"/>
        </w:rPr>
        <w:t xml:space="preserve">Wilkinson, R. G., &amp; Pickett, K. E. (2009). Income Inequality and Social Dysfunction. </w:t>
      </w:r>
      <w:r w:rsidRPr="00A9340E">
        <w:rPr>
          <w:rFonts w:ascii="Times New Roman" w:eastAsia="Times New Roman" w:hAnsi="Times New Roman" w:cs="Times New Roman"/>
          <w:i/>
          <w:iCs/>
          <w:sz w:val="24"/>
          <w:szCs w:val="24"/>
        </w:rPr>
        <w:t>Annual Review of Sociology</w:t>
      </w:r>
      <w:r w:rsidRPr="00A9340E">
        <w:rPr>
          <w:rFonts w:ascii="Times New Roman" w:eastAsia="Times New Roman" w:hAnsi="Times New Roman" w:cs="Times New Roman"/>
          <w:sz w:val="24"/>
          <w:szCs w:val="24"/>
        </w:rPr>
        <w:t xml:space="preserve">, </w:t>
      </w:r>
      <w:r w:rsidRPr="00A9340E">
        <w:rPr>
          <w:rFonts w:ascii="Times New Roman" w:eastAsia="Times New Roman" w:hAnsi="Times New Roman" w:cs="Times New Roman"/>
          <w:i/>
          <w:iCs/>
          <w:sz w:val="24"/>
          <w:szCs w:val="24"/>
        </w:rPr>
        <w:t>35</w:t>
      </w:r>
      <w:r w:rsidRPr="00A9340E">
        <w:rPr>
          <w:rFonts w:ascii="Times New Roman" w:eastAsia="Times New Roman" w:hAnsi="Times New Roman" w:cs="Times New Roman"/>
          <w:sz w:val="24"/>
          <w:szCs w:val="24"/>
        </w:rPr>
        <w:t xml:space="preserve">(1), 493–511. </w:t>
      </w:r>
      <w:hyperlink r:id="rId58" w:history="1">
        <w:r w:rsidRPr="00A9340E">
          <w:rPr>
            <w:rFonts w:ascii="Times New Roman" w:eastAsia="Times New Roman" w:hAnsi="Times New Roman" w:cs="Times New Roman"/>
            <w:color w:val="0000FF"/>
            <w:sz w:val="24"/>
            <w:szCs w:val="24"/>
            <w:u w:val="single"/>
          </w:rPr>
          <w:t>https://doi.org/10.1146/annurev-soc-070308-115926</w:t>
        </w:r>
      </w:hyperlink>
    </w:p>
    <w:p w14:paraId="580B7686" w14:textId="77777777" w:rsidR="00A9340E" w:rsidRDefault="00A9340E" w:rsidP="00A9340E"/>
    <w:sectPr w:rsidR="00A9340E">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0" w:author="Kaleb Mazurek" w:date="2023-02-15T11:26:00Z" w:initials="KM">
    <w:p w14:paraId="4508B37E" w14:textId="77777777" w:rsidR="009172F5" w:rsidRDefault="009172F5" w:rsidP="008A471E">
      <w:pPr>
        <w:pStyle w:val="CommentText"/>
      </w:pPr>
      <w:r>
        <w:rPr>
          <w:rStyle w:val="CommentReference"/>
        </w:rPr>
        <w:annotationRef/>
      </w:r>
      <w:r>
        <w:t>Narrow down the questions</w:t>
      </w:r>
    </w:p>
  </w:comment>
  <w:comment w:id="1" w:author="Kaleb Mazurek" w:date="2023-02-15T11:32:00Z" w:initials="KM">
    <w:p w14:paraId="0FE151F1" w14:textId="77777777" w:rsidR="00EF36E1" w:rsidRDefault="00EF36E1" w:rsidP="00292D35">
      <w:pPr>
        <w:pStyle w:val="CommentText"/>
      </w:pPr>
      <w:r>
        <w:rPr>
          <w:rStyle w:val="CommentReference"/>
        </w:rPr>
        <w:annotationRef/>
      </w:r>
      <w:r>
        <w:t>Don't need to say all this about meritocracy. Make it shorter</w:t>
      </w:r>
    </w:p>
  </w:comment>
  <w:comment w:id="2" w:author="Kaleb Mazurek" w:date="2023-02-15T11:33:00Z" w:initials="KM">
    <w:p w14:paraId="45CCA417" w14:textId="77777777" w:rsidR="00EF36E1" w:rsidRDefault="00EF36E1" w:rsidP="004C5E4C">
      <w:pPr>
        <w:pStyle w:val="CommentText"/>
      </w:pPr>
      <w:r>
        <w:rPr>
          <w:rStyle w:val="CommentReference"/>
        </w:rPr>
        <w:annotationRef/>
      </w:r>
      <w:r>
        <w:t>This phrased incorrectly</w:t>
      </w:r>
    </w:p>
  </w:comment>
  <w:comment w:id="3" w:author="Kaleb Mazurek" w:date="2023-02-15T11:29:00Z" w:initials="KM">
    <w:p w14:paraId="42C645B6" w14:textId="7E7F7BEC" w:rsidR="00FE682D" w:rsidRDefault="00FE682D" w:rsidP="00CA5E6D">
      <w:pPr>
        <w:pStyle w:val="CommentText"/>
      </w:pPr>
      <w:r>
        <w:rPr>
          <w:rStyle w:val="CommentReference"/>
        </w:rPr>
        <w:annotationRef/>
      </w:r>
      <w:r>
        <w:t xml:space="preserve">Build up to the hypotheses. Write one paragraph for each hypothesis. And explain why we need to test this &amp; relevance. </w:t>
      </w:r>
    </w:p>
  </w:comment>
  <w:comment w:id="4" w:author="Kaleb Mazurek" w:date="2023-02-15T11:30:00Z" w:initials="KM">
    <w:p w14:paraId="4677DFEC" w14:textId="77777777" w:rsidR="00754F5B" w:rsidRDefault="00754F5B" w:rsidP="00074000">
      <w:pPr>
        <w:pStyle w:val="CommentText"/>
      </w:pPr>
      <w:r>
        <w:rPr>
          <w:rStyle w:val="CommentReference"/>
        </w:rPr>
        <w:annotationRef/>
      </w:r>
      <w:r>
        <w:t>Make it clear what we still do not know</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4508B37E" w15:done="0"/>
  <w15:commentEx w15:paraId="0FE151F1" w15:done="0"/>
  <w15:commentEx w15:paraId="45CCA417" w15:done="0"/>
  <w15:commentEx w15:paraId="42C645B6" w15:done="0"/>
  <w15:commentEx w15:paraId="4677DFEC" w15:paraIdParent="42C645B6"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27973FE2" w16cex:dateUtc="2023-02-15T10:26:00Z"/>
  <w16cex:commentExtensible w16cex:durableId="2797415C" w16cex:dateUtc="2023-02-15T10:32:00Z"/>
  <w16cex:commentExtensible w16cex:durableId="27974183" w16cex:dateUtc="2023-02-15T10:33:00Z"/>
  <w16cex:commentExtensible w16cex:durableId="27974093" w16cex:dateUtc="2023-02-15T10:29:00Z"/>
  <w16cex:commentExtensible w16cex:durableId="279740B8" w16cex:dateUtc="2023-02-15T10:30: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4508B37E" w16cid:durableId="27973FE2"/>
  <w16cid:commentId w16cid:paraId="0FE151F1" w16cid:durableId="2797415C"/>
  <w16cid:commentId w16cid:paraId="45CCA417" w16cid:durableId="27974183"/>
  <w16cid:commentId w16cid:paraId="42C645B6" w16cid:durableId="27974093"/>
  <w16cid:commentId w16cid:paraId="4677DFEC" w16cid:durableId="279740B8"/>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5A1A25"/>
    <w:multiLevelType w:val="hybridMultilevel"/>
    <w:tmpl w:val="0BC85A08"/>
    <w:lvl w:ilvl="0" w:tplc="476C6480">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594D2D01"/>
    <w:multiLevelType w:val="hybridMultilevel"/>
    <w:tmpl w:val="28943AF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996032932">
    <w:abstractNumId w:val="1"/>
  </w:num>
  <w:num w:numId="2" w16cid:durableId="125632592">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Kaleb Mazurek">
    <w15:presenceInfo w15:providerId="Windows Live" w15:userId="968e2127d148428e"/>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E1729D"/>
    <w:rsid w:val="0003020F"/>
    <w:rsid w:val="0003082C"/>
    <w:rsid w:val="00033896"/>
    <w:rsid w:val="000414A1"/>
    <w:rsid w:val="00042155"/>
    <w:rsid w:val="00042D04"/>
    <w:rsid w:val="0004734B"/>
    <w:rsid w:val="00057F33"/>
    <w:rsid w:val="000601A4"/>
    <w:rsid w:val="000676C1"/>
    <w:rsid w:val="000743EB"/>
    <w:rsid w:val="00076BDC"/>
    <w:rsid w:val="000840A7"/>
    <w:rsid w:val="00091C95"/>
    <w:rsid w:val="00096174"/>
    <w:rsid w:val="000B0D4F"/>
    <w:rsid w:val="000B2E50"/>
    <w:rsid w:val="000B31B7"/>
    <w:rsid w:val="000B60BE"/>
    <w:rsid w:val="000B768B"/>
    <w:rsid w:val="000C20C9"/>
    <w:rsid w:val="000C41F6"/>
    <w:rsid w:val="000E65A5"/>
    <w:rsid w:val="000E7261"/>
    <w:rsid w:val="000F1321"/>
    <w:rsid w:val="000F6C82"/>
    <w:rsid w:val="000F75B3"/>
    <w:rsid w:val="0010298D"/>
    <w:rsid w:val="0011068B"/>
    <w:rsid w:val="00113384"/>
    <w:rsid w:val="00127B7E"/>
    <w:rsid w:val="0013047E"/>
    <w:rsid w:val="00131CFC"/>
    <w:rsid w:val="00140CC8"/>
    <w:rsid w:val="00156399"/>
    <w:rsid w:val="001614E8"/>
    <w:rsid w:val="001652D3"/>
    <w:rsid w:val="00167CA9"/>
    <w:rsid w:val="00181745"/>
    <w:rsid w:val="00181D55"/>
    <w:rsid w:val="00191A15"/>
    <w:rsid w:val="00192CDD"/>
    <w:rsid w:val="001A08D7"/>
    <w:rsid w:val="001A42AE"/>
    <w:rsid w:val="001B7D7A"/>
    <w:rsid w:val="001C4781"/>
    <w:rsid w:val="001D1925"/>
    <w:rsid w:val="001D2301"/>
    <w:rsid w:val="001D307A"/>
    <w:rsid w:val="001D3216"/>
    <w:rsid w:val="001D3DED"/>
    <w:rsid w:val="001E5195"/>
    <w:rsid w:val="001E6FE4"/>
    <w:rsid w:val="001F474E"/>
    <w:rsid w:val="00202A49"/>
    <w:rsid w:val="00220EA1"/>
    <w:rsid w:val="002249D1"/>
    <w:rsid w:val="00225092"/>
    <w:rsid w:val="00232A48"/>
    <w:rsid w:val="00233A30"/>
    <w:rsid w:val="00234803"/>
    <w:rsid w:val="00240914"/>
    <w:rsid w:val="00250EFE"/>
    <w:rsid w:val="002520A0"/>
    <w:rsid w:val="00252B83"/>
    <w:rsid w:val="002536FC"/>
    <w:rsid w:val="002626BD"/>
    <w:rsid w:val="0027746D"/>
    <w:rsid w:val="002A00BD"/>
    <w:rsid w:val="002A5980"/>
    <w:rsid w:val="002A5A01"/>
    <w:rsid w:val="002B1626"/>
    <w:rsid w:val="002B2116"/>
    <w:rsid w:val="002B382D"/>
    <w:rsid w:val="002C39C2"/>
    <w:rsid w:val="002C3BA3"/>
    <w:rsid w:val="002C6635"/>
    <w:rsid w:val="002C7CE8"/>
    <w:rsid w:val="002D3F0A"/>
    <w:rsid w:val="002D5D97"/>
    <w:rsid w:val="002D6EC4"/>
    <w:rsid w:val="002E3F10"/>
    <w:rsid w:val="002E4DB4"/>
    <w:rsid w:val="002F0944"/>
    <w:rsid w:val="002F200A"/>
    <w:rsid w:val="002F58E6"/>
    <w:rsid w:val="0030561C"/>
    <w:rsid w:val="003069E4"/>
    <w:rsid w:val="00306A7D"/>
    <w:rsid w:val="00311526"/>
    <w:rsid w:val="0031716C"/>
    <w:rsid w:val="003206C0"/>
    <w:rsid w:val="00333D86"/>
    <w:rsid w:val="00337942"/>
    <w:rsid w:val="0034390A"/>
    <w:rsid w:val="00366B58"/>
    <w:rsid w:val="003940AA"/>
    <w:rsid w:val="003B124A"/>
    <w:rsid w:val="003B4DBE"/>
    <w:rsid w:val="003B71C9"/>
    <w:rsid w:val="003D0C20"/>
    <w:rsid w:val="003E04C8"/>
    <w:rsid w:val="003E41F0"/>
    <w:rsid w:val="003F38AA"/>
    <w:rsid w:val="00402601"/>
    <w:rsid w:val="004032AD"/>
    <w:rsid w:val="004054F2"/>
    <w:rsid w:val="00412307"/>
    <w:rsid w:val="00416890"/>
    <w:rsid w:val="00425664"/>
    <w:rsid w:val="0043068D"/>
    <w:rsid w:val="004310CA"/>
    <w:rsid w:val="0043110F"/>
    <w:rsid w:val="0044057A"/>
    <w:rsid w:val="004470C0"/>
    <w:rsid w:val="00450371"/>
    <w:rsid w:val="0045631F"/>
    <w:rsid w:val="00456375"/>
    <w:rsid w:val="00457D22"/>
    <w:rsid w:val="00460387"/>
    <w:rsid w:val="004622AC"/>
    <w:rsid w:val="00477024"/>
    <w:rsid w:val="00477519"/>
    <w:rsid w:val="004778C1"/>
    <w:rsid w:val="0048124E"/>
    <w:rsid w:val="004A330A"/>
    <w:rsid w:val="004D4E8D"/>
    <w:rsid w:val="004E0254"/>
    <w:rsid w:val="004F5F54"/>
    <w:rsid w:val="0050250F"/>
    <w:rsid w:val="0051032C"/>
    <w:rsid w:val="00510330"/>
    <w:rsid w:val="00510CFB"/>
    <w:rsid w:val="0052381F"/>
    <w:rsid w:val="00525AE8"/>
    <w:rsid w:val="00536B48"/>
    <w:rsid w:val="00540072"/>
    <w:rsid w:val="00545203"/>
    <w:rsid w:val="00550DD7"/>
    <w:rsid w:val="00555B2B"/>
    <w:rsid w:val="00561B4E"/>
    <w:rsid w:val="00563266"/>
    <w:rsid w:val="00563BE3"/>
    <w:rsid w:val="00582F06"/>
    <w:rsid w:val="005A4BCA"/>
    <w:rsid w:val="005B252C"/>
    <w:rsid w:val="005C1240"/>
    <w:rsid w:val="005C2BC1"/>
    <w:rsid w:val="005C2FA4"/>
    <w:rsid w:val="005C4BD6"/>
    <w:rsid w:val="005C5AC5"/>
    <w:rsid w:val="005D1EE0"/>
    <w:rsid w:val="005D3726"/>
    <w:rsid w:val="005E0B98"/>
    <w:rsid w:val="005E333E"/>
    <w:rsid w:val="005E3ADC"/>
    <w:rsid w:val="005F76C0"/>
    <w:rsid w:val="00606989"/>
    <w:rsid w:val="006216D7"/>
    <w:rsid w:val="00635793"/>
    <w:rsid w:val="00640183"/>
    <w:rsid w:val="00640A0B"/>
    <w:rsid w:val="00641082"/>
    <w:rsid w:val="00642AEA"/>
    <w:rsid w:val="0064625E"/>
    <w:rsid w:val="006476CF"/>
    <w:rsid w:val="00650627"/>
    <w:rsid w:val="006509ED"/>
    <w:rsid w:val="00664876"/>
    <w:rsid w:val="0066495E"/>
    <w:rsid w:val="00666375"/>
    <w:rsid w:val="00673AFA"/>
    <w:rsid w:val="00677C0D"/>
    <w:rsid w:val="00680AA2"/>
    <w:rsid w:val="00683F3C"/>
    <w:rsid w:val="0068577E"/>
    <w:rsid w:val="006A2930"/>
    <w:rsid w:val="006B7B5C"/>
    <w:rsid w:val="006C3347"/>
    <w:rsid w:val="006C47DE"/>
    <w:rsid w:val="006D4D11"/>
    <w:rsid w:val="006E2988"/>
    <w:rsid w:val="006F3C53"/>
    <w:rsid w:val="006F55E5"/>
    <w:rsid w:val="00704836"/>
    <w:rsid w:val="00714E44"/>
    <w:rsid w:val="00730D4B"/>
    <w:rsid w:val="00732F75"/>
    <w:rsid w:val="0075296C"/>
    <w:rsid w:val="00754F5B"/>
    <w:rsid w:val="00762634"/>
    <w:rsid w:val="007664F8"/>
    <w:rsid w:val="00782B46"/>
    <w:rsid w:val="007908F8"/>
    <w:rsid w:val="007935E5"/>
    <w:rsid w:val="007B2C4A"/>
    <w:rsid w:val="007C0448"/>
    <w:rsid w:val="007C1226"/>
    <w:rsid w:val="007D0799"/>
    <w:rsid w:val="007D36DF"/>
    <w:rsid w:val="007F6913"/>
    <w:rsid w:val="00810DB2"/>
    <w:rsid w:val="00813FF9"/>
    <w:rsid w:val="00817931"/>
    <w:rsid w:val="00820C64"/>
    <w:rsid w:val="0082498F"/>
    <w:rsid w:val="008255FB"/>
    <w:rsid w:val="00832593"/>
    <w:rsid w:val="008338CF"/>
    <w:rsid w:val="00850A38"/>
    <w:rsid w:val="00861061"/>
    <w:rsid w:val="00861C5C"/>
    <w:rsid w:val="00865605"/>
    <w:rsid w:val="008662DC"/>
    <w:rsid w:val="00867875"/>
    <w:rsid w:val="00874936"/>
    <w:rsid w:val="00877DBD"/>
    <w:rsid w:val="00892820"/>
    <w:rsid w:val="008976FA"/>
    <w:rsid w:val="008A4733"/>
    <w:rsid w:val="008B0CBF"/>
    <w:rsid w:val="008C1C15"/>
    <w:rsid w:val="008C4093"/>
    <w:rsid w:val="008D00A2"/>
    <w:rsid w:val="008D720B"/>
    <w:rsid w:val="008D755C"/>
    <w:rsid w:val="008F125C"/>
    <w:rsid w:val="008F4017"/>
    <w:rsid w:val="008F470C"/>
    <w:rsid w:val="008F7CDC"/>
    <w:rsid w:val="009168A2"/>
    <w:rsid w:val="009172F5"/>
    <w:rsid w:val="00925643"/>
    <w:rsid w:val="00926E45"/>
    <w:rsid w:val="00940F0D"/>
    <w:rsid w:val="00943DB1"/>
    <w:rsid w:val="00947EB8"/>
    <w:rsid w:val="009512D6"/>
    <w:rsid w:val="00951E59"/>
    <w:rsid w:val="009521DE"/>
    <w:rsid w:val="009548E3"/>
    <w:rsid w:val="00960A2A"/>
    <w:rsid w:val="009627A2"/>
    <w:rsid w:val="009658DA"/>
    <w:rsid w:val="00971B46"/>
    <w:rsid w:val="009762F2"/>
    <w:rsid w:val="009902EE"/>
    <w:rsid w:val="009A0356"/>
    <w:rsid w:val="009A170E"/>
    <w:rsid w:val="009A7B81"/>
    <w:rsid w:val="009B0571"/>
    <w:rsid w:val="009B29EF"/>
    <w:rsid w:val="009B52C3"/>
    <w:rsid w:val="009D7AD5"/>
    <w:rsid w:val="009E0105"/>
    <w:rsid w:val="009E43FB"/>
    <w:rsid w:val="009F07E0"/>
    <w:rsid w:val="009F4F18"/>
    <w:rsid w:val="00A06A1D"/>
    <w:rsid w:val="00A14187"/>
    <w:rsid w:val="00A20186"/>
    <w:rsid w:val="00A2708E"/>
    <w:rsid w:val="00A27907"/>
    <w:rsid w:val="00A4029A"/>
    <w:rsid w:val="00A51EAF"/>
    <w:rsid w:val="00A52D41"/>
    <w:rsid w:val="00A53A30"/>
    <w:rsid w:val="00A53B41"/>
    <w:rsid w:val="00A61047"/>
    <w:rsid w:val="00A61198"/>
    <w:rsid w:val="00A6470C"/>
    <w:rsid w:val="00A65F87"/>
    <w:rsid w:val="00A708EF"/>
    <w:rsid w:val="00A71251"/>
    <w:rsid w:val="00A83BD8"/>
    <w:rsid w:val="00A9340E"/>
    <w:rsid w:val="00AA1B50"/>
    <w:rsid w:val="00AA6E64"/>
    <w:rsid w:val="00AA7E31"/>
    <w:rsid w:val="00AB1E7B"/>
    <w:rsid w:val="00AB66E0"/>
    <w:rsid w:val="00AD24D3"/>
    <w:rsid w:val="00AE0F32"/>
    <w:rsid w:val="00AE2034"/>
    <w:rsid w:val="00AF48DA"/>
    <w:rsid w:val="00B02AD4"/>
    <w:rsid w:val="00B052BF"/>
    <w:rsid w:val="00B07CB5"/>
    <w:rsid w:val="00B161C3"/>
    <w:rsid w:val="00B20824"/>
    <w:rsid w:val="00B20B87"/>
    <w:rsid w:val="00B233B3"/>
    <w:rsid w:val="00B26998"/>
    <w:rsid w:val="00B31FE9"/>
    <w:rsid w:val="00B41845"/>
    <w:rsid w:val="00B42457"/>
    <w:rsid w:val="00B4399A"/>
    <w:rsid w:val="00B46D39"/>
    <w:rsid w:val="00B476C0"/>
    <w:rsid w:val="00B51394"/>
    <w:rsid w:val="00B519A4"/>
    <w:rsid w:val="00B57BEE"/>
    <w:rsid w:val="00B62D6D"/>
    <w:rsid w:val="00B73590"/>
    <w:rsid w:val="00B7571D"/>
    <w:rsid w:val="00B75AF7"/>
    <w:rsid w:val="00B75DC8"/>
    <w:rsid w:val="00B777C0"/>
    <w:rsid w:val="00B81843"/>
    <w:rsid w:val="00B81D20"/>
    <w:rsid w:val="00B83701"/>
    <w:rsid w:val="00B91F92"/>
    <w:rsid w:val="00B92A26"/>
    <w:rsid w:val="00B94118"/>
    <w:rsid w:val="00B972EA"/>
    <w:rsid w:val="00BA0567"/>
    <w:rsid w:val="00BA12F6"/>
    <w:rsid w:val="00BA42F1"/>
    <w:rsid w:val="00BB7F2F"/>
    <w:rsid w:val="00BC15D2"/>
    <w:rsid w:val="00BC24FC"/>
    <w:rsid w:val="00BC6E3F"/>
    <w:rsid w:val="00BD5245"/>
    <w:rsid w:val="00BE6ABE"/>
    <w:rsid w:val="00BF6061"/>
    <w:rsid w:val="00C02B5E"/>
    <w:rsid w:val="00C0374B"/>
    <w:rsid w:val="00C16925"/>
    <w:rsid w:val="00C176BE"/>
    <w:rsid w:val="00C23771"/>
    <w:rsid w:val="00C23A9C"/>
    <w:rsid w:val="00C30436"/>
    <w:rsid w:val="00C30973"/>
    <w:rsid w:val="00C349F3"/>
    <w:rsid w:val="00C358D9"/>
    <w:rsid w:val="00C3723F"/>
    <w:rsid w:val="00C42CFE"/>
    <w:rsid w:val="00C51C56"/>
    <w:rsid w:val="00C530D2"/>
    <w:rsid w:val="00C56A9A"/>
    <w:rsid w:val="00C60043"/>
    <w:rsid w:val="00C62C12"/>
    <w:rsid w:val="00C67AD9"/>
    <w:rsid w:val="00C741EC"/>
    <w:rsid w:val="00C74D5A"/>
    <w:rsid w:val="00C91A40"/>
    <w:rsid w:val="00CA0FF7"/>
    <w:rsid w:val="00CA7382"/>
    <w:rsid w:val="00CB097D"/>
    <w:rsid w:val="00CC08AF"/>
    <w:rsid w:val="00CC3DAA"/>
    <w:rsid w:val="00CD4959"/>
    <w:rsid w:val="00CE134F"/>
    <w:rsid w:val="00CE518D"/>
    <w:rsid w:val="00CE5A43"/>
    <w:rsid w:val="00D13067"/>
    <w:rsid w:val="00D1621C"/>
    <w:rsid w:val="00D21650"/>
    <w:rsid w:val="00D22D3F"/>
    <w:rsid w:val="00D36E1D"/>
    <w:rsid w:val="00D4408D"/>
    <w:rsid w:val="00D47D36"/>
    <w:rsid w:val="00D52913"/>
    <w:rsid w:val="00D57073"/>
    <w:rsid w:val="00D6450D"/>
    <w:rsid w:val="00D66C19"/>
    <w:rsid w:val="00D67506"/>
    <w:rsid w:val="00D75B63"/>
    <w:rsid w:val="00D765CC"/>
    <w:rsid w:val="00D77B07"/>
    <w:rsid w:val="00D85E67"/>
    <w:rsid w:val="00D871F3"/>
    <w:rsid w:val="00D91049"/>
    <w:rsid w:val="00D93A33"/>
    <w:rsid w:val="00D9647A"/>
    <w:rsid w:val="00D964A5"/>
    <w:rsid w:val="00DA2D9A"/>
    <w:rsid w:val="00DA437D"/>
    <w:rsid w:val="00DA6025"/>
    <w:rsid w:val="00DA7D0E"/>
    <w:rsid w:val="00DB7B37"/>
    <w:rsid w:val="00DC0F11"/>
    <w:rsid w:val="00DC4FC1"/>
    <w:rsid w:val="00DE262C"/>
    <w:rsid w:val="00DF489B"/>
    <w:rsid w:val="00DF53D5"/>
    <w:rsid w:val="00DF6CEE"/>
    <w:rsid w:val="00E06A98"/>
    <w:rsid w:val="00E1729D"/>
    <w:rsid w:val="00E252F8"/>
    <w:rsid w:val="00E2581B"/>
    <w:rsid w:val="00E422B4"/>
    <w:rsid w:val="00E45252"/>
    <w:rsid w:val="00E477AE"/>
    <w:rsid w:val="00E61DD5"/>
    <w:rsid w:val="00E67A3A"/>
    <w:rsid w:val="00E764F9"/>
    <w:rsid w:val="00E77BEB"/>
    <w:rsid w:val="00E8285A"/>
    <w:rsid w:val="00E83582"/>
    <w:rsid w:val="00E8734D"/>
    <w:rsid w:val="00E97713"/>
    <w:rsid w:val="00EA007F"/>
    <w:rsid w:val="00EA304F"/>
    <w:rsid w:val="00EC0353"/>
    <w:rsid w:val="00EC57E1"/>
    <w:rsid w:val="00ED21B7"/>
    <w:rsid w:val="00ED2CEC"/>
    <w:rsid w:val="00ED70E5"/>
    <w:rsid w:val="00EE03F7"/>
    <w:rsid w:val="00EF36E1"/>
    <w:rsid w:val="00F04BAA"/>
    <w:rsid w:val="00F10261"/>
    <w:rsid w:val="00F12BD3"/>
    <w:rsid w:val="00F24BD9"/>
    <w:rsid w:val="00F30AF6"/>
    <w:rsid w:val="00F6197C"/>
    <w:rsid w:val="00F63370"/>
    <w:rsid w:val="00F65628"/>
    <w:rsid w:val="00F6587F"/>
    <w:rsid w:val="00F67533"/>
    <w:rsid w:val="00F67B7D"/>
    <w:rsid w:val="00F86943"/>
    <w:rsid w:val="00F928EE"/>
    <w:rsid w:val="00F9334B"/>
    <w:rsid w:val="00F96E84"/>
    <w:rsid w:val="00F97B6A"/>
    <w:rsid w:val="00FA38F2"/>
    <w:rsid w:val="00FA7297"/>
    <w:rsid w:val="00FB30FA"/>
    <w:rsid w:val="00FB4794"/>
    <w:rsid w:val="00FB732B"/>
    <w:rsid w:val="00FC2DD5"/>
    <w:rsid w:val="00FC33D2"/>
    <w:rsid w:val="00FC4ABE"/>
    <w:rsid w:val="00FD4188"/>
    <w:rsid w:val="00FE3470"/>
    <w:rsid w:val="00FE682D"/>
    <w:rsid w:val="00FF1D06"/>
    <w:rsid w:val="00FF5C2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327EDF"/>
  <w15:docId w15:val="{2A411580-41D3-40BE-BEE2-DE6DCD2748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42155"/>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714E44"/>
    <w:pPr>
      <w:ind w:left="720"/>
      <w:contextualSpacing/>
    </w:pPr>
  </w:style>
  <w:style w:type="paragraph" w:styleId="NormalWeb">
    <w:name w:val="Normal (Web)"/>
    <w:basedOn w:val="Normal"/>
    <w:uiPriority w:val="99"/>
    <w:semiHidden/>
    <w:unhideWhenUsed/>
    <w:rsid w:val="00FB30FA"/>
    <w:pPr>
      <w:spacing w:before="100" w:beforeAutospacing="1" w:after="100" w:afterAutospacing="1" w:line="240" w:lineRule="auto"/>
    </w:pPr>
    <w:rPr>
      <w:rFonts w:ascii="Times New Roman" w:eastAsia="Times New Roman" w:hAnsi="Times New Roman" w:cs="Times New Roman"/>
      <w:sz w:val="24"/>
      <w:szCs w:val="24"/>
    </w:rPr>
  </w:style>
  <w:style w:type="character" w:styleId="CommentReference">
    <w:name w:val="annotation reference"/>
    <w:basedOn w:val="DefaultParagraphFont"/>
    <w:uiPriority w:val="99"/>
    <w:semiHidden/>
    <w:unhideWhenUsed/>
    <w:rsid w:val="009172F5"/>
    <w:rPr>
      <w:sz w:val="16"/>
      <w:szCs w:val="16"/>
    </w:rPr>
  </w:style>
  <w:style w:type="paragraph" w:styleId="CommentText">
    <w:name w:val="annotation text"/>
    <w:basedOn w:val="Normal"/>
    <w:link w:val="CommentTextChar"/>
    <w:uiPriority w:val="99"/>
    <w:unhideWhenUsed/>
    <w:rsid w:val="009172F5"/>
    <w:pPr>
      <w:spacing w:line="240" w:lineRule="auto"/>
    </w:pPr>
    <w:rPr>
      <w:sz w:val="20"/>
      <w:szCs w:val="20"/>
    </w:rPr>
  </w:style>
  <w:style w:type="character" w:customStyle="1" w:styleId="CommentTextChar">
    <w:name w:val="Comment Text Char"/>
    <w:basedOn w:val="DefaultParagraphFont"/>
    <w:link w:val="CommentText"/>
    <w:uiPriority w:val="99"/>
    <w:rsid w:val="009172F5"/>
    <w:rPr>
      <w:sz w:val="20"/>
      <w:szCs w:val="20"/>
    </w:rPr>
  </w:style>
  <w:style w:type="paragraph" w:styleId="CommentSubject">
    <w:name w:val="annotation subject"/>
    <w:basedOn w:val="CommentText"/>
    <w:next w:val="CommentText"/>
    <w:link w:val="CommentSubjectChar"/>
    <w:uiPriority w:val="99"/>
    <w:semiHidden/>
    <w:unhideWhenUsed/>
    <w:rsid w:val="009172F5"/>
    <w:rPr>
      <w:b/>
      <w:bCs/>
    </w:rPr>
  </w:style>
  <w:style w:type="character" w:customStyle="1" w:styleId="CommentSubjectChar">
    <w:name w:val="Comment Subject Char"/>
    <w:basedOn w:val="CommentTextChar"/>
    <w:link w:val="CommentSubject"/>
    <w:uiPriority w:val="99"/>
    <w:semiHidden/>
    <w:rsid w:val="009172F5"/>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97235839">
      <w:bodyDiv w:val="1"/>
      <w:marLeft w:val="0"/>
      <w:marRight w:val="0"/>
      <w:marTop w:val="0"/>
      <w:marBottom w:val="0"/>
      <w:divBdr>
        <w:top w:val="none" w:sz="0" w:space="0" w:color="auto"/>
        <w:left w:val="none" w:sz="0" w:space="0" w:color="auto"/>
        <w:bottom w:val="none" w:sz="0" w:space="0" w:color="auto"/>
        <w:right w:val="none" w:sz="0" w:space="0" w:color="auto"/>
      </w:divBdr>
      <w:divsChild>
        <w:div w:id="584263146">
          <w:marLeft w:val="480"/>
          <w:marRight w:val="0"/>
          <w:marTop w:val="0"/>
          <w:marBottom w:val="0"/>
          <w:divBdr>
            <w:top w:val="none" w:sz="0" w:space="0" w:color="auto"/>
            <w:left w:val="none" w:sz="0" w:space="0" w:color="auto"/>
            <w:bottom w:val="none" w:sz="0" w:space="0" w:color="auto"/>
            <w:right w:val="none" w:sz="0" w:space="0" w:color="auto"/>
          </w:divBdr>
          <w:divsChild>
            <w:div w:id="1308627486">
              <w:marLeft w:val="0"/>
              <w:marRight w:val="0"/>
              <w:marTop w:val="0"/>
              <w:marBottom w:val="0"/>
              <w:divBdr>
                <w:top w:val="none" w:sz="0" w:space="0" w:color="auto"/>
                <w:left w:val="none" w:sz="0" w:space="0" w:color="auto"/>
                <w:bottom w:val="none" w:sz="0" w:space="0" w:color="auto"/>
                <w:right w:val="none" w:sz="0" w:space="0" w:color="auto"/>
              </w:divBdr>
            </w:div>
            <w:div w:id="391344129">
              <w:marLeft w:val="0"/>
              <w:marRight w:val="0"/>
              <w:marTop w:val="0"/>
              <w:marBottom w:val="0"/>
              <w:divBdr>
                <w:top w:val="none" w:sz="0" w:space="0" w:color="auto"/>
                <w:left w:val="none" w:sz="0" w:space="0" w:color="auto"/>
                <w:bottom w:val="none" w:sz="0" w:space="0" w:color="auto"/>
                <w:right w:val="none" w:sz="0" w:space="0" w:color="auto"/>
              </w:divBdr>
            </w:div>
            <w:div w:id="2120685729">
              <w:marLeft w:val="0"/>
              <w:marRight w:val="0"/>
              <w:marTop w:val="0"/>
              <w:marBottom w:val="0"/>
              <w:divBdr>
                <w:top w:val="none" w:sz="0" w:space="0" w:color="auto"/>
                <w:left w:val="none" w:sz="0" w:space="0" w:color="auto"/>
                <w:bottom w:val="none" w:sz="0" w:space="0" w:color="auto"/>
                <w:right w:val="none" w:sz="0" w:space="0" w:color="auto"/>
              </w:divBdr>
            </w:div>
            <w:div w:id="1894732365">
              <w:marLeft w:val="0"/>
              <w:marRight w:val="0"/>
              <w:marTop w:val="0"/>
              <w:marBottom w:val="0"/>
              <w:divBdr>
                <w:top w:val="none" w:sz="0" w:space="0" w:color="auto"/>
                <w:left w:val="none" w:sz="0" w:space="0" w:color="auto"/>
                <w:bottom w:val="none" w:sz="0" w:space="0" w:color="auto"/>
                <w:right w:val="none" w:sz="0" w:space="0" w:color="auto"/>
              </w:divBdr>
            </w:div>
            <w:div w:id="1800225255">
              <w:marLeft w:val="0"/>
              <w:marRight w:val="0"/>
              <w:marTop w:val="0"/>
              <w:marBottom w:val="0"/>
              <w:divBdr>
                <w:top w:val="none" w:sz="0" w:space="0" w:color="auto"/>
                <w:left w:val="none" w:sz="0" w:space="0" w:color="auto"/>
                <w:bottom w:val="none" w:sz="0" w:space="0" w:color="auto"/>
                <w:right w:val="none" w:sz="0" w:space="0" w:color="auto"/>
              </w:divBdr>
            </w:div>
            <w:div w:id="1250774686">
              <w:marLeft w:val="0"/>
              <w:marRight w:val="0"/>
              <w:marTop w:val="0"/>
              <w:marBottom w:val="0"/>
              <w:divBdr>
                <w:top w:val="none" w:sz="0" w:space="0" w:color="auto"/>
                <w:left w:val="none" w:sz="0" w:space="0" w:color="auto"/>
                <w:bottom w:val="none" w:sz="0" w:space="0" w:color="auto"/>
                <w:right w:val="none" w:sz="0" w:space="0" w:color="auto"/>
              </w:divBdr>
            </w:div>
            <w:div w:id="525098917">
              <w:marLeft w:val="0"/>
              <w:marRight w:val="0"/>
              <w:marTop w:val="0"/>
              <w:marBottom w:val="0"/>
              <w:divBdr>
                <w:top w:val="none" w:sz="0" w:space="0" w:color="auto"/>
                <w:left w:val="none" w:sz="0" w:space="0" w:color="auto"/>
                <w:bottom w:val="none" w:sz="0" w:space="0" w:color="auto"/>
                <w:right w:val="none" w:sz="0" w:space="0" w:color="auto"/>
              </w:divBdr>
            </w:div>
            <w:div w:id="1458790864">
              <w:marLeft w:val="0"/>
              <w:marRight w:val="0"/>
              <w:marTop w:val="0"/>
              <w:marBottom w:val="0"/>
              <w:divBdr>
                <w:top w:val="none" w:sz="0" w:space="0" w:color="auto"/>
                <w:left w:val="none" w:sz="0" w:space="0" w:color="auto"/>
                <w:bottom w:val="none" w:sz="0" w:space="0" w:color="auto"/>
                <w:right w:val="none" w:sz="0" w:space="0" w:color="auto"/>
              </w:divBdr>
            </w:div>
            <w:div w:id="113447511">
              <w:marLeft w:val="0"/>
              <w:marRight w:val="0"/>
              <w:marTop w:val="0"/>
              <w:marBottom w:val="0"/>
              <w:divBdr>
                <w:top w:val="none" w:sz="0" w:space="0" w:color="auto"/>
                <w:left w:val="none" w:sz="0" w:space="0" w:color="auto"/>
                <w:bottom w:val="none" w:sz="0" w:space="0" w:color="auto"/>
                <w:right w:val="none" w:sz="0" w:space="0" w:color="auto"/>
              </w:divBdr>
            </w:div>
            <w:div w:id="442072982">
              <w:marLeft w:val="0"/>
              <w:marRight w:val="0"/>
              <w:marTop w:val="0"/>
              <w:marBottom w:val="0"/>
              <w:divBdr>
                <w:top w:val="none" w:sz="0" w:space="0" w:color="auto"/>
                <w:left w:val="none" w:sz="0" w:space="0" w:color="auto"/>
                <w:bottom w:val="none" w:sz="0" w:space="0" w:color="auto"/>
                <w:right w:val="none" w:sz="0" w:space="0" w:color="auto"/>
              </w:divBdr>
            </w:div>
            <w:div w:id="1137599947">
              <w:marLeft w:val="0"/>
              <w:marRight w:val="0"/>
              <w:marTop w:val="0"/>
              <w:marBottom w:val="0"/>
              <w:divBdr>
                <w:top w:val="none" w:sz="0" w:space="0" w:color="auto"/>
                <w:left w:val="none" w:sz="0" w:space="0" w:color="auto"/>
                <w:bottom w:val="none" w:sz="0" w:space="0" w:color="auto"/>
                <w:right w:val="none" w:sz="0" w:space="0" w:color="auto"/>
              </w:divBdr>
            </w:div>
            <w:div w:id="857622807">
              <w:marLeft w:val="0"/>
              <w:marRight w:val="0"/>
              <w:marTop w:val="0"/>
              <w:marBottom w:val="0"/>
              <w:divBdr>
                <w:top w:val="none" w:sz="0" w:space="0" w:color="auto"/>
                <w:left w:val="none" w:sz="0" w:space="0" w:color="auto"/>
                <w:bottom w:val="none" w:sz="0" w:space="0" w:color="auto"/>
                <w:right w:val="none" w:sz="0" w:space="0" w:color="auto"/>
              </w:divBdr>
            </w:div>
            <w:div w:id="260071341">
              <w:marLeft w:val="0"/>
              <w:marRight w:val="0"/>
              <w:marTop w:val="0"/>
              <w:marBottom w:val="0"/>
              <w:divBdr>
                <w:top w:val="none" w:sz="0" w:space="0" w:color="auto"/>
                <w:left w:val="none" w:sz="0" w:space="0" w:color="auto"/>
                <w:bottom w:val="none" w:sz="0" w:space="0" w:color="auto"/>
                <w:right w:val="none" w:sz="0" w:space="0" w:color="auto"/>
              </w:divBdr>
            </w:div>
            <w:div w:id="374693260">
              <w:marLeft w:val="0"/>
              <w:marRight w:val="0"/>
              <w:marTop w:val="0"/>
              <w:marBottom w:val="0"/>
              <w:divBdr>
                <w:top w:val="none" w:sz="0" w:space="0" w:color="auto"/>
                <w:left w:val="none" w:sz="0" w:space="0" w:color="auto"/>
                <w:bottom w:val="none" w:sz="0" w:space="0" w:color="auto"/>
                <w:right w:val="none" w:sz="0" w:space="0" w:color="auto"/>
              </w:divBdr>
            </w:div>
            <w:div w:id="1693191202">
              <w:marLeft w:val="0"/>
              <w:marRight w:val="0"/>
              <w:marTop w:val="0"/>
              <w:marBottom w:val="0"/>
              <w:divBdr>
                <w:top w:val="none" w:sz="0" w:space="0" w:color="auto"/>
                <w:left w:val="none" w:sz="0" w:space="0" w:color="auto"/>
                <w:bottom w:val="none" w:sz="0" w:space="0" w:color="auto"/>
                <w:right w:val="none" w:sz="0" w:space="0" w:color="auto"/>
              </w:divBdr>
            </w:div>
            <w:div w:id="310525266">
              <w:marLeft w:val="0"/>
              <w:marRight w:val="0"/>
              <w:marTop w:val="0"/>
              <w:marBottom w:val="0"/>
              <w:divBdr>
                <w:top w:val="none" w:sz="0" w:space="0" w:color="auto"/>
                <w:left w:val="none" w:sz="0" w:space="0" w:color="auto"/>
                <w:bottom w:val="none" w:sz="0" w:space="0" w:color="auto"/>
                <w:right w:val="none" w:sz="0" w:space="0" w:color="auto"/>
              </w:divBdr>
            </w:div>
            <w:div w:id="2067484301">
              <w:marLeft w:val="0"/>
              <w:marRight w:val="0"/>
              <w:marTop w:val="0"/>
              <w:marBottom w:val="0"/>
              <w:divBdr>
                <w:top w:val="none" w:sz="0" w:space="0" w:color="auto"/>
                <w:left w:val="none" w:sz="0" w:space="0" w:color="auto"/>
                <w:bottom w:val="none" w:sz="0" w:space="0" w:color="auto"/>
                <w:right w:val="none" w:sz="0" w:space="0" w:color="auto"/>
              </w:divBdr>
            </w:div>
            <w:div w:id="533076777">
              <w:marLeft w:val="0"/>
              <w:marRight w:val="0"/>
              <w:marTop w:val="0"/>
              <w:marBottom w:val="0"/>
              <w:divBdr>
                <w:top w:val="none" w:sz="0" w:space="0" w:color="auto"/>
                <w:left w:val="none" w:sz="0" w:space="0" w:color="auto"/>
                <w:bottom w:val="none" w:sz="0" w:space="0" w:color="auto"/>
                <w:right w:val="none" w:sz="0" w:space="0" w:color="auto"/>
              </w:divBdr>
            </w:div>
            <w:div w:id="2108621848">
              <w:marLeft w:val="0"/>
              <w:marRight w:val="0"/>
              <w:marTop w:val="0"/>
              <w:marBottom w:val="0"/>
              <w:divBdr>
                <w:top w:val="none" w:sz="0" w:space="0" w:color="auto"/>
                <w:left w:val="none" w:sz="0" w:space="0" w:color="auto"/>
                <w:bottom w:val="none" w:sz="0" w:space="0" w:color="auto"/>
                <w:right w:val="none" w:sz="0" w:space="0" w:color="auto"/>
              </w:divBdr>
            </w:div>
            <w:div w:id="98181913">
              <w:marLeft w:val="0"/>
              <w:marRight w:val="0"/>
              <w:marTop w:val="0"/>
              <w:marBottom w:val="0"/>
              <w:divBdr>
                <w:top w:val="none" w:sz="0" w:space="0" w:color="auto"/>
                <w:left w:val="none" w:sz="0" w:space="0" w:color="auto"/>
                <w:bottom w:val="none" w:sz="0" w:space="0" w:color="auto"/>
                <w:right w:val="none" w:sz="0" w:space="0" w:color="auto"/>
              </w:divBdr>
            </w:div>
            <w:div w:id="221140320">
              <w:marLeft w:val="0"/>
              <w:marRight w:val="0"/>
              <w:marTop w:val="0"/>
              <w:marBottom w:val="0"/>
              <w:divBdr>
                <w:top w:val="none" w:sz="0" w:space="0" w:color="auto"/>
                <w:left w:val="none" w:sz="0" w:space="0" w:color="auto"/>
                <w:bottom w:val="none" w:sz="0" w:space="0" w:color="auto"/>
                <w:right w:val="none" w:sz="0" w:space="0" w:color="auto"/>
              </w:divBdr>
            </w:div>
            <w:div w:id="1452749163">
              <w:marLeft w:val="0"/>
              <w:marRight w:val="0"/>
              <w:marTop w:val="0"/>
              <w:marBottom w:val="0"/>
              <w:divBdr>
                <w:top w:val="none" w:sz="0" w:space="0" w:color="auto"/>
                <w:left w:val="none" w:sz="0" w:space="0" w:color="auto"/>
                <w:bottom w:val="none" w:sz="0" w:space="0" w:color="auto"/>
                <w:right w:val="none" w:sz="0" w:space="0" w:color="auto"/>
              </w:divBdr>
            </w:div>
            <w:div w:id="1823236850">
              <w:marLeft w:val="0"/>
              <w:marRight w:val="0"/>
              <w:marTop w:val="0"/>
              <w:marBottom w:val="0"/>
              <w:divBdr>
                <w:top w:val="none" w:sz="0" w:space="0" w:color="auto"/>
                <w:left w:val="none" w:sz="0" w:space="0" w:color="auto"/>
                <w:bottom w:val="none" w:sz="0" w:space="0" w:color="auto"/>
                <w:right w:val="none" w:sz="0" w:space="0" w:color="auto"/>
              </w:divBdr>
            </w:div>
            <w:div w:id="282880697">
              <w:marLeft w:val="0"/>
              <w:marRight w:val="0"/>
              <w:marTop w:val="0"/>
              <w:marBottom w:val="0"/>
              <w:divBdr>
                <w:top w:val="none" w:sz="0" w:space="0" w:color="auto"/>
                <w:left w:val="none" w:sz="0" w:space="0" w:color="auto"/>
                <w:bottom w:val="none" w:sz="0" w:space="0" w:color="auto"/>
                <w:right w:val="none" w:sz="0" w:space="0" w:color="auto"/>
              </w:divBdr>
            </w:div>
            <w:div w:id="1672874091">
              <w:marLeft w:val="0"/>
              <w:marRight w:val="0"/>
              <w:marTop w:val="0"/>
              <w:marBottom w:val="0"/>
              <w:divBdr>
                <w:top w:val="none" w:sz="0" w:space="0" w:color="auto"/>
                <w:left w:val="none" w:sz="0" w:space="0" w:color="auto"/>
                <w:bottom w:val="none" w:sz="0" w:space="0" w:color="auto"/>
                <w:right w:val="none" w:sz="0" w:space="0" w:color="auto"/>
              </w:divBdr>
            </w:div>
            <w:div w:id="112601881">
              <w:marLeft w:val="0"/>
              <w:marRight w:val="0"/>
              <w:marTop w:val="0"/>
              <w:marBottom w:val="0"/>
              <w:divBdr>
                <w:top w:val="none" w:sz="0" w:space="0" w:color="auto"/>
                <w:left w:val="none" w:sz="0" w:space="0" w:color="auto"/>
                <w:bottom w:val="none" w:sz="0" w:space="0" w:color="auto"/>
                <w:right w:val="none" w:sz="0" w:space="0" w:color="auto"/>
              </w:divBdr>
            </w:div>
            <w:div w:id="99760967">
              <w:marLeft w:val="0"/>
              <w:marRight w:val="0"/>
              <w:marTop w:val="0"/>
              <w:marBottom w:val="0"/>
              <w:divBdr>
                <w:top w:val="none" w:sz="0" w:space="0" w:color="auto"/>
                <w:left w:val="none" w:sz="0" w:space="0" w:color="auto"/>
                <w:bottom w:val="none" w:sz="0" w:space="0" w:color="auto"/>
                <w:right w:val="none" w:sz="0" w:space="0" w:color="auto"/>
              </w:divBdr>
            </w:div>
            <w:div w:id="826554730">
              <w:marLeft w:val="0"/>
              <w:marRight w:val="0"/>
              <w:marTop w:val="0"/>
              <w:marBottom w:val="0"/>
              <w:divBdr>
                <w:top w:val="none" w:sz="0" w:space="0" w:color="auto"/>
                <w:left w:val="none" w:sz="0" w:space="0" w:color="auto"/>
                <w:bottom w:val="none" w:sz="0" w:space="0" w:color="auto"/>
                <w:right w:val="none" w:sz="0" w:space="0" w:color="auto"/>
              </w:divBdr>
            </w:div>
            <w:div w:id="958607641">
              <w:marLeft w:val="0"/>
              <w:marRight w:val="0"/>
              <w:marTop w:val="0"/>
              <w:marBottom w:val="0"/>
              <w:divBdr>
                <w:top w:val="none" w:sz="0" w:space="0" w:color="auto"/>
                <w:left w:val="none" w:sz="0" w:space="0" w:color="auto"/>
                <w:bottom w:val="none" w:sz="0" w:space="0" w:color="auto"/>
                <w:right w:val="none" w:sz="0" w:space="0" w:color="auto"/>
              </w:divBdr>
            </w:div>
            <w:div w:id="812331649">
              <w:marLeft w:val="0"/>
              <w:marRight w:val="0"/>
              <w:marTop w:val="0"/>
              <w:marBottom w:val="0"/>
              <w:divBdr>
                <w:top w:val="none" w:sz="0" w:space="0" w:color="auto"/>
                <w:left w:val="none" w:sz="0" w:space="0" w:color="auto"/>
                <w:bottom w:val="none" w:sz="0" w:space="0" w:color="auto"/>
                <w:right w:val="none" w:sz="0" w:space="0" w:color="auto"/>
              </w:divBdr>
            </w:div>
            <w:div w:id="464395655">
              <w:marLeft w:val="0"/>
              <w:marRight w:val="0"/>
              <w:marTop w:val="0"/>
              <w:marBottom w:val="0"/>
              <w:divBdr>
                <w:top w:val="none" w:sz="0" w:space="0" w:color="auto"/>
                <w:left w:val="none" w:sz="0" w:space="0" w:color="auto"/>
                <w:bottom w:val="none" w:sz="0" w:space="0" w:color="auto"/>
                <w:right w:val="none" w:sz="0" w:space="0" w:color="auto"/>
              </w:divBdr>
            </w:div>
            <w:div w:id="1120030585">
              <w:marLeft w:val="0"/>
              <w:marRight w:val="0"/>
              <w:marTop w:val="0"/>
              <w:marBottom w:val="0"/>
              <w:divBdr>
                <w:top w:val="none" w:sz="0" w:space="0" w:color="auto"/>
                <w:left w:val="none" w:sz="0" w:space="0" w:color="auto"/>
                <w:bottom w:val="none" w:sz="0" w:space="0" w:color="auto"/>
                <w:right w:val="none" w:sz="0" w:space="0" w:color="auto"/>
              </w:divBdr>
            </w:div>
            <w:div w:id="1998613031">
              <w:marLeft w:val="0"/>
              <w:marRight w:val="0"/>
              <w:marTop w:val="0"/>
              <w:marBottom w:val="0"/>
              <w:divBdr>
                <w:top w:val="none" w:sz="0" w:space="0" w:color="auto"/>
                <w:left w:val="none" w:sz="0" w:space="0" w:color="auto"/>
                <w:bottom w:val="none" w:sz="0" w:space="0" w:color="auto"/>
                <w:right w:val="none" w:sz="0" w:space="0" w:color="auto"/>
              </w:divBdr>
            </w:div>
            <w:div w:id="37048651">
              <w:marLeft w:val="0"/>
              <w:marRight w:val="0"/>
              <w:marTop w:val="0"/>
              <w:marBottom w:val="0"/>
              <w:divBdr>
                <w:top w:val="none" w:sz="0" w:space="0" w:color="auto"/>
                <w:left w:val="none" w:sz="0" w:space="0" w:color="auto"/>
                <w:bottom w:val="none" w:sz="0" w:space="0" w:color="auto"/>
                <w:right w:val="none" w:sz="0" w:space="0" w:color="auto"/>
              </w:divBdr>
            </w:div>
            <w:div w:id="959264511">
              <w:marLeft w:val="0"/>
              <w:marRight w:val="0"/>
              <w:marTop w:val="0"/>
              <w:marBottom w:val="0"/>
              <w:divBdr>
                <w:top w:val="none" w:sz="0" w:space="0" w:color="auto"/>
                <w:left w:val="none" w:sz="0" w:space="0" w:color="auto"/>
                <w:bottom w:val="none" w:sz="0" w:space="0" w:color="auto"/>
                <w:right w:val="none" w:sz="0" w:space="0" w:color="auto"/>
              </w:divBdr>
            </w:div>
            <w:div w:id="1802765275">
              <w:marLeft w:val="0"/>
              <w:marRight w:val="0"/>
              <w:marTop w:val="0"/>
              <w:marBottom w:val="0"/>
              <w:divBdr>
                <w:top w:val="none" w:sz="0" w:space="0" w:color="auto"/>
                <w:left w:val="none" w:sz="0" w:space="0" w:color="auto"/>
                <w:bottom w:val="none" w:sz="0" w:space="0" w:color="auto"/>
                <w:right w:val="none" w:sz="0" w:space="0" w:color="auto"/>
              </w:divBdr>
            </w:div>
            <w:div w:id="17003447">
              <w:marLeft w:val="0"/>
              <w:marRight w:val="0"/>
              <w:marTop w:val="0"/>
              <w:marBottom w:val="0"/>
              <w:divBdr>
                <w:top w:val="none" w:sz="0" w:space="0" w:color="auto"/>
                <w:left w:val="none" w:sz="0" w:space="0" w:color="auto"/>
                <w:bottom w:val="none" w:sz="0" w:space="0" w:color="auto"/>
                <w:right w:val="none" w:sz="0" w:space="0" w:color="auto"/>
              </w:divBdr>
            </w:div>
            <w:div w:id="1809125377">
              <w:marLeft w:val="0"/>
              <w:marRight w:val="0"/>
              <w:marTop w:val="0"/>
              <w:marBottom w:val="0"/>
              <w:divBdr>
                <w:top w:val="none" w:sz="0" w:space="0" w:color="auto"/>
                <w:left w:val="none" w:sz="0" w:space="0" w:color="auto"/>
                <w:bottom w:val="none" w:sz="0" w:space="0" w:color="auto"/>
                <w:right w:val="none" w:sz="0" w:space="0" w:color="auto"/>
              </w:divBdr>
            </w:div>
            <w:div w:id="3825617">
              <w:marLeft w:val="0"/>
              <w:marRight w:val="0"/>
              <w:marTop w:val="0"/>
              <w:marBottom w:val="0"/>
              <w:divBdr>
                <w:top w:val="none" w:sz="0" w:space="0" w:color="auto"/>
                <w:left w:val="none" w:sz="0" w:space="0" w:color="auto"/>
                <w:bottom w:val="none" w:sz="0" w:space="0" w:color="auto"/>
                <w:right w:val="none" w:sz="0" w:space="0" w:color="auto"/>
              </w:divBdr>
            </w:div>
            <w:div w:id="2107769037">
              <w:marLeft w:val="0"/>
              <w:marRight w:val="0"/>
              <w:marTop w:val="0"/>
              <w:marBottom w:val="0"/>
              <w:divBdr>
                <w:top w:val="none" w:sz="0" w:space="0" w:color="auto"/>
                <w:left w:val="none" w:sz="0" w:space="0" w:color="auto"/>
                <w:bottom w:val="none" w:sz="0" w:space="0" w:color="auto"/>
                <w:right w:val="none" w:sz="0" w:space="0" w:color="auto"/>
              </w:divBdr>
            </w:div>
            <w:div w:id="863599000">
              <w:marLeft w:val="0"/>
              <w:marRight w:val="0"/>
              <w:marTop w:val="0"/>
              <w:marBottom w:val="0"/>
              <w:divBdr>
                <w:top w:val="none" w:sz="0" w:space="0" w:color="auto"/>
                <w:left w:val="none" w:sz="0" w:space="0" w:color="auto"/>
                <w:bottom w:val="none" w:sz="0" w:space="0" w:color="auto"/>
                <w:right w:val="none" w:sz="0" w:space="0" w:color="auto"/>
              </w:divBdr>
            </w:div>
            <w:div w:id="1781685627">
              <w:marLeft w:val="0"/>
              <w:marRight w:val="0"/>
              <w:marTop w:val="0"/>
              <w:marBottom w:val="0"/>
              <w:divBdr>
                <w:top w:val="none" w:sz="0" w:space="0" w:color="auto"/>
                <w:left w:val="none" w:sz="0" w:space="0" w:color="auto"/>
                <w:bottom w:val="none" w:sz="0" w:space="0" w:color="auto"/>
                <w:right w:val="none" w:sz="0" w:space="0" w:color="auto"/>
              </w:divBdr>
            </w:div>
            <w:div w:id="1225264401">
              <w:marLeft w:val="0"/>
              <w:marRight w:val="0"/>
              <w:marTop w:val="0"/>
              <w:marBottom w:val="0"/>
              <w:divBdr>
                <w:top w:val="none" w:sz="0" w:space="0" w:color="auto"/>
                <w:left w:val="none" w:sz="0" w:space="0" w:color="auto"/>
                <w:bottom w:val="none" w:sz="0" w:space="0" w:color="auto"/>
                <w:right w:val="none" w:sz="0" w:space="0" w:color="auto"/>
              </w:divBdr>
            </w:div>
            <w:div w:id="1129086036">
              <w:marLeft w:val="0"/>
              <w:marRight w:val="0"/>
              <w:marTop w:val="0"/>
              <w:marBottom w:val="0"/>
              <w:divBdr>
                <w:top w:val="none" w:sz="0" w:space="0" w:color="auto"/>
                <w:left w:val="none" w:sz="0" w:space="0" w:color="auto"/>
                <w:bottom w:val="none" w:sz="0" w:space="0" w:color="auto"/>
                <w:right w:val="none" w:sz="0" w:space="0" w:color="auto"/>
              </w:divBdr>
            </w:div>
            <w:div w:id="1174109509">
              <w:marLeft w:val="0"/>
              <w:marRight w:val="0"/>
              <w:marTop w:val="0"/>
              <w:marBottom w:val="0"/>
              <w:divBdr>
                <w:top w:val="none" w:sz="0" w:space="0" w:color="auto"/>
                <w:left w:val="none" w:sz="0" w:space="0" w:color="auto"/>
                <w:bottom w:val="none" w:sz="0" w:space="0" w:color="auto"/>
                <w:right w:val="none" w:sz="0" w:space="0" w:color="auto"/>
              </w:divBdr>
            </w:div>
            <w:div w:id="2077435978">
              <w:marLeft w:val="0"/>
              <w:marRight w:val="0"/>
              <w:marTop w:val="0"/>
              <w:marBottom w:val="0"/>
              <w:divBdr>
                <w:top w:val="none" w:sz="0" w:space="0" w:color="auto"/>
                <w:left w:val="none" w:sz="0" w:space="0" w:color="auto"/>
                <w:bottom w:val="none" w:sz="0" w:space="0" w:color="auto"/>
                <w:right w:val="none" w:sz="0" w:space="0" w:color="auto"/>
              </w:divBdr>
            </w:div>
            <w:div w:id="1048452096">
              <w:marLeft w:val="0"/>
              <w:marRight w:val="0"/>
              <w:marTop w:val="0"/>
              <w:marBottom w:val="0"/>
              <w:divBdr>
                <w:top w:val="none" w:sz="0" w:space="0" w:color="auto"/>
                <w:left w:val="none" w:sz="0" w:space="0" w:color="auto"/>
                <w:bottom w:val="none" w:sz="0" w:space="0" w:color="auto"/>
                <w:right w:val="none" w:sz="0" w:space="0" w:color="auto"/>
              </w:divBdr>
            </w:div>
            <w:div w:id="1027026376">
              <w:marLeft w:val="0"/>
              <w:marRight w:val="0"/>
              <w:marTop w:val="0"/>
              <w:marBottom w:val="0"/>
              <w:divBdr>
                <w:top w:val="none" w:sz="0" w:space="0" w:color="auto"/>
                <w:left w:val="none" w:sz="0" w:space="0" w:color="auto"/>
                <w:bottom w:val="none" w:sz="0" w:space="0" w:color="auto"/>
                <w:right w:val="none" w:sz="0" w:space="0" w:color="auto"/>
              </w:divBdr>
            </w:div>
            <w:div w:id="1792048971">
              <w:marLeft w:val="0"/>
              <w:marRight w:val="0"/>
              <w:marTop w:val="0"/>
              <w:marBottom w:val="0"/>
              <w:divBdr>
                <w:top w:val="none" w:sz="0" w:space="0" w:color="auto"/>
                <w:left w:val="none" w:sz="0" w:space="0" w:color="auto"/>
                <w:bottom w:val="none" w:sz="0" w:space="0" w:color="auto"/>
                <w:right w:val="none" w:sz="0" w:space="0" w:color="auto"/>
              </w:divBdr>
            </w:div>
            <w:div w:id="88739505">
              <w:marLeft w:val="0"/>
              <w:marRight w:val="0"/>
              <w:marTop w:val="0"/>
              <w:marBottom w:val="0"/>
              <w:divBdr>
                <w:top w:val="none" w:sz="0" w:space="0" w:color="auto"/>
                <w:left w:val="none" w:sz="0" w:space="0" w:color="auto"/>
                <w:bottom w:val="none" w:sz="0" w:space="0" w:color="auto"/>
                <w:right w:val="none" w:sz="0" w:space="0" w:color="auto"/>
              </w:divBdr>
            </w:div>
            <w:div w:id="599223934">
              <w:marLeft w:val="0"/>
              <w:marRight w:val="0"/>
              <w:marTop w:val="0"/>
              <w:marBottom w:val="0"/>
              <w:divBdr>
                <w:top w:val="none" w:sz="0" w:space="0" w:color="auto"/>
                <w:left w:val="none" w:sz="0" w:space="0" w:color="auto"/>
                <w:bottom w:val="none" w:sz="0" w:space="0" w:color="auto"/>
                <w:right w:val="none" w:sz="0" w:space="0" w:color="auto"/>
              </w:divBdr>
            </w:div>
            <w:div w:id="202714668">
              <w:marLeft w:val="0"/>
              <w:marRight w:val="0"/>
              <w:marTop w:val="0"/>
              <w:marBottom w:val="0"/>
              <w:divBdr>
                <w:top w:val="none" w:sz="0" w:space="0" w:color="auto"/>
                <w:left w:val="none" w:sz="0" w:space="0" w:color="auto"/>
                <w:bottom w:val="none" w:sz="0" w:space="0" w:color="auto"/>
                <w:right w:val="none" w:sz="0" w:space="0" w:color="auto"/>
              </w:divBdr>
            </w:div>
            <w:div w:id="17075605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2658720">
      <w:bodyDiv w:val="1"/>
      <w:marLeft w:val="0"/>
      <w:marRight w:val="0"/>
      <w:marTop w:val="0"/>
      <w:marBottom w:val="0"/>
      <w:divBdr>
        <w:top w:val="none" w:sz="0" w:space="0" w:color="auto"/>
        <w:left w:val="none" w:sz="0" w:space="0" w:color="auto"/>
        <w:bottom w:val="none" w:sz="0" w:space="0" w:color="auto"/>
        <w:right w:val="none" w:sz="0" w:space="0" w:color="auto"/>
      </w:divBdr>
      <w:divsChild>
        <w:div w:id="692464939">
          <w:marLeft w:val="480"/>
          <w:marRight w:val="0"/>
          <w:marTop w:val="0"/>
          <w:marBottom w:val="0"/>
          <w:divBdr>
            <w:top w:val="none" w:sz="0" w:space="0" w:color="auto"/>
            <w:left w:val="none" w:sz="0" w:space="0" w:color="auto"/>
            <w:bottom w:val="none" w:sz="0" w:space="0" w:color="auto"/>
            <w:right w:val="none" w:sz="0" w:space="0" w:color="auto"/>
          </w:divBdr>
          <w:divsChild>
            <w:div w:id="1474174745">
              <w:marLeft w:val="0"/>
              <w:marRight w:val="0"/>
              <w:marTop w:val="0"/>
              <w:marBottom w:val="0"/>
              <w:divBdr>
                <w:top w:val="none" w:sz="0" w:space="0" w:color="auto"/>
                <w:left w:val="none" w:sz="0" w:space="0" w:color="auto"/>
                <w:bottom w:val="none" w:sz="0" w:space="0" w:color="auto"/>
                <w:right w:val="none" w:sz="0" w:space="0" w:color="auto"/>
              </w:divBdr>
            </w:div>
            <w:div w:id="473059814">
              <w:marLeft w:val="0"/>
              <w:marRight w:val="0"/>
              <w:marTop w:val="0"/>
              <w:marBottom w:val="0"/>
              <w:divBdr>
                <w:top w:val="none" w:sz="0" w:space="0" w:color="auto"/>
                <w:left w:val="none" w:sz="0" w:space="0" w:color="auto"/>
                <w:bottom w:val="none" w:sz="0" w:space="0" w:color="auto"/>
                <w:right w:val="none" w:sz="0" w:space="0" w:color="auto"/>
              </w:divBdr>
            </w:div>
            <w:div w:id="254677907">
              <w:marLeft w:val="0"/>
              <w:marRight w:val="0"/>
              <w:marTop w:val="0"/>
              <w:marBottom w:val="0"/>
              <w:divBdr>
                <w:top w:val="none" w:sz="0" w:space="0" w:color="auto"/>
                <w:left w:val="none" w:sz="0" w:space="0" w:color="auto"/>
                <w:bottom w:val="none" w:sz="0" w:space="0" w:color="auto"/>
                <w:right w:val="none" w:sz="0" w:space="0" w:color="auto"/>
              </w:divBdr>
            </w:div>
            <w:div w:id="1963876867">
              <w:marLeft w:val="0"/>
              <w:marRight w:val="0"/>
              <w:marTop w:val="0"/>
              <w:marBottom w:val="0"/>
              <w:divBdr>
                <w:top w:val="none" w:sz="0" w:space="0" w:color="auto"/>
                <w:left w:val="none" w:sz="0" w:space="0" w:color="auto"/>
                <w:bottom w:val="none" w:sz="0" w:space="0" w:color="auto"/>
                <w:right w:val="none" w:sz="0" w:space="0" w:color="auto"/>
              </w:divBdr>
            </w:div>
            <w:div w:id="909265476">
              <w:marLeft w:val="0"/>
              <w:marRight w:val="0"/>
              <w:marTop w:val="0"/>
              <w:marBottom w:val="0"/>
              <w:divBdr>
                <w:top w:val="none" w:sz="0" w:space="0" w:color="auto"/>
                <w:left w:val="none" w:sz="0" w:space="0" w:color="auto"/>
                <w:bottom w:val="none" w:sz="0" w:space="0" w:color="auto"/>
                <w:right w:val="none" w:sz="0" w:space="0" w:color="auto"/>
              </w:divBdr>
            </w:div>
            <w:div w:id="686909421">
              <w:marLeft w:val="0"/>
              <w:marRight w:val="0"/>
              <w:marTop w:val="0"/>
              <w:marBottom w:val="0"/>
              <w:divBdr>
                <w:top w:val="none" w:sz="0" w:space="0" w:color="auto"/>
                <w:left w:val="none" w:sz="0" w:space="0" w:color="auto"/>
                <w:bottom w:val="none" w:sz="0" w:space="0" w:color="auto"/>
                <w:right w:val="none" w:sz="0" w:space="0" w:color="auto"/>
              </w:divBdr>
            </w:div>
            <w:div w:id="343938139">
              <w:marLeft w:val="0"/>
              <w:marRight w:val="0"/>
              <w:marTop w:val="0"/>
              <w:marBottom w:val="0"/>
              <w:divBdr>
                <w:top w:val="none" w:sz="0" w:space="0" w:color="auto"/>
                <w:left w:val="none" w:sz="0" w:space="0" w:color="auto"/>
                <w:bottom w:val="none" w:sz="0" w:space="0" w:color="auto"/>
                <w:right w:val="none" w:sz="0" w:space="0" w:color="auto"/>
              </w:divBdr>
            </w:div>
            <w:div w:id="1648129412">
              <w:marLeft w:val="0"/>
              <w:marRight w:val="0"/>
              <w:marTop w:val="0"/>
              <w:marBottom w:val="0"/>
              <w:divBdr>
                <w:top w:val="none" w:sz="0" w:space="0" w:color="auto"/>
                <w:left w:val="none" w:sz="0" w:space="0" w:color="auto"/>
                <w:bottom w:val="none" w:sz="0" w:space="0" w:color="auto"/>
                <w:right w:val="none" w:sz="0" w:space="0" w:color="auto"/>
              </w:divBdr>
            </w:div>
            <w:div w:id="1829058500">
              <w:marLeft w:val="0"/>
              <w:marRight w:val="0"/>
              <w:marTop w:val="0"/>
              <w:marBottom w:val="0"/>
              <w:divBdr>
                <w:top w:val="none" w:sz="0" w:space="0" w:color="auto"/>
                <w:left w:val="none" w:sz="0" w:space="0" w:color="auto"/>
                <w:bottom w:val="none" w:sz="0" w:space="0" w:color="auto"/>
                <w:right w:val="none" w:sz="0" w:space="0" w:color="auto"/>
              </w:divBdr>
            </w:div>
            <w:div w:id="2102992243">
              <w:marLeft w:val="0"/>
              <w:marRight w:val="0"/>
              <w:marTop w:val="0"/>
              <w:marBottom w:val="0"/>
              <w:divBdr>
                <w:top w:val="none" w:sz="0" w:space="0" w:color="auto"/>
                <w:left w:val="none" w:sz="0" w:space="0" w:color="auto"/>
                <w:bottom w:val="none" w:sz="0" w:space="0" w:color="auto"/>
                <w:right w:val="none" w:sz="0" w:space="0" w:color="auto"/>
              </w:divBdr>
            </w:div>
            <w:div w:id="1339432173">
              <w:marLeft w:val="0"/>
              <w:marRight w:val="0"/>
              <w:marTop w:val="0"/>
              <w:marBottom w:val="0"/>
              <w:divBdr>
                <w:top w:val="none" w:sz="0" w:space="0" w:color="auto"/>
                <w:left w:val="none" w:sz="0" w:space="0" w:color="auto"/>
                <w:bottom w:val="none" w:sz="0" w:space="0" w:color="auto"/>
                <w:right w:val="none" w:sz="0" w:space="0" w:color="auto"/>
              </w:divBdr>
            </w:div>
            <w:div w:id="1316881199">
              <w:marLeft w:val="0"/>
              <w:marRight w:val="0"/>
              <w:marTop w:val="0"/>
              <w:marBottom w:val="0"/>
              <w:divBdr>
                <w:top w:val="none" w:sz="0" w:space="0" w:color="auto"/>
                <w:left w:val="none" w:sz="0" w:space="0" w:color="auto"/>
                <w:bottom w:val="none" w:sz="0" w:space="0" w:color="auto"/>
                <w:right w:val="none" w:sz="0" w:space="0" w:color="auto"/>
              </w:divBdr>
            </w:div>
            <w:div w:id="855072941">
              <w:marLeft w:val="0"/>
              <w:marRight w:val="0"/>
              <w:marTop w:val="0"/>
              <w:marBottom w:val="0"/>
              <w:divBdr>
                <w:top w:val="none" w:sz="0" w:space="0" w:color="auto"/>
                <w:left w:val="none" w:sz="0" w:space="0" w:color="auto"/>
                <w:bottom w:val="none" w:sz="0" w:space="0" w:color="auto"/>
                <w:right w:val="none" w:sz="0" w:space="0" w:color="auto"/>
              </w:divBdr>
            </w:div>
            <w:div w:id="1969389008">
              <w:marLeft w:val="0"/>
              <w:marRight w:val="0"/>
              <w:marTop w:val="0"/>
              <w:marBottom w:val="0"/>
              <w:divBdr>
                <w:top w:val="none" w:sz="0" w:space="0" w:color="auto"/>
                <w:left w:val="none" w:sz="0" w:space="0" w:color="auto"/>
                <w:bottom w:val="none" w:sz="0" w:space="0" w:color="auto"/>
                <w:right w:val="none" w:sz="0" w:space="0" w:color="auto"/>
              </w:divBdr>
            </w:div>
            <w:div w:id="860124908">
              <w:marLeft w:val="0"/>
              <w:marRight w:val="0"/>
              <w:marTop w:val="0"/>
              <w:marBottom w:val="0"/>
              <w:divBdr>
                <w:top w:val="none" w:sz="0" w:space="0" w:color="auto"/>
                <w:left w:val="none" w:sz="0" w:space="0" w:color="auto"/>
                <w:bottom w:val="none" w:sz="0" w:space="0" w:color="auto"/>
                <w:right w:val="none" w:sz="0" w:space="0" w:color="auto"/>
              </w:divBdr>
            </w:div>
            <w:div w:id="1893733372">
              <w:marLeft w:val="0"/>
              <w:marRight w:val="0"/>
              <w:marTop w:val="0"/>
              <w:marBottom w:val="0"/>
              <w:divBdr>
                <w:top w:val="none" w:sz="0" w:space="0" w:color="auto"/>
                <w:left w:val="none" w:sz="0" w:space="0" w:color="auto"/>
                <w:bottom w:val="none" w:sz="0" w:space="0" w:color="auto"/>
                <w:right w:val="none" w:sz="0" w:space="0" w:color="auto"/>
              </w:divBdr>
            </w:div>
            <w:div w:id="1049300104">
              <w:marLeft w:val="0"/>
              <w:marRight w:val="0"/>
              <w:marTop w:val="0"/>
              <w:marBottom w:val="0"/>
              <w:divBdr>
                <w:top w:val="none" w:sz="0" w:space="0" w:color="auto"/>
                <w:left w:val="none" w:sz="0" w:space="0" w:color="auto"/>
                <w:bottom w:val="none" w:sz="0" w:space="0" w:color="auto"/>
                <w:right w:val="none" w:sz="0" w:space="0" w:color="auto"/>
              </w:divBdr>
            </w:div>
            <w:div w:id="1307930532">
              <w:marLeft w:val="0"/>
              <w:marRight w:val="0"/>
              <w:marTop w:val="0"/>
              <w:marBottom w:val="0"/>
              <w:divBdr>
                <w:top w:val="none" w:sz="0" w:space="0" w:color="auto"/>
                <w:left w:val="none" w:sz="0" w:space="0" w:color="auto"/>
                <w:bottom w:val="none" w:sz="0" w:space="0" w:color="auto"/>
                <w:right w:val="none" w:sz="0" w:space="0" w:color="auto"/>
              </w:divBdr>
            </w:div>
            <w:div w:id="150996429">
              <w:marLeft w:val="0"/>
              <w:marRight w:val="0"/>
              <w:marTop w:val="0"/>
              <w:marBottom w:val="0"/>
              <w:divBdr>
                <w:top w:val="none" w:sz="0" w:space="0" w:color="auto"/>
                <w:left w:val="none" w:sz="0" w:space="0" w:color="auto"/>
                <w:bottom w:val="none" w:sz="0" w:space="0" w:color="auto"/>
                <w:right w:val="none" w:sz="0" w:space="0" w:color="auto"/>
              </w:divBdr>
            </w:div>
            <w:div w:id="266276131">
              <w:marLeft w:val="0"/>
              <w:marRight w:val="0"/>
              <w:marTop w:val="0"/>
              <w:marBottom w:val="0"/>
              <w:divBdr>
                <w:top w:val="none" w:sz="0" w:space="0" w:color="auto"/>
                <w:left w:val="none" w:sz="0" w:space="0" w:color="auto"/>
                <w:bottom w:val="none" w:sz="0" w:space="0" w:color="auto"/>
                <w:right w:val="none" w:sz="0" w:space="0" w:color="auto"/>
              </w:divBdr>
            </w:div>
            <w:div w:id="103699871">
              <w:marLeft w:val="0"/>
              <w:marRight w:val="0"/>
              <w:marTop w:val="0"/>
              <w:marBottom w:val="0"/>
              <w:divBdr>
                <w:top w:val="none" w:sz="0" w:space="0" w:color="auto"/>
                <w:left w:val="none" w:sz="0" w:space="0" w:color="auto"/>
                <w:bottom w:val="none" w:sz="0" w:space="0" w:color="auto"/>
                <w:right w:val="none" w:sz="0" w:space="0" w:color="auto"/>
              </w:divBdr>
            </w:div>
            <w:div w:id="1565143697">
              <w:marLeft w:val="0"/>
              <w:marRight w:val="0"/>
              <w:marTop w:val="0"/>
              <w:marBottom w:val="0"/>
              <w:divBdr>
                <w:top w:val="none" w:sz="0" w:space="0" w:color="auto"/>
                <w:left w:val="none" w:sz="0" w:space="0" w:color="auto"/>
                <w:bottom w:val="none" w:sz="0" w:space="0" w:color="auto"/>
                <w:right w:val="none" w:sz="0" w:space="0" w:color="auto"/>
              </w:divBdr>
            </w:div>
            <w:div w:id="1853951168">
              <w:marLeft w:val="0"/>
              <w:marRight w:val="0"/>
              <w:marTop w:val="0"/>
              <w:marBottom w:val="0"/>
              <w:divBdr>
                <w:top w:val="none" w:sz="0" w:space="0" w:color="auto"/>
                <w:left w:val="none" w:sz="0" w:space="0" w:color="auto"/>
                <w:bottom w:val="none" w:sz="0" w:space="0" w:color="auto"/>
                <w:right w:val="none" w:sz="0" w:space="0" w:color="auto"/>
              </w:divBdr>
            </w:div>
            <w:div w:id="797341463">
              <w:marLeft w:val="0"/>
              <w:marRight w:val="0"/>
              <w:marTop w:val="0"/>
              <w:marBottom w:val="0"/>
              <w:divBdr>
                <w:top w:val="none" w:sz="0" w:space="0" w:color="auto"/>
                <w:left w:val="none" w:sz="0" w:space="0" w:color="auto"/>
                <w:bottom w:val="none" w:sz="0" w:space="0" w:color="auto"/>
                <w:right w:val="none" w:sz="0" w:space="0" w:color="auto"/>
              </w:divBdr>
            </w:div>
            <w:div w:id="1481993690">
              <w:marLeft w:val="0"/>
              <w:marRight w:val="0"/>
              <w:marTop w:val="0"/>
              <w:marBottom w:val="0"/>
              <w:divBdr>
                <w:top w:val="none" w:sz="0" w:space="0" w:color="auto"/>
                <w:left w:val="none" w:sz="0" w:space="0" w:color="auto"/>
                <w:bottom w:val="none" w:sz="0" w:space="0" w:color="auto"/>
                <w:right w:val="none" w:sz="0" w:space="0" w:color="auto"/>
              </w:divBdr>
            </w:div>
            <w:div w:id="2005931590">
              <w:marLeft w:val="0"/>
              <w:marRight w:val="0"/>
              <w:marTop w:val="0"/>
              <w:marBottom w:val="0"/>
              <w:divBdr>
                <w:top w:val="none" w:sz="0" w:space="0" w:color="auto"/>
                <w:left w:val="none" w:sz="0" w:space="0" w:color="auto"/>
                <w:bottom w:val="none" w:sz="0" w:space="0" w:color="auto"/>
                <w:right w:val="none" w:sz="0" w:space="0" w:color="auto"/>
              </w:divBdr>
            </w:div>
            <w:div w:id="178590485">
              <w:marLeft w:val="0"/>
              <w:marRight w:val="0"/>
              <w:marTop w:val="0"/>
              <w:marBottom w:val="0"/>
              <w:divBdr>
                <w:top w:val="none" w:sz="0" w:space="0" w:color="auto"/>
                <w:left w:val="none" w:sz="0" w:space="0" w:color="auto"/>
                <w:bottom w:val="none" w:sz="0" w:space="0" w:color="auto"/>
                <w:right w:val="none" w:sz="0" w:space="0" w:color="auto"/>
              </w:divBdr>
            </w:div>
            <w:div w:id="739668650">
              <w:marLeft w:val="0"/>
              <w:marRight w:val="0"/>
              <w:marTop w:val="0"/>
              <w:marBottom w:val="0"/>
              <w:divBdr>
                <w:top w:val="none" w:sz="0" w:space="0" w:color="auto"/>
                <w:left w:val="none" w:sz="0" w:space="0" w:color="auto"/>
                <w:bottom w:val="none" w:sz="0" w:space="0" w:color="auto"/>
                <w:right w:val="none" w:sz="0" w:space="0" w:color="auto"/>
              </w:divBdr>
            </w:div>
            <w:div w:id="454520335">
              <w:marLeft w:val="0"/>
              <w:marRight w:val="0"/>
              <w:marTop w:val="0"/>
              <w:marBottom w:val="0"/>
              <w:divBdr>
                <w:top w:val="none" w:sz="0" w:space="0" w:color="auto"/>
                <w:left w:val="none" w:sz="0" w:space="0" w:color="auto"/>
                <w:bottom w:val="none" w:sz="0" w:space="0" w:color="auto"/>
                <w:right w:val="none" w:sz="0" w:space="0" w:color="auto"/>
              </w:divBdr>
            </w:div>
            <w:div w:id="1423146193">
              <w:marLeft w:val="0"/>
              <w:marRight w:val="0"/>
              <w:marTop w:val="0"/>
              <w:marBottom w:val="0"/>
              <w:divBdr>
                <w:top w:val="none" w:sz="0" w:space="0" w:color="auto"/>
                <w:left w:val="none" w:sz="0" w:space="0" w:color="auto"/>
                <w:bottom w:val="none" w:sz="0" w:space="0" w:color="auto"/>
                <w:right w:val="none" w:sz="0" w:space="0" w:color="auto"/>
              </w:divBdr>
            </w:div>
            <w:div w:id="346835553">
              <w:marLeft w:val="0"/>
              <w:marRight w:val="0"/>
              <w:marTop w:val="0"/>
              <w:marBottom w:val="0"/>
              <w:divBdr>
                <w:top w:val="none" w:sz="0" w:space="0" w:color="auto"/>
                <w:left w:val="none" w:sz="0" w:space="0" w:color="auto"/>
                <w:bottom w:val="none" w:sz="0" w:space="0" w:color="auto"/>
                <w:right w:val="none" w:sz="0" w:space="0" w:color="auto"/>
              </w:divBdr>
            </w:div>
            <w:div w:id="2107533243">
              <w:marLeft w:val="0"/>
              <w:marRight w:val="0"/>
              <w:marTop w:val="0"/>
              <w:marBottom w:val="0"/>
              <w:divBdr>
                <w:top w:val="none" w:sz="0" w:space="0" w:color="auto"/>
                <w:left w:val="none" w:sz="0" w:space="0" w:color="auto"/>
                <w:bottom w:val="none" w:sz="0" w:space="0" w:color="auto"/>
                <w:right w:val="none" w:sz="0" w:space="0" w:color="auto"/>
              </w:divBdr>
            </w:div>
            <w:div w:id="526218882">
              <w:marLeft w:val="0"/>
              <w:marRight w:val="0"/>
              <w:marTop w:val="0"/>
              <w:marBottom w:val="0"/>
              <w:divBdr>
                <w:top w:val="none" w:sz="0" w:space="0" w:color="auto"/>
                <w:left w:val="none" w:sz="0" w:space="0" w:color="auto"/>
                <w:bottom w:val="none" w:sz="0" w:space="0" w:color="auto"/>
                <w:right w:val="none" w:sz="0" w:space="0" w:color="auto"/>
              </w:divBdr>
            </w:div>
            <w:div w:id="41565059">
              <w:marLeft w:val="0"/>
              <w:marRight w:val="0"/>
              <w:marTop w:val="0"/>
              <w:marBottom w:val="0"/>
              <w:divBdr>
                <w:top w:val="none" w:sz="0" w:space="0" w:color="auto"/>
                <w:left w:val="none" w:sz="0" w:space="0" w:color="auto"/>
                <w:bottom w:val="none" w:sz="0" w:space="0" w:color="auto"/>
                <w:right w:val="none" w:sz="0" w:space="0" w:color="auto"/>
              </w:divBdr>
            </w:div>
            <w:div w:id="902103877">
              <w:marLeft w:val="0"/>
              <w:marRight w:val="0"/>
              <w:marTop w:val="0"/>
              <w:marBottom w:val="0"/>
              <w:divBdr>
                <w:top w:val="none" w:sz="0" w:space="0" w:color="auto"/>
                <w:left w:val="none" w:sz="0" w:space="0" w:color="auto"/>
                <w:bottom w:val="none" w:sz="0" w:space="0" w:color="auto"/>
                <w:right w:val="none" w:sz="0" w:space="0" w:color="auto"/>
              </w:divBdr>
            </w:div>
            <w:div w:id="29304224">
              <w:marLeft w:val="0"/>
              <w:marRight w:val="0"/>
              <w:marTop w:val="0"/>
              <w:marBottom w:val="0"/>
              <w:divBdr>
                <w:top w:val="none" w:sz="0" w:space="0" w:color="auto"/>
                <w:left w:val="none" w:sz="0" w:space="0" w:color="auto"/>
                <w:bottom w:val="none" w:sz="0" w:space="0" w:color="auto"/>
                <w:right w:val="none" w:sz="0" w:space="0" w:color="auto"/>
              </w:divBdr>
            </w:div>
            <w:div w:id="57096684">
              <w:marLeft w:val="0"/>
              <w:marRight w:val="0"/>
              <w:marTop w:val="0"/>
              <w:marBottom w:val="0"/>
              <w:divBdr>
                <w:top w:val="none" w:sz="0" w:space="0" w:color="auto"/>
                <w:left w:val="none" w:sz="0" w:space="0" w:color="auto"/>
                <w:bottom w:val="none" w:sz="0" w:space="0" w:color="auto"/>
                <w:right w:val="none" w:sz="0" w:space="0" w:color="auto"/>
              </w:divBdr>
            </w:div>
            <w:div w:id="874077867">
              <w:marLeft w:val="0"/>
              <w:marRight w:val="0"/>
              <w:marTop w:val="0"/>
              <w:marBottom w:val="0"/>
              <w:divBdr>
                <w:top w:val="none" w:sz="0" w:space="0" w:color="auto"/>
                <w:left w:val="none" w:sz="0" w:space="0" w:color="auto"/>
                <w:bottom w:val="none" w:sz="0" w:space="0" w:color="auto"/>
                <w:right w:val="none" w:sz="0" w:space="0" w:color="auto"/>
              </w:divBdr>
            </w:div>
            <w:div w:id="1511601906">
              <w:marLeft w:val="0"/>
              <w:marRight w:val="0"/>
              <w:marTop w:val="0"/>
              <w:marBottom w:val="0"/>
              <w:divBdr>
                <w:top w:val="none" w:sz="0" w:space="0" w:color="auto"/>
                <w:left w:val="none" w:sz="0" w:space="0" w:color="auto"/>
                <w:bottom w:val="none" w:sz="0" w:space="0" w:color="auto"/>
                <w:right w:val="none" w:sz="0" w:space="0" w:color="auto"/>
              </w:divBdr>
            </w:div>
            <w:div w:id="6519944">
              <w:marLeft w:val="0"/>
              <w:marRight w:val="0"/>
              <w:marTop w:val="0"/>
              <w:marBottom w:val="0"/>
              <w:divBdr>
                <w:top w:val="none" w:sz="0" w:space="0" w:color="auto"/>
                <w:left w:val="none" w:sz="0" w:space="0" w:color="auto"/>
                <w:bottom w:val="none" w:sz="0" w:space="0" w:color="auto"/>
                <w:right w:val="none" w:sz="0" w:space="0" w:color="auto"/>
              </w:divBdr>
            </w:div>
            <w:div w:id="462238306">
              <w:marLeft w:val="0"/>
              <w:marRight w:val="0"/>
              <w:marTop w:val="0"/>
              <w:marBottom w:val="0"/>
              <w:divBdr>
                <w:top w:val="none" w:sz="0" w:space="0" w:color="auto"/>
                <w:left w:val="none" w:sz="0" w:space="0" w:color="auto"/>
                <w:bottom w:val="none" w:sz="0" w:space="0" w:color="auto"/>
                <w:right w:val="none" w:sz="0" w:space="0" w:color="auto"/>
              </w:divBdr>
            </w:div>
            <w:div w:id="47342293">
              <w:marLeft w:val="0"/>
              <w:marRight w:val="0"/>
              <w:marTop w:val="0"/>
              <w:marBottom w:val="0"/>
              <w:divBdr>
                <w:top w:val="none" w:sz="0" w:space="0" w:color="auto"/>
                <w:left w:val="none" w:sz="0" w:space="0" w:color="auto"/>
                <w:bottom w:val="none" w:sz="0" w:space="0" w:color="auto"/>
                <w:right w:val="none" w:sz="0" w:space="0" w:color="auto"/>
              </w:divBdr>
            </w:div>
            <w:div w:id="760219750">
              <w:marLeft w:val="0"/>
              <w:marRight w:val="0"/>
              <w:marTop w:val="0"/>
              <w:marBottom w:val="0"/>
              <w:divBdr>
                <w:top w:val="none" w:sz="0" w:space="0" w:color="auto"/>
                <w:left w:val="none" w:sz="0" w:space="0" w:color="auto"/>
                <w:bottom w:val="none" w:sz="0" w:space="0" w:color="auto"/>
                <w:right w:val="none" w:sz="0" w:space="0" w:color="auto"/>
              </w:divBdr>
            </w:div>
            <w:div w:id="1243031012">
              <w:marLeft w:val="0"/>
              <w:marRight w:val="0"/>
              <w:marTop w:val="0"/>
              <w:marBottom w:val="0"/>
              <w:divBdr>
                <w:top w:val="none" w:sz="0" w:space="0" w:color="auto"/>
                <w:left w:val="none" w:sz="0" w:space="0" w:color="auto"/>
                <w:bottom w:val="none" w:sz="0" w:space="0" w:color="auto"/>
                <w:right w:val="none" w:sz="0" w:space="0" w:color="auto"/>
              </w:divBdr>
            </w:div>
            <w:div w:id="1097751925">
              <w:marLeft w:val="0"/>
              <w:marRight w:val="0"/>
              <w:marTop w:val="0"/>
              <w:marBottom w:val="0"/>
              <w:divBdr>
                <w:top w:val="none" w:sz="0" w:space="0" w:color="auto"/>
                <w:left w:val="none" w:sz="0" w:space="0" w:color="auto"/>
                <w:bottom w:val="none" w:sz="0" w:space="0" w:color="auto"/>
                <w:right w:val="none" w:sz="0" w:space="0" w:color="auto"/>
              </w:divBdr>
            </w:div>
            <w:div w:id="1875773344">
              <w:marLeft w:val="0"/>
              <w:marRight w:val="0"/>
              <w:marTop w:val="0"/>
              <w:marBottom w:val="0"/>
              <w:divBdr>
                <w:top w:val="none" w:sz="0" w:space="0" w:color="auto"/>
                <w:left w:val="none" w:sz="0" w:space="0" w:color="auto"/>
                <w:bottom w:val="none" w:sz="0" w:space="0" w:color="auto"/>
                <w:right w:val="none" w:sz="0" w:space="0" w:color="auto"/>
              </w:divBdr>
            </w:div>
            <w:div w:id="502548907">
              <w:marLeft w:val="0"/>
              <w:marRight w:val="0"/>
              <w:marTop w:val="0"/>
              <w:marBottom w:val="0"/>
              <w:divBdr>
                <w:top w:val="none" w:sz="0" w:space="0" w:color="auto"/>
                <w:left w:val="none" w:sz="0" w:space="0" w:color="auto"/>
                <w:bottom w:val="none" w:sz="0" w:space="0" w:color="auto"/>
                <w:right w:val="none" w:sz="0" w:space="0" w:color="auto"/>
              </w:divBdr>
            </w:div>
            <w:div w:id="1244216461">
              <w:marLeft w:val="0"/>
              <w:marRight w:val="0"/>
              <w:marTop w:val="0"/>
              <w:marBottom w:val="0"/>
              <w:divBdr>
                <w:top w:val="none" w:sz="0" w:space="0" w:color="auto"/>
                <w:left w:val="none" w:sz="0" w:space="0" w:color="auto"/>
                <w:bottom w:val="none" w:sz="0" w:space="0" w:color="auto"/>
                <w:right w:val="none" w:sz="0" w:space="0" w:color="auto"/>
              </w:divBdr>
            </w:div>
            <w:div w:id="329211488">
              <w:marLeft w:val="0"/>
              <w:marRight w:val="0"/>
              <w:marTop w:val="0"/>
              <w:marBottom w:val="0"/>
              <w:divBdr>
                <w:top w:val="none" w:sz="0" w:space="0" w:color="auto"/>
                <w:left w:val="none" w:sz="0" w:space="0" w:color="auto"/>
                <w:bottom w:val="none" w:sz="0" w:space="0" w:color="auto"/>
                <w:right w:val="none" w:sz="0" w:space="0" w:color="auto"/>
              </w:divBdr>
            </w:div>
            <w:div w:id="738670196">
              <w:marLeft w:val="0"/>
              <w:marRight w:val="0"/>
              <w:marTop w:val="0"/>
              <w:marBottom w:val="0"/>
              <w:divBdr>
                <w:top w:val="none" w:sz="0" w:space="0" w:color="auto"/>
                <w:left w:val="none" w:sz="0" w:space="0" w:color="auto"/>
                <w:bottom w:val="none" w:sz="0" w:space="0" w:color="auto"/>
                <w:right w:val="none" w:sz="0" w:space="0" w:color="auto"/>
              </w:divBdr>
            </w:div>
            <w:div w:id="327556981">
              <w:marLeft w:val="0"/>
              <w:marRight w:val="0"/>
              <w:marTop w:val="0"/>
              <w:marBottom w:val="0"/>
              <w:divBdr>
                <w:top w:val="none" w:sz="0" w:space="0" w:color="auto"/>
                <w:left w:val="none" w:sz="0" w:space="0" w:color="auto"/>
                <w:bottom w:val="none" w:sz="0" w:space="0" w:color="auto"/>
                <w:right w:val="none" w:sz="0" w:space="0" w:color="auto"/>
              </w:divBdr>
            </w:div>
            <w:div w:id="1623416586">
              <w:marLeft w:val="0"/>
              <w:marRight w:val="0"/>
              <w:marTop w:val="0"/>
              <w:marBottom w:val="0"/>
              <w:divBdr>
                <w:top w:val="none" w:sz="0" w:space="0" w:color="auto"/>
                <w:left w:val="none" w:sz="0" w:space="0" w:color="auto"/>
                <w:bottom w:val="none" w:sz="0" w:space="0" w:color="auto"/>
                <w:right w:val="none" w:sz="0" w:space="0" w:color="auto"/>
              </w:divBdr>
            </w:div>
            <w:div w:id="8664535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webSettings>
</file>

<file path=word/_rels/document.xml.rels><?xml version="1.0" encoding="UTF-8" standalone="yes"?>
<Relationships xmlns="http://schemas.openxmlformats.org/package/2006/relationships"><Relationship Id="rId13" Type="http://schemas.openxmlformats.org/officeDocument/2006/relationships/hyperlink" Target="https://doi.org/10.1017/S1537592705050036" TargetMode="External"/><Relationship Id="rId18" Type="http://schemas.openxmlformats.org/officeDocument/2006/relationships/hyperlink" Target="https://doi.org/10.1111/j.1468-2478.2010.00589.x" TargetMode="External"/><Relationship Id="rId26" Type="http://schemas.openxmlformats.org/officeDocument/2006/relationships/hyperlink" Target="https://doi.org/10.1017/S0003055406062083" TargetMode="External"/><Relationship Id="rId39" Type="http://schemas.openxmlformats.org/officeDocument/2006/relationships/hyperlink" Target="https://doi.org/10.1177/01902725211063818" TargetMode="External"/><Relationship Id="rId21" Type="http://schemas.openxmlformats.org/officeDocument/2006/relationships/hyperlink" Target="https://doi.org/10.1111/bjso.12326" TargetMode="External"/><Relationship Id="rId34" Type="http://schemas.openxmlformats.org/officeDocument/2006/relationships/hyperlink" Target="https://doi.org/10.1093/poq/nft025" TargetMode="External"/><Relationship Id="rId42" Type="http://schemas.openxmlformats.org/officeDocument/2006/relationships/hyperlink" Target="https://doi.org/10.1111/soc4.12884" TargetMode="External"/><Relationship Id="rId47" Type="http://schemas.openxmlformats.org/officeDocument/2006/relationships/hyperlink" Target="https://doi.org/10.1186/s40174-015-0037-y" TargetMode="External"/><Relationship Id="rId50" Type="http://schemas.openxmlformats.org/officeDocument/2006/relationships/hyperlink" Target="https://doi.org/10.1016/j.rssm.2006.10.004" TargetMode="External"/><Relationship Id="rId55" Type="http://schemas.openxmlformats.org/officeDocument/2006/relationships/hyperlink" Target="https://doi.org/10.2307/2150988" TargetMode="External"/><Relationship Id="rId7" Type="http://schemas.microsoft.com/office/2016/09/relationships/commentsIds" Target="commentsIds.xml"/><Relationship Id="rId2" Type="http://schemas.openxmlformats.org/officeDocument/2006/relationships/styles" Target="styles.xml"/><Relationship Id="rId16" Type="http://schemas.openxmlformats.org/officeDocument/2006/relationships/hyperlink" Target="https://doi.org/10.1016/S0047-2727(00)00172-9" TargetMode="External"/><Relationship Id="rId29" Type="http://schemas.openxmlformats.org/officeDocument/2006/relationships/hyperlink" Target="https://doi.org/10.1111/j.1540-5907.2010.00472.x" TargetMode="External"/><Relationship Id="rId11" Type="http://schemas.openxmlformats.org/officeDocument/2006/relationships/hyperlink" Target="https://doi.org/10.1016/j.jpubeco.2004.05.009" TargetMode="External"/><Relationship Id="rId24" Type="http://schemas.openxmlformats.org/officeDocument/2006/relationships/hyperlink" Target="https://doi.org/10.1017/S0003055404001121" TargetMode="External"/><Relationship Id="rId32" Type="http://schemas.openxmlformats.org/officeDocument/2006/relationships/hyperlink" Target="https://doi.org/10.1257/aer.20130360" TargetMode="External"/><Relationship Id="rId37" Type="http://schemas.openxmlformats.org/officeDocument/2006/relationships/hyperlink" Target="https://doi.org/10.1080/00131857.2020.1745629" TargetMode="External"/><Relationship Id="rId40" Type="http://schemas.openxmlformats.org/officeDocument/2006/relationships/hyperlink" Target="https://doi.org/10.1016/j.ssresearch.2021.102692" TargetMode="External"/><Relationship Id="rId45" Type="http://schemas.openxmlformats.org/officeDocument/2006/relationships/hyperlink" Target="https://doi.org/10.1177/1532673X17733799" TargetMode="External"/><Relationship Id="rId53" Type="http://schemas.openxmlformats.org/officeDocument/2006/relationships/hyperlink" Target="https://doi.org/10.1093/ser/mwu030" TargetMode="External"/><Relationship Id="rId58" Type="http://schemas.openxmlformats.org/officeDocument/2006/relationships/hyperlink" Target="https://doi.org/10.1146/annurev-soc-070308-115926" TargetMode="External"/><Relationship Id="rId5" Type="http://schemas.openxmlformats.org/officeDocument/2006/relationships/comments" Target="comments.xml"/><Relationship Id="rId61" Type="http://schemas.openxmlformats.org/officeDocument/2006/relationships/theme" Target="theme/theme1.xml"/><Relationship Id="rId19" Type="http://schemas.openxmlformats.org/officeDocument/2006/relationships/hyperlink" Target="https://doi.org/10.1111/deve.12011" TargetMode="External"/><Relationship Id="rId14" Type="http://schemas.openxmlformats.org/officeDocument/2006/relationships/hyperlink" Target="https://doi.org/10.1016/S0176-2680(99)00004-X" TargetMode="External"/><Relationship Id="rId22" Type="http://schemas.openxmlformats.org/officeDocument/2006/relationships/hyperlink" Target="https://doi.org/10.1093/poq/nfi058" TargetMode="External"/><Relationship Id="rId27" Type="http://schemas.openxmlformats.org/officeDocument/2006/relationships/hyperlink" Target="https://doi.org/10.1093/esr/jci049" TargetMode="External"/><Relationship Id="rId30" Type="http://schemas.openxmlformats.org/officeDocument/2006/relationships/hyperlink" Target="https://doi.org/10.1093/ser/mwm006" TargetMode="External"/><Relationship Id="rId35" Type="http://schemas.openxmlformats.org/officeDocument/2006/relationships/hyperlink" Target="https://doi.org/10.1086/261013" TargetMode="External"/><Relationship Id="rId43" Type="http://schemas.openxmlformats.org/officeDocument/2006/relationships/hyperlink" Target="https://doi.org/10.1111/1467-923X.12828" TargetMode="External"/><Relationship Id="rId48" Type="http://schemas.openxmlformats.org/officeDocument/2006/relationships/hyperlink" Target="https://doi.org/10.1177/000312240607100305" TargetMode="External"/><Relationship Id="rId56" Type="http://schemas.openxmlformats.org/officeDocument/2006/relationships/hyperlink" Target="https://doi.org/10.1007/s11211-022-00389-0" TargetMode="External"/><Relationship Id="rId8" Type="http://schemas.microsoft.com/office/2018/08/relationships/commentsExtensible" Target="commentsExtensible.xml"/><Relationship Id="rId51" Type="http://schemas.openxmlformats.org/officeDocument/2006/relationships/hyperlink" Target="https://doi.org/10.1126/science.1251936" TargetMode="External"/><Relationship Id="rId3" Type="http://schemas.openxmlformats.org/officeDocument/2006/relationships/settings" Target="settings.xml"/><Relationship Id="rId12" Type="http://schemas.openxmlformats.org/officeDocument/2006/relationships/hyperlink" Target="https://doi.org/10.1257/aer.20162015" TargetMode="External"/><Relationship Id="rId17" Type="http://schemas.openxmlformats.org/officeDocument/2006/relationships/hyperlink" Target="https://doi.org/10.1177/0958928710374373" TargetMode="External"/><Relationship Id="rId25" Type="http://schemas.openxmlformats.org/officeDocument/2006/relationships/hyperlink" Target="https://doi.org/10.1016/j.copsyc.2017.07.024" TargetMode="External"/><Relationship Id="rId33" Type="http://schemas.openxmlformats.org/officeDocument/2006/relationships/hyperlink" Target="https://doi.org/10.1093/ser/mwl002" TargetMode="External"/><Relationship Id="rId38" Type="http://schemas.openxmlformats.org/officeDocument/2006/relationships/hyperlink" Target="https://doi.org/10.1093/ser/mwy051" TargetMode="External"/><Relationship Id="rId46" Type="http://schemas.openxmlformats.org/officeDocument/2006/relationships/hyperlink" Target="https://doi.org/10.1017/S0003055400400067" TargetMode="External"/><Relationship Id="rId59" Type="http://schemas.openxmlformats.org/officeDocument/2006/relationships/fontTable" Target="fontTable.xml"/><Relationship Id="rId20" Type="http://schemas.openxmlformats.org/officeDocument/2006/relationships/hyperlink" Target="https://doi.org/10.1111/j.1467-9477.2008.00211.x" TargetMode="External"/><Relationship Id="rId41" Type="http://schemas.openxmlformats.org/officeDocument/2006/relationships/hyperlink" Target="https://doi.org/10.1093/socpro/spaa059" TargetMode="External"/><Relationship Id="rId54" Type="http://schemas.openxmlformats.org/officeDocument/2006/relationships/hyperlink" Target="https://doi.org/10.1177/0032329216683165" TargetMode="External"/><Relationship Id="rId1" Type="http://schemas.openxmlformats.org/officeDocument/2006/relationships/numbering" Target="numbering.xml"/><Relationship Id="rId6" Type="http://schemas.microsoft.com/office/2011/relationships/commentsExtended" Target="commentsExtended.xml"/><Relationship Id="rId15" Type="http://schemas.openxmlformats.org/officeDocument/2006/relationships/hyperlink" Target="https://doi.org/10.1016/j.euroecorev.2003.09.003" TargetMode="External"/><Relationship Id="rId23" Type="http://schemas.openxmlformats.org/officeDocument/2006/relationships/hyperlink" Target="https://doi.org/10.1007/s10888-011-9205-0" TargetMode="External"/><Relationship Id="rId28" Type="http://schemas.openxmlformats.org/officeDocument/2006/relationships/hyperlink" Target="https://doi.org/10.1111/roiw.12541" TargetMode="External"/><Relationship Id="rId36" Type="http://schemas.openxmlformats.org/officeDocument/2006/relationships/hyperlink" Target="https://doi.org/10.3390/soc8030064" TargetMode="External"/><Relationship Id="rId49" Type="http://schemas.openxmlformats.org/officeDocument/2006/relationships/hyperlink" Target="https://doi.org/10.1177/1354068816663039" TargetMode="External"/><Relationship Id="rId57" Type="http://schemas.openxmlformats.org/officeDocument/2006/relationships/hyperlink" Target="https://doi.org/10.1017/S0007123416000326" TargetMode="External"/><Relationship Id="rId10" Type="http://schemas.openxmlformats.org/officeDocument/2006/relationships/hyperlink" Target="https://doi.org/10.1257/jel.53.4.898" TargetMode="External"/><Relationship Id="rId31" Type="http://schemas.openxmlformats.org/officeDocument/2006/relationships/hyperlink" Target="https://doi.org/10.1093/esr/jcr046" TargetMode="External"/><Relationship Id="rId44" Type="http://schemas.openxmlformats.org/officeDocument/2006/relationships/hyperlink" Target="https://doi.org/10.1016/S0176-2680(00)00014-8" TargetMode="External"/><Relationship Id="rId52" Type="http://schemas.openxmlformats.org/officeDocument/2006/relationships/hyperlink" Target="https://doi.org/10.1093/poq/nfp012" TargetMode="External"/><Relationship Id="rId60" Type="http://schemas.microsoft.com/office/2011/relationships/people" Target="people.xml"/><Relationship Id="rId4" Type="http://schemas.openxmlformats.org/officeDocument/2006/relationships/webSettings" Target="webSettings.xml"/><Relationship Id="rId9" Type="http://schemas.openxmlformats.org/officeDocument/2006/relationships/hyperlink" Target="https://doi.org/10.1257/0002828054825655"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546</TotalTime>
  <Pages>11</Pages>
  <Words>3935</Words>
  <Characters>22432</Characters>
  <Application>Microsoft Office Word</Application>
  <DocSecurity>0</DocSecurity>
  <Lines>186</Lines>
  <Paragraphs>52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26315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Kaleb Mazurek</dc:creator>
  <cp:keywords/>
  <dc:description/>
  <cp:lastModifiedBy>Kaleb Mazurek</cp:lastModifiedBy>
  <cp:revision>201</cp:revision>
  <dcterms:created xsi:type="dcterms:W3CDTF">2023-02-14T13:43:00Z</dcterms:created>
  <dcterms:modified xsi:type="dcterms:W3CDTF">2023-02-16T13:39:00Z</dcterms:modified>
</cp:coreProperties>
</file>