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REDNOXX HIM / EMR / EHR</w:t>
        <w:br/>
        <w:t>UI/UX and Front-End Design Guide</w:t>
      </w:r>
    </w:p>
    <w:p>
      <w:pPr>
        <w:jc w:val="center"/>
      </w:pPr>
      <w:r>
        <w:rPr>
          <w:i/>
          <w:sz w:val="24"/>
        </w:rPr>
        <w:t>Authoritative design guides, implementation references, and practical application plan for REDNOXX</w:t>
      </w:r>
    </w:p>
    <w:p/>
    <w:p/>
    <w:tbl>
      <w:tblPr>
        <w:tblStyle w:val="TableGrid"/>
        <w:tblW w:type="auto" w:w="0"/>
        <w:jc w:val="center"/>
        <w:tblLook w:firstColumn="1" w:firstRow="1" w:lastColumn="0" w:lastRow="0" w:noHBand="0" w:noVBand="1" w:val="04A0"/>
      </w:tblPr>
      <w:tblGrid>
        <w:gridCol w:w="5083"/>
        <w:gridCol w:w="5083"/>
      </w:tblGrid>
      <w:tr>
        <w:tc>
          <w:tcPr>
            <w:tcW w:type="dxa" w:w="2448"/>
            <w:shd w:fill="1F4E79"/>
            <w:vAlign w:val="center"/>
          </w:tcPr>
          <w:p>
            <w:pPr>
              <w:spacing w:after="0"/>
            </w:pPr>
            <w:r/>
            <w:r>
              <w:rPr>
                <w:b/>
                <w:color w:val="FFFFFF"/>
              </w:rPr>
              <w:t>Document field</w:t>
            </w:r>
          </w:p>
        </w:tc>
        <w:tc>
          <w:tcPr>
            <w:tcW w:type="dxa" w:w="8352"/>
            <w:shd w:fill="1F4E79"/>
            <w:vAlign w:val="center"/>
          </w:tcPr>
          <w:p>
            <w:pPr>
              <w:spacing w:after="0"/>
            </w:pPr>
            <w:r/>
            <w:r>
              <w:rPr>
                <w:b/>
                <w:color w:val="FFFFFF"/>
              </w:rPr>
              <w:t>Value</w:t>
            </w:r>
          </w:p>
        </w:tc>
      </w:tr>
      <w:tr>
        <w:tc>
          <w:tcPr>
            <w:tcW w:type="dxa" w:w="2448"/>
            <w:vAlign w:val="top"/>
          </w:tcPr>
          <w:p>
            <w:pPr>
              <w:spacing w:after="0"/>
            </w:pPr>
            <w:r/>
            <w:r>
              <w:rPr>
                <w:b w:val="0"/>
              </w:rPr>
              <w:t>Project</w:t>
            </w:r>
          </w:p>
        </w:tc>
        <w:tc>
          <w:tcPr>
            <w:tcW w:type="dxa" w:w="8352"/>
            <w:vAlign w:val="top"/>
          </w:tcPr>
          <w:p>
            <w:pPr>
              <w:spacing w:after="0"/>
            </w:pPr>
            <w:r/>
            <w:r>
              <w:rPr>
                <w:b w:val="0"/>
              </w:rPr>
              <w:t>REDNOXX Health Information Management / EHR Platform</w:t>
            </w:r>
          </w:p>
        </w:tc>
      </w:tr>
      <w:tr>
        <w:tc>
          <w:tcPr>
            <w:tcW w:type="dxa" w:w="2448"/>
            <w:vAlign w:val="top"/>
          </w:tcPr>
          <w:p>
            <w:pPr>
              <w:spacing w:after="0"/>
            </w:pPr>
            <w:r/>
            <w:r>
              <w:rPr>
                <w:b w:val="0"/>
              </w:rPr>
              <w:t>Purpose</w:t>
            </w:r>
          </w:p>
        </w:tc>
        <w:tc>
          <w:tcPr>
            <w:tcW w:type="dxa" w:w="8352"/>
            <w:vAlign w:val="top"/>
          </w:tcPr>
          <w:p>
            <w:pPr>
              <w:spacing w:after="0"/>
            </w:pPr>
            <w:r/>
            <w:r>
              <w:rPr>
                <w:b w:val="0"/>
              </w:rPr>
              <w:t>To guide product designers, front-end developers, business analysts, QA teams, and clinical stakeholders in building safe, usable, accessible, interoperable healthcare interfaces.</w:t>
            </w:r>
          </w:p>
        </w:tc>
      </w:tr>
      <w:tr>
        <w:tc>
          <w:tcPr>
            <w:tcW w:type="dxa" w:w="2448"/>
            <w:vAlign w:val="top"/>
          </w:tcPr>
          <w:p>
            <w:pPr>
              <w:spacing w:after="0"/>
            </w:pPr>
            <w:r/>
            <w:r>
              <w:rPr>
                <w:b w:val="0"/>
              </w:rPr>
              <w:t>Scope</w:t>
            </w:r>
          </w:p>
        </w:tc>
        <w:tc>
          <w:tcPr>
            <w:tcW w:type="dxa" w:w="8352"/>
            <w:vAlign w:val="top"/>
          </w:tcPr>
          <w:p>
            <w:pPr>
              <w:spacing w:after="0"/>
            </w:pPr>
            <w:r/>
            <w:r>
              <w:rPr>
                <w:b w:val="0"/>
              </w:rPr>
              <w:t>EMR/EHR/HIMS UI/UX, workflow design, front-end component design, accessibility, usability testing, clinical safety, and Nigerian digital-health alignment.</w:t>
            </w:r>
          </w:p>
        </w:tc>
      </w:tr>
      <w:tr>
        <w:tc>
          <w:tcPr>
            <w:tcW w:type="dxa" w:w="2448"/>
            <w:vAlign w:val="top"/>
          </w:tcPr>
          <w:p>
            <w:pPr>
              <w:spacing w:after="0"/>
            </w:pPr>
            <w:r/>
            <w:r>
              <w:rPr>
                <w:b w:val="0"/>
              </w:rPr>
              <w:t>Version</w:t>
            </w:r>
          </w:p>
        </w:tc>
        <w:tc>
          <w:tcPr>
            <w:tcW w:type="dxa" w:w="8352"/>
            <w:vAlign w:val="top"/>
          </w:tcPr>
          <w:p>
            <w:pPr>
              <w:spacing w:after="0"/>
            </w:pPr>
            <w:r/>
            <w:r>
              <w:rPr>
                <w:b w:val="0"/>
              </w:rPr>
              <w:t>1.0</w:t>
            </w:r>
          </w:p>
        </w:tc>
      </w:tr>
      <w:tr>
        <w:tc>
          <w:tcPr>
            <w:tcW w:type="dxa" w:w="2448"/>
            <w:vAlign w:val="top"/>
          </w:tcPr>
          <w:p>
            <w:pPr>
              <w:spacing w:after="0"/>
            </w:pPr>
            <w:r/>
            <w:r>
              <w:rPr>
                <w:b w:val="0"/>
              </w:rPr>
              <w:t>Date</w:t>
            </w:r>
          </w:p>
        </w:tc>
        <w:tc>
          <w:tcPr>
            <w:tcW w:type="dxa" w:w="8352"/>
            <w:vAlign w:val="top"/>
          </w:tcPr>
          <w:p>
            <w:pPr>
              <w:spacing w:after="0"/>
            </w:pPr>
            <w:r/>
            <w:r>
              <w:rPr>
                <w:b w:val="0"/>
              </w:rPr>
              <w:t>7 July 2026</w:t>
            </w:r>
          </w:p>
        </w:tc>
      </w:tr>
    </w:tbl>
    <w:p/>
    <w:p>
      <w:pPr>
        <w:spacing w:before="200"/>
      </w:pPr>
      <w:r>
        <w:t>Note: This document uses author-date in-text citations and a reference list with direct links. It should be treated as an implementation guide, not only a reading list.</w:t>
      </w:r>
    </w:p>
    <w:p>
      <w:r>
        <w:br w:type="page"/>
      </w:r>
    </w:p>
    <w:p>
      <w:pPr>
        <w:pStyle w:val="Heading1"/>
      </w:pPr>
      <w:r>
        <w:t>Table of Contents</w:t>
      </w:r>
    </w:p>
    <w:p>
      <w:r>
        <w:t>1. Executive Summary</w:t>
      </w:r>
    </w:p>
    <w:p>
      <w:r>
        <w:t>2. Why UI/UX Matters in EHR/HIMS Projects</w:t>
      </w:r>
    </w:p>
    <w:p>
      <w:r>
        <w:t>3. How REDNOXX Should Use This Guide</w:t>
      </w:r>
    </w:p>
    <w:p>
      <w:r>
        <w:t>4. Authoritative Design Guides and Standards</w:t>
      </w:r>
    </w:p>
    <w:p>
      <w:r>
        <w:t>5. Practical REDNOXX Design Principles</w:t>
      </w:r>
    </w:p>
    <w:p>
      <w:r>
        <w:t>6. Front-End Architecture and Design-System Recommendations</w:t>
      </w:r>
    </w:p>
    <w:p>
      <w:r>
        <w:t>7. Module-Level Application to REDNOXX HIM Workflows</w:t>
      </w:r>
    </w:p>
    <w:p>
      <w:r>
        <w:t>8. Accessibility, Safety, and Usability Acceptance Criteria</w:t>
      </w:r>
    </w:p>
    <w:p>
      <w:r>
        <w:t>9. Usability Testing Plan for REDNOXX</w:t>
      </w:r>
    </w:p>
    <w:p>
      <w:r>
        <w:t>10. Implementation Roadmap</w:t>
      </w:r>
    </w:p>
    <w:p>
      <w:r>
        <w:t>11. Reference Matrix</w:t>
      </w:r>
    </w:p>
    <w:p>
      <w:r>
        <w:t>12. References</w:t>
      </w:r>
    </w:p>
    <w:p>
      <w:r>
        <w:br w:type="page"/>
      </w:r>
    </w:p>
    <w:p>
      <w:pPr>
        <w:pStyle w:val="Heading1"/>
      </w:pPr>
      <w:r>
        <w:t>1. Executive Summary</w:t>
      </w:r>
    </w:p>
    <w:p>
      <w:pPr>
        <w:spacing w:after="120" w:line="259" w:lineRule="auto"/>
      </w:pPr>
      <w:r>
        <w:t>REDNOXX should treat UI/UX as a patient-safety, workflow-efficiency, adoption, and compliance concern. In clinical systems, poor interface design can increase cognitive load, cause missed information, contribute to documentation errors, and reduce clinician adoption. NIST frames EHR UI design around use-safety, effectiveness, user-centered design, verification, and validation (Wiklund et al., 2015).</w:t>
      </w:r>
    </w:p>
    <w:p>
      <w:pPr>
        <w:spacing w:after="120" w:line="259" w:lineRule="auto"/>
      </w:pPr>
      <w:r>
        <w:t>The recommended approach is to combine healthcare-specific EHR usability guidance with a reusable web design system, accessibility standards, and Nigeria-specific interoperability requirements. The most important sources for REDNOXX are NIST GCR 15-996, HIMSS EMR usability principles, AHRQ/HIMSS EMR usability evaluation methods, the NHS Digital Service Manual and Design System, WCAG 2.2, ISO 9241-210, OpenMRS 3 design patterns, HL7 FHIR, and Nigeria Core FHIR/NDHI materials.</w:t>
      </w:r>
    </w:p>
    <w:p>
      <w:pPr>
        <w:spacing w:after="120" w:line="259" w:lineRule="auto"/>
      </w:pPr>
      <w:r>
        <w:t>For the REDNOXX project, these references should be used to define screen-level requirements, front-end component standards, interaction patterns, usability test scripts, accessibility acceptance criteria, safety-risk controls, and design review checklists across patient registration, appointments, triage, consultation, orders, laboratory, pharmacy, billing, records, referrals, reporting, and administration workflows.</w:t>
      </w:r>
    </w:p>
    <w:tbl>
      <w:tblPr>
        <w:tblStyle w:val="TableGrid"/>
        <w:tblW w:type="auto" w:w="0"/>
        <w:jc w:val="center"/>
        <w:tblLook w:firstColumn="1" w:firstRow="1" w:lastColumn="0" w:lastRow="0" w:noHBand="0" w:noVBand="1" w:val="04A0"/>
      </w:tblPr>
      <w:tblGrid>
        <w:gridCol w:w="5083"/>
        <w:gridCol w:w="5083"/>
      </w:tblGrid>
      <w:tr>
        <w:tc>
          <w:tcPr>
            <w:tcW w:type="dxa" w:w="2592"/>
            <w:shd w:fill="1F4E79"/>
            <w:vAlign w:val="center"/>
          </w:tcPr>
          <w:p>
            <w:pPr>
              <w:spacing w:after="0"/>
            </w:pPr>
            <w:r/>
            <w:r>
              <w:rPr>
                <w:b/>
                <w:color w:val="FFFFFF"/>
              </w:rPr>
              <w:t>Design objective</w:t>
            </w:r>
          </w:p>
        </w:tc>
        <w:tc>
          <w:tcPr>
            <w:tcW w:type="dxa" w:w="8208"/>
            <w:shd w:fill="1F4E79"/>
            <w:vAlign w:val="center"/>
          </w:tcPr>
          <w:p>
            <w:pPr>
              <w:spacing w:after="0"/>
            </w:pPr>
            <w:r/>
            <w:r>
              <w:rPr>
                <w:b/>
                <w:color w:val="FFFFFF"/>
              </w:rPr>
              <w:t>Practical REDNOXX outcome</w:t>
            </w:r>
          </w:p>
        </w:tc>
      </w:tr>
      <w:tr>
        <w:tc>
          <w:tcPr>
            <w:tcW w:type="dxa" w:w="2592"/>
            <w:vAlign w:val="top"/>
          </w:tcPr>
          <w:p>
            <w:pPr>
              <w:spacing w:after="0"/>
            </w:pPr>
            <w:r/>
            <w:r>
              <w:rPr>
                <w:b w:val="0"/>
              </w:rPr>
              <w:t>Reduce cognitive load</w:t>
            </w:r>
          </w:p>
        </w:tc>
        <w:tc>
          <w:tcPr>
            <w:tcW w:type="dxa" w:w="8208"/>
            <w:vAlign w:val="top"/>
          </w:tcPr>
          <w:p>
            <w:pPr>
              <w:spacing w:after="0"/>
            </w:pPr>
            <w:r/>
            <w:r>
              <w:rPr>
                <w:b w:val="0"/>
              </w:rPr>
              <w:t>Use clear hierarchy, patient context bars, concise forms, progressive disclosure, and consistent clinical terminology.</w:t>
            </w:r>
          </w:p>
        </w:tc>
      </w:tr>
      <w:tr>
        <w:tc>
          <w:tcPr>
            <w:tcW w:type="dxa" w:w="2592"/>
            <w:vAlign w:val="top"/>
          </w:tcPr>
          <w:p>
            <w:pPr>
              <w:spacing w:after="0"/>
            </w:pPr>
            <w:r/>
            <w:r>
              <w:rPr>
                <w:b w:val="0"/>
              </w:rPr>
              <w:t>Improve workflow speed</w:t>
            </w:r>
          </w:p>
        </w:tc>
        <w:tc>
          <w:tcPr>
            <w:tcW w:type="dxa" w:w="8208"/>
            <w:vAlign w:val="top"/>
          </w:tcPr>
          <w:p>
            <w:pPr>
              <w:spacing w:after="0"/>
            </w:pPr>
            <w:r/>
            <w:r>
              <w:rPr>
                <w:b w:val="0"/>
              </w:rPr>
              <w:t>Design around frequent tasks: find patient, register, check-in, record vitals, prescribe, order tests, review results, bill, and discharge.</w:t>
            </w:r>
          </w:p>
        </w:tc>
      </w:tr>
      <w:tr>
        <w:tc>
          <w:tcPr>
            <w:tcW w:type="dxa" w:w="2592"/>
            <w:vAlign w:val="top"/>
          </w:tcPr>
          <w:p>
            <w:pPr>
              <w:spacing w:after="0"/>
            </w:pPr>
            <w:r/>
            <w:r>
              <w:rPr>
                <w:b w:val="0"/>
              </w:rPr>
              <w:t>Prevent clinical and administrative errors</w:t>
            </w:r>
          </w:p>
        </w:tc>
        <w:tc>
          <w:tcPr>
            <w:tcW w:type="dxa" w:w="8208"/>
            <w:vAlign w:val="top"/>
          </w:tcPr>
          <w:p>
            <w:pPr>
              <w:spacing w:after="0"/>
            </w:pPr>
            <w:r/>
            <w:r>
              <w:rPr>
                <w:b w:val="0"/>
              </w:rPr>
              <w:t>Use validation, confirmation for high-risk actions, duplicate-patient warnings, audit trails, and clear medication/order review screens.</w:t>
            </w:r>
          </w:p>
        </w:tc>
      </w:tr>
      <w:tr>
        <w:tc>
          <w:tcPr>
            <w:tcW w:type="dxa" w:w="2592"/>
            <w:vAlign w:val="top"/>
          </w:tcPr>
          <w:p>
            <w:pPr>
              <w:spacing w:after="0"/>
            </w:pPr>
            <w:r/>
            <w:r>
              <w:rPr>
                <w:b w:val="0"/>
              </w:rPr>
              <w:t>Support Nigerian interoperability</w:t>
            </w:r>
          </w:p>
        </w:tc>
        <w:tc>
          <w:tcPr>
            <w:tcW w:type="dxa" w:w="8208"/>
            <w:vAlign w:val="top"/>
          </w:tcPr>
          <w:p>
            <w:pPr>
              <w:spacing w:after="0"/>
            </w:pPr>
            <w:r/>
            <w:r>
              <w:rPr>
                <w:b w:val="0"/>
              </w:rPr>
              <w:t>Represent patient identifiers, facility data, encounters, observations, medication requests, claims, referrals, and reports in ways compatible with FHIR and Nigeria Core expectations.</w:t>
            </w:r>
          </w:p>
        </w:tc>
      </w:tr>
      <w:tr>
        <w:tc>
          <w:tcPr>
            <w:tcW w:type="dxa" w:w="2592"/>
            <w:vAlign w:val="top"/>
          </w:tcPr>
          <w:p>
            <w:pPr>
              <w:spacing w:after="0"/>
            </w:pPr>
            <w:r/>
            <w:r>
              <w:rPr>
                <w:b w:val="0"/>
              </w:rPr>
              <w:t>Improve implementation consistency</w:t>
            </w:r>
          </w:p>
        </w:tc>
        <w:tc>
          <w:tcPr>
            <w:tcW w:type="dxa" w:w="8208"/>
            <w:vAlign w:val="top"/>
          </w:tcPr>
          <w:p>
            <w:pPr>
              <w:spacing w:after="0"/>
            </w:pPr>
            <w:r/>
            <w:r>
              <w:rPr>
                <w:b w:val="0"/>
              </w:rPr>
              <w:t>Build a REDNOXX design system with reusable components, tokens, page templates, and front-end coding standards.</w:t>
            </w:r>
          </w:p>
        </w:tc>
      </w:tr>
    </w:tbl>
    <w:p/>
    <w:p>
      <w:pPr>
        <w:pStyle w:val="Heading1"/>
      </w:pPr>
      <w:r>
        <w:t>2. Why UI/UX Matters in EHR/HIMS Projects</w:t>
      </w:r>
    </w:p>
    <w:p>
      <w:pPr>
        <w:spacing w:after="120" w:line="259" w:lineRule="auto"/>
      </w:pPr>
      <w:r>
        <w:t>Unlike ordinary business software, EHR and HIMS systems are used in high-pressure environments where time, accuracy, privacy, and clinical safety matter. NIST emphasizes that EHR stakeholders need better knowledge and tools to ensure safe and effective use, and its report includes user profiles, vendor best practices, scoring methods, UI principles, and design-process practices (Wiklund et al., 2015).</w:t>
      </w:r>
    </w:p>
    <w:p>
      <w:pPr>
        <w:spacing w:after="120" w:line="259" w:lineRule="auto"/>
      </w:pPr>
      <w:r>
        <w:t>HIMSS identifies simplicity, naturalness, consistency, feedback, effective language, efficient interactions, information presentation, preservation of context, and minimized cognitive load as essential EMR usability principles (HIMSS, 2015). These map directly to REDNOXX screens because users will include clinicians, records officers, nurses, pharmacists, laboratory staff, cashiers, administrators, and managers with different levels of digital skill.</w:t>
      </w:r>
    </w:p>
    <w:p>
      <w:pPr>
        <w:spacing w:after="120" w:line="259" w:lineRule="auto"/>
      </w:pPr>
      <w:r>
        <w:t>AHRQ/HIMSS usability evaluation guidance recommends evaluating EMRs through efficiency, effectiveness, ease of learning, user satisfaction, and safety-oriented test methods (AHRQ, 2009). REDNOXX should therefore include usability and safety criteria in QA, not leave them to subjective stakeholder opinion at the end of development.</w:t>
      </w:r>
    </w:p>
    <w:p>
      <w:pPr>
        <w:pStyle w:val="Heading1"/>
      </w:pPr>
      <w:r>
        <w:t>3. How REDNOXX Should Use This Guide</w:t>
      </w:r>
    </w:p>
    <w:p>
      <w:pPr>
        <w:spacing w:after="120" w:line="259" w:lineRule="auto"/>
      </w:pPr>
      <w:r>
        <w:t>This document should be operationalized through four REDNOXX governance assets: a design system, a workflow catalogue, screen-level UI requirements, and usability-test protocols. The design team should translate the principles into Figma libraries, while the front-end team should translate the same principles into reusable React/Angular/Vue components, CSS tokens, form patterns, table patterns, and accessibility utilities.</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F4E79"/>
            <w:vAlign w:val="center"/>
          </w:tcPr>
          <w:p>
            <w:pPr>
              <w:spacing w:after="0"/>
            </w:pPr>
            <w:r/>
            <w:r>
              <w:rPr>
                <w:b/>
                <w:color w:val="FFFFFF"/>
              </w:rPr>
              <w:t>Project activity</w:t>
            </w:r>
          </w:p>
        </w:tc>
        <w:tc>
          <w:tcPr>
            <w:tcW w:type="dxa" w:w="5472"/>
            <w:shd w:fill="1F4E79"/>
            <w:vAlign w:val="center"/>
          </w:tcPr>
          <w:p>
            <w:pPr>
              <w:spacing w:after="0"/>
            </w:pPr>
            <w:r/>
            <w:r>
              <w:rPr>
                <w:b/>
                <w:color w:val="FFFFFF"/>
              </w:rPr>
              <w:t>How to apply the references</w:t>
            </w:r>
          </w:p>
        </w:tc>
        <w:tc>
          <w:tcPr>
            <w:tcW w:type="dxa" w:w="3024"/>
            <w:shd w:fill="1F4E79"/>
            <w:vAlign w:val="center"/>
          </w:tcPr>
          <w:p>
            <w:pPr>
              <w:spacing w:after="0"/>
            </w:pPr>
            <w:r/>
            <w:r>
              <w:rPr>
                <w:b/>
                <w:color w:val="FFFFFF"/>
              </w:rPr>
              <w:t>Recommended output</w:t>
            </w:r>
          </w:p>
        </w:tc>
      </w:tr>
      <w:tr>
        <w:tc>
          <w:tcPr>
            <w:tcW w:type="dxa" w:w="2304"/>
            <w:vAlign w:val="top"/>
          </w:tcPr>
          <w:p>
            <w:pPr>
              <w:spacing w:after="0"/>
            </w:pPr>
            <w:r/>
            <w:r>
              <w:rPr>
                <w:b w:val="0"/>
              </w:rPr>
              <w:t>Requirements analysis</w:t>
            </w:r>
          </w:p>
        </w:tc>
        <w:tc>
          <w:tcPr>
            <w:tcW w:type="dxa" w:w="5472"/>
            <w:vAlign w:val="top"/>
          </w:tcPr>
          <w:p>
            <w:pPr>
              <w:spacing w:after="0"/>
            </w:pPr>
            <w:r/>
            <w:r>
              <w:rPr>
                <w:b w:val="0"/>
              </w:rPr>
              <w:t>Use NIST and ISO 9241-210 to conduct user research, task analysis, risk analysis, and workflow mapping.</w:t>
            </w:r>
          </w:p>
        </w:tc>
        <w:tc>
          <w:tcPr>
            <w:tcW w:type="dxa" w:w="3024"/>
            <w:vAlign w:val="top"/>
          </w:tcPr>
          <w:p>
            <w:pPr>
              <w:spacing w:after="0"/>
            </w:pPr>
            <w:r/>
            <w:r>
              <w:rPr>
                <w:b w:val="0"/>
              </w:rPr>
              <w:t>User personas, workflow maps, task-risk register, screen inventory.</w:t>
            </w:r>
          </w:p>
        </w:tc>
      </w:tr>
      <w:tr>
        <w:tc>
          <w:tcPr>
            <w:tcW w:type="dxa" w:w="2304"/>
            <w:vAlign w:val="top"/>
          </w:tcPr>
          <w:p>
            <w:pPr>
              <w:spacing w:after="0"/>
            </w:pPr>
            <w:r/>
            <w:r>
              <w:rPr>
                <w:b w:val="0"/>
              </w:rPr>
              <w:t>UX design</w:t>
            </w:r>
          </w:p>
        </w:tc>
        <w:tc>
          <w:tcPr>
            <w:tcW w:type="dxa" w:w="5472"/>
            <w:vAlign w:val="top"/>
          </w:tcPr>
          <w:p>
            <w:pPr>
              <w:spacing w:after="0"/>
            </w:pPr>
            <w:r/>
            <w:r>
              <w:rPr>
                <w:b w:val="0"/>
              </w:rPr>
              <w:t>Use HIMSS, NIST, NHS, and OpenMRS to define navigation, information hierarchy, patient context, form design, clinical dashboards, and error-prevention patterns.</w:t>
            </w:r>
          </w:p>
        </w:tc>
        <w:tc>
          <w:tcPr>
            <w:tcW w:type="dxa" w:w="3024"/>
            <w:vAlign w:val="top"/>
          </w:tcPr>
          <w:p>
            <w:pPr>
              <w:spacing w:after="0"/>
            </w:pPr>
            <w:r/>
            <w:r>
              <w:rPr>
                <w:b w:val="0"/>
              </w:rPr>
              <w:t>Wireframes, clickable prototypes, content model, UI checklist.</w:t>
            </w:r>
          </w:p>
        </w:tc>
      </w:tr>
      <w:tr>
        <w:tc>
          <w:tcPr>
            <w:tcW w:type="dxa" w:w="2304"/>
            <w:vAlign w:val="top"/>
          </w:tcPr>
          <w:p>
            <w:pPr>
              <w:spacing w:after="0"/>
            </w:pPr>
            <w:r/>
            <w:r>
              <w:rPr>
                <w:b w:val="0"/>
              </w:rPr>
              <w:t>Front-end development</w:t>
            </w:r>
          </w:p>
        </w:tc>
        <w:tc>
          <w:tcPr>
            <w:tcW w:type="dxa" w:w="5472"/>
            <w:vAlign w:val="top"/>
          </w:tcPr>
          <w:p>
            <w:pPr>
              <w:spacing w:after="0"/>
            </w:pPr>
            <w:r/>
            <w:r>
              <w:rPr>
                <w:b w:val="0"/>
              </w:rPr>
              <w:t>Use NHS Design System and OpenMRS/O3 lessons to build a reusable component library and page templates.</w:t>
            </w:r>
          </w:p>
        </w:tc>
        <w:tc>
          <w:tcPr>
            <w:tcW w:type="dxa" w:w="3024"/>
            <w:vAlign w:val="top"/>
          </w:tcPr>
          <w:p>
            <w:pPr>
              <w:spacing w:after="0"/>
            </w:pPr>
            <w:r/>
            <w:r>
              <w:rPr>
                <w:b w:val="0"/>
              </w:rPr>
              <w:t>REDNOXX UI component library, design tokens, front-end coding standards.</w:t>
            </w:r>
          </w:p>
        </w:tc>
      </w:tr>
      <w:tr>
        <w:tc>
          <w:tcPr>
            <w:tcW w:type="dxa" w:w="2304"/>
            <w:vAlign w:val="top"/>
          </w:tcPr>
          <w:p>
            <w:pPr>
              <w:spacing w:after="0"/>
            </w:pPr>
            <w:r/>
            <w:r>
              <w:rPr>
                <w:b w:val="0"/>
              </w:rPr>
              <w:t>Accessibility and inclusion</w:t>
            </w:r>
          </w:p>
        </w:tc>
        <w:tc>
          <w:tcPr>
            <w:tcW w:type="dxa" w:w="5472"/>
            <w:vAlign w:val="top"/>
          </w:tcPr>
          <w:p>
            <w:pPr>
              <w:spacing w:after="0"/>
            </w:pPr>
            <w:r/>
            <w:r>
              <w:rPr>
                <w:b w:val="0"/>
              </w:rPr>
              <w:t>Use WCAG 2.2 and NHS accessibility guidance to design for keyboard access, contrast, focus visibility, labels, target size, and predictable navigation.</w:t>
            </w:r>
          </w:p>
        </w:tc>
        <w:tc>
          <w:tcPr>
            <w:tcW w:type="dxa" w:w="3024"/>
            <w:vAlign w:val="top"/>
          </w:tcPr>
          <w:p>
            <w:pPr>
              <w:spacing w:after="0"/>
            </w:pPr>
            <w:r/>
            <w:r>
              <w:rPr>
                <w:b w:val="0"/>
              </w:rPr>
              <w:t>Accessibility acceptance criteria and automated/manual accessibility tests.</w:t>
            </w:r>
          </w:p>
        </w:tc>
      </w:tr>
      <w:tr>
        <w:tc>
          <w:tcPr>
            <w:tcW w:type="dxa" w:w="2304"/>
            <w:vAlign w:val="top"/>
          </w:tcPr>
          <w:p>
            <w:pPr>
              <w:spacing w:after="0"/>
            </w:pPr>
            <w:r/>
            <w:r>
              <w:rPr>
                <w:b w:val="0"/>
              </w:rPr>
              <w:t>Interoperability alignment</w:t>
            </w:r>
          </w:p>
        </w:tc>
        <w:tc>
          <w:tcPr>
            <w:tcW w:type="dxa" w:w="5472"/>
            <w:vAlign w:val="top"/>
          </w:tcPr>
          <w:p>
            <w:pPr>
              <w:spacing w:after="0"/>
            </w:pPr>
            <w:r/>
            <w:r>
              <w:rPr>
                <w:b w:val="0"/>
              </w:rPr>
              <w:t>Use HL7 FHIR, Nigeria Core FHIR IG, and NDHI architecture to ensure UI forms and displays map to interoperable data structures.</w:t>
            </w:r>
          </w:p>
        </w:tc>
        <w:tc>
          <w:tcPr>
            <w:tcW w:type="dxa" w:w="3024"/>
            <w:vAlign w:val="top"/>
          </w:tcPr>
          <w:p>
            <w:pPr>
              <w:spacing w:after="0"/>
            </w:pPr>
            <w:r/>
            <w:r>
              <w:rPr>
                <w:b w:val="0"/>
              </w:rPr>
              <w:t>Field-to-FHIR mapping, API contract notes, terminology mapping.</w:t>
            </w:r>
          </w:p>
        </w:tc>
      </w:tr>
      <w:tr>
        <w:tc>
          <w:tcPr>
            <w:tcW w:type="dxa" w:w="2304"/>
            <w:vAlign w:val="top"/>
          </w:tcPr>
          <w:p>
            <w:pPr>
              <w:spacing w:after="0"/>
            </w:pPr>
            <w:r/>
            <w:r>
              <w:rPr>
                <w:b w:val="0"/>
              </w:rPr>
              <w:t>Testing and validation</w:t>
            </w:r>
          </w:p>
        </w:tc>
        <w:tc>
          <w:tcPr>
            <w:tcW w:type="dxa" w:w="5472"/>
            <w:vAlign w:val="top"/>
          </w:tcPr>
          <w:p>
            <w:pPr>
              <w:spacing w:after="0"/>
            </w:pPr>
            <w:r/>
            <w:r>
              <w:rPr>
                <w:b w:val="0"/>
              </w:rPr>
              <w:t>Use AHRQ/HIMSS and NIST evaluation methods for task-based usability tests before release.</w:t>
            </w:r>
          </w:p>
        </w:tc>
        <w:tc>
          <w:tcPr>
            <w:tcW w:type="dxa" w:w="3024"/>
            <w:vAlign w:val="top"/>
          </w:tcPr>
          <w:p>
            <w:pPr>
              <w:spacing w:after="0"/>
            </w:pPr>
            <w:r/>
            <w:r>
              <w:rPr>
                <w:b w:val="0"/>
              </w:rPr>
              <w:t>Usability test plan, benchmark tasks, findings log, remediation backlog.</w:t>
            </w:r>
          </w:p>
        </w:tc>
      </w:tr>
    </w:tbl>
    <w:p/>
    <w:p>
      <w:pPr>
        <w:pStyle w:val="Heading1"/>
      </w:pPr>
      <w:r>
        <w:t>4. Authoritative Design Guides and Standards</w:t>
      </w:r>
    </w:p>
    <w:p>
      <w:pPr>
        <w:pStyle w:val="Heading2"/>
      </w:pPr>
      <w:r>
        <w:t>NIST GCR 15-996: Technical Basis for User Interface Design of Health IT</w:t>
      </w:r>
    </w:p>
    <w:p>
      <w:r>
        <w:rPr>
          <w:b/>
        </w:rPr>
        <w:t xml:space="preserve">Citation: </w:t>
      </w:r>
      <w:r>
        <w:t xml:space="preserve">NIST / Wiklund et al., 2015. </w:t>
      </w:r>
      <w:hyperlink r:id="rId11">
        <w:r>
          <w:rPr>
            <w:color w:val="0563C1"/>
            <w:u w:val="single"/>
          </w:rPr>
          <w:t>Open reference</w:t>
        </w:r>
      </w:hyperlink>
    </w:p>
    <w:p>
      <w:pPr>
        <w:spacing w:after="120" w:line="259" w:lineRule="auto"/>
      </w:pPr>
      <w:r>
        <w:t>What it provides: Healthcare-specific UI design and usability engineering reference for EHRs. Includes UI design process, task analysis, risk management, verification, validation, usability testing, and design principles.</w:t>
      </w:r>
    </w:p>
    <w:p>
      <w:pPr>
        <w:spacing w:after="120" w:line="259" w:lineRule="auto"/>
      </w:pPr>
      <w:r>
        <w:t>How REDNOXX should use it: Use as the main REDNOXX clinical UI safety and usability reference. Convert its principles into screen-review checklists and usability-testing gates.</w:t>
      </w:r>
    </w:p>
    <w:p>
      <w:pPr>
        <w:pStyle w:val="Heading2"/>
      </w:pPr>
      <w:r>
        <w:t>HIMSS: Nine Essential Principles of Software Usability for EMRs</w:t>
      </w:r>
    </w:p>
    <w:p>
      <w:r>
        <w:rPr>
          <w:b/>
        </w:rPr>
        <w:t xml:space="preserve">Citation: </w:t>
      </w:r>
      <w:r>
        <w:t xml:space="preserve">HIMSS, 2015. </w:t>
      </w:r>
      <w:hyperlink r:id="rId12">
        <w:r>
          <w:rPr>
            <w:color w:val="0563C1"/>
            <w:u w:val="single"/>
          </w:rPr>
          <w:t>Open reference</w:t>
        </w:r>
      </w:hyperlink>
    </w:p>
    <w:p>
      <w:pPr>
        <w:spacing w:after="120" w:line="259" w:lineRule="auto"/>
      </w:pPr>
      <w:r>
        <w:t>What it provides: Concise EMR usability principles: simplicity, naturalness, consistency, forgiveness/feedback, language, efficiency, information presentation, context preservation, and cognitive-load reduction.</w:t>
      </w:r>
    </w:p>
    <w:p>
      <w:pPr>
        <w:spacing w:after="120" w:line="259" w:lineRule="auto"/>
      </w:pPr>
      <w:r>
        <w:t>How REDNOXX should use it: Use as a simple design-review checklist for every REDNOXX module and sprint demo.</w:t>
      </w:r>
    </w:p>
    <w:p>
      <w:pPr>
        <w:pStyle w:val="Heading2"/>
      </w:pPr>
      <w:r>
        <w:t>AHRQ/HIMSS: Defining and Testing EMR Usability</w:t>
      </w:r>
    </w:p>
    <w:p>
      <w:r>
        <w:rPr>
          <w:b/>
        </w:rPr>
        <w:t xml:space="preserve">Citation: </w:t>
      </w:r>
      <w:r>
        <w:t xml:space="preserve">AHRQ, 2009. </w:t>
      </w:r>
      <w:hyperlink r:id="rId13">
        <w:r>
          <w:rPr>
            <w:color w:val="0563C1"/>
            <w:u w:val="single"/>
          </w:rPr>
          <w:t>Open reference</w:t>
        </w:r>
      </w:hyperlink>
    </w:p>
    <w:p>
      <w:pPr>
        <w:spacing w:after="120" w:line="259" w:lineRule="auto"/>
      </w:pPr>
      <w:r>
        <w:t>What it provides: Proposes methods to evaluate EMR usability using efficiency, effectiveness, learnability, satisfaction, and safety.</w:t>
      </w:r>
    </w:p>
    <w:p>
      <w:pPr>
        <w:spacing w:after="120" w:line="259" w:lineRule="auto"/>
      </w:pPr>
      <w:r>
        <w:t>How REDNOXX should use it: Use to design benchmark usability tasks and acceptance thresholds before pilot deployment.</w:t>
      </w:r>
    </w:p>
    <w:p>
      <w:pPr>
        <w:pStyle w:val="Heading2"/>
      </w:pPr>
      <w:r>
        <w:t>NHS Digital Service Manual and Design System</w:t>
      </w:r>
    </w:p>
    <w:p>
      <w:r>
        <w:rPr>
          <w:b/>
        </w:rPr>
        <w:t xml:space="preserve">Citation: </w:t>
      </w:r>
      <w:r>
        <w:t xml:space="preserve">NHS England, n.d.. </w:t>
      </w:r>
      <w:hyperlink r:id="rId14">
        <w:r>
          <w:rPr>
            <w:color w:val="0563C1"/>
            <w:u w:val="single"/>
          </w:rPr>
          <w:t>Open reference</w:t>
        </w:r>
      </w:hyperlink>
    </w:p>
    <w:p>
      <w:pPr>
        <w:spacing w:after="120" w:line="259" w:lineRule="auto"/>
      </w:pPr>
      <w:r>
        <w:t>What it provides: Open design system for consistent, accessible services, with components, patterns, content guidance, and code examples.</w:t>
      </w:r>
    </w:p>
    <w:p>
      <w:pPr>
        <w:spacing w:after="120" w:line="259" w:lineRule="auto"/>
      </w:pPr>
      <w:r>
        <w:t>How REDNOXX should use it: Use as a practical front-end design-system model for forms, errors, buttons, cards, radios, checkboxes, tables, banners, and accessibility patterns.</w:t>
      </w:r>
    </w:p>
    <w:p>
      <w:pPr>
        <w:pStyle w:val="Heading2"/>
      </w:pPr>
      <w:r>
        <w:t>WCAG 2.2</w:t>
      </w:r>
    </w:p>
    <w:p>
      <w:r>
        <w:rPr>
          <w:b/>
        </w:rPr>
        <w:t xml:space="preserve">Citation: </w:t>
      </w:r>
      <w:r>
        <w:t xml:space="preserve">W3C, 2023. </w:t>
      </w:r>
      <w:hyperlink r:id="rId15">
        <w:r>
          <w:rPr>
            <w:color w:val="0563C1"/>
            <w:u w:val="single"/>
          </w:rPr>
          <w:t>Open reference</w:t>
        </w:r>
      </w:hyperlink>
    </w:p>
    <w:p>
      <w:pPr>
        <w:spacing w:after="120" w:line="259" w:lineRule="auto"/>
      </w:pPr>
      <w:r>
        <w:t>What it provides: International web accessibility guidelines covering perceivable, operable, understandable, and robust web content.</w:t>
      </w:r>
    </w:p>
    <w:p>
      <w:pPr>
        <w:spacing w:after="120" w:line="259" w:lineRule="auto"/>
      </w:pPr>
      <w:r>
        <w:t>How REDNOXX should use it: Set REDNOXX target to WCAG 2.2 AA for web modules, including keyboard access, visible focus, labels, contrast, error identification, and target size.</w:t>
      </w:r>
    </w:p>
    <w:p>
      <w:pPr>
        <w:pStyle w:val="Heading2"/>
      </w:pPr>
      <w:r>
        <w:t>ISO 9241-210: Human-centred design for interactive systems</w:t>
      </w:r>
    </w:p>
    <w:p>
      <w:r>
        <w:rPr>
          <w:b/>
        </w:rPr>
        <w:t xml:space="preserve">Citation: </w:t>
      </w:r>
      <w:r>
        <w:t xml:space="preserve">ISO, 2019. </w:t>
      </w:r>
      <w:hyperlink r:id="rId16">
        <w:r>
          <w:rPr>
            <w:color w:val="0563C1"/>
            <w:u w:val="single"/>
          </w:rPr>
          <w:t>Open reference</w:t>
        </w:r>
      </w:hyperlink>
    </w:p>
    <w:p>
      <w:pPr>
        <w:spacing w:after="120" w:line="259" w:lineRule="auto"/>
      </w:pPr>
      <w:r>
        <w:t>What it provides: Requirements and recommendations for human-centered design throughout the lifecycle of computer-based interactive systems.</w:t>
      </w:r>
    </w:p>
    <w:p>
      <w:pPr>
        <w:spacing w:after="120" w:line="259" w:lineRule="auto"/>
      </w:pPr>
      <w:r>
        <w:t>How REDNOXX should use it: Use as the governance standard for research, participatory design, iterative prototyping, validation, and design traceability.</w:t>
      </w:r>
    </w:p>
    <w:p>
      <w:pPr>
        <w:pStyle w:val="Heading2"/>
      </w:pPr>
      <w:r>
        <w:t>OpenMRS 3 / O3 Design System and UI Tools</w:t>
      </w:r>
    </w:p>
    <w:p>
      <w:r>
        <w:rPr>
          <w:b/>
        </w:rPr>
        <w:t xml:space="preserve">Citation: </w:t>
      </w:r>
      <w:r>
        <w:t xml:space="preserve">OpenMRS, n.d.. </w:t>
      </w:r>
      <w:hyperlink r:id="rId17">
        <w:r>
          <w:rPr>
            <w:color w:val="0563C1"/>
            <w:u w:val="single"/>
          </w:rPr>
          <w:t>Open reference</w:t>
        </w:r>
      </w:hyperlink>
    </w:p>
    <w:p>
      <w:pPr>
        <w:spacing w:after="120" w:line="259" w:lineRule="auto"/>
      </w:pPr>
      <w:r>
        <w:t>What it provides: Real-world open-source EMR design-system experience, including Carbon Design System, O3 UI patterns, and shared design frameworks.</w:t>
      </w:r>
    </w:p>
    <w:p>
      <w:pPr>
        <w:spacing w:after="120" w:line="259" w:lineRule="auto"/>
      </w:pPr>
      <w:r>
        <w:t>How REDNOXX should use it: Use as a healthcare-specific implementation benchmark for REDNOXX component architecture and modular clinical front-end design.</w:t>
      </w:r>
    </w:p>
    <w:p>
      <w:pPr>
        <w:pStyle w:val="Heading2"/>
      </w:pPr>
      <w:r>
        <w:t>HL7 FHIR Specification</w:t>
      </w:r>
    </w:p>
    <w:p>
      <w:r>
        <w:rPr>
          <w:b/>
        </w:rPr>
        <w:t xml:space="preserve">Citation: </w:t>
      </w:r>
      <w:r>
        <w:t xml:space="preserve">HL7 FHIR Foundation, n.d.. </w:t>
      </w:r>
      <w:hyperlink r:id="rId18">
        <w:r>
          <w:rPr>
            <w:color w:val="0563C1"/>
            <w:u w:val="single"/>
          </w:rPr>
          <w:t>Open reference</w:t>
        </w:r>
      </w:hyperlink>
    </w:p>
    <w:p>
      <w:pPr>
        <w:spacing w:after="120" w:line="259" w:lineRule="auto"/>
      </w:pPr>
      <w:r>
        <w:t>What it provides: FHIR is an HL7 specification for healthcare interoperability.</w:t>
      </w:r>
    </w:p>
    <w:p>
      <w:pPr>
        <w:spacing w:after="120" w:line="259" w:lineRule="auto"/>
      </w:pPr>
      <w:r>
        <w:t>How REDNOXX should use it: Use to align screen fields, API contracts, and UI data displays with Patient, Encounter, Observation, MedicationRequest, ServiceRequest, DiagnosticReport, Condition, Procedure, Claim, and Referral-related resources.</w:t>
      </w:r>
    </w:p>
    <w:p>
      <w:pPr>
        <w:pStyle w:val="Heading2"/>
      </w:pPr>
      <w:r>
        <w:t>Nigeria Core FHIR Implementation Guide</w:t>
      </w:r>
    </w:p>
    <w:p>
      <w:r>
        <w:rPr>
          <w:b/>
        </w:rPr>
        <w:t xml:space="preserve">Citation: </w:t>
      </w:r>
      <w:r>
        <w:t xml:space="preserve">NDHI, 2026 continuous build. </w:t>
      </w:r>
      <w:hyperlink r:id="rId19">
        <w:r>
          <w:rPr>
            <w:color w:val="0563C1"/>
            <w:u w:val="single"/>
          </w:rPr>
          <w:t>Open reference</w:t>
        </w:r>
      </w:hyperlink>
    </w:p>
    <w:p>
      <w:pPr>
        <w:spacing w:after="120" w:line="259" w:lineRule="auto"/>
      </w:pPr>
      <w:r>
        <w:t>What it provides: Nigeria Core IG provides a standards-based framework for interoperability in Nigeria and leverages HL7 FHIR R4 artifacts, profiles, extensions, value sets, operations, and security/privacy requirements.</w:t>
      </w:r>
    </w:p>
    <w:p>
      <w:pPr>
        <w:spacing w:after="120" w:line="259" w:lineRule="auto"/>
      </w:pPr>
      <w:r>
        <w:t>How REDNOXX should use it: Use to localize REDNOXX data capture, identifiers, terminology, and exchange behavior for Nigerian digital health alignment.</w:t>
      </w:r>
    </w:p>
    <w:p>
      <w:pPr>
        <w:pStyle w:val="Heading2"/>
      </w:pPr>
      <w:r>
        <w:t>NDHI National Enterprise Architecture for Digital Health</w:t>
      </w:r>
    </w:p>
    <w:p>
      <w:r>
        <w:rPr>
          <w:b/>
        </w:rPr>
        <w:t xml:space="preserve">Citation: </w:t>
      </w:r>
      <w:r>
        <w:t xml:space="preserve">NDHI, 2024. </w:t>
      </w:r>
      <w:hyperlink r:id="rId20">
        <w:r>
          <w:rPr>
            <w:color w:val="0563C1"/>
            <w:u w:val="single"/>
          </w:rPr>
          <w:t>Open reference</w:t>
        </w:r>
      </w:hyperlink>
    </w:p>
    <w:p>
      <w:pPr>
        <w:spacing w:after="120" w:line="259" w:lineRule="auto"/>
      </w:pPr>
      <w:r>
        <w:t>What it provides: Nigeria’s NDHI materials describe the move toward an interoperable digital health ecosystem and national architecture.</w:t>
      </w:r>
    </w:p>
    <w:p>
      <w:pPr>
        <w:spacing w:after="120" w:line="259" w:lineRule="auto"/>
      </w:pPr>
      <w:r>
        <w:t>How REDNOXX should use it: Use as an enterprise-alignment reference for REDNOXX platform architecture, facility integration, registries, shared services, HIE readiness, and reporting.</w:t>
      </w:r>
    </w:p>
    <w:p>
      <w:pPr>
        <w:pStyle w:val="Heading1"/>
      </w:pPr>
      <w:r>
        <w:t>5. Practical REDNOXX Design Principles</w:t>
      </w:r>
    </w:p>
    <w:p>
      <w:pPr>
        <w:pStyle w:val="Heading2"/>
      </w:pPr>
      <w:r>
        <w:t>1. Preserve patient context everywhere</w:t>
      </w:r>
    </w:p>
    <w:p>
      <w:pPr>
        <w:spacing w:after="120" w:line="259" w:lineRule="auto"/>
      </w:pPr>
      <w:r>
        <w:t>Every clinical screen should show a persistent patient banner with name, age/date of birth, sex, patient ID/MRN, encounter status, allergy/risk flags, payment/insurance status where appropriate, and facility/ward/clinic context. This supports HIMSS context-preservation and reduces wrong-patient risk.</w:t>
      </w:r>
    </w:p>
    <w:p>
      <w:pPr>
        <w:pStyle w:val="Heading2"/>
      </w:pPr>
      <w:r>
        <w:t>2. Make common tasks fast</w:t>
      </w:r>
    </w:p>
    <w:p>
      <w:pPr>
        <w:spacing w:after="120" w:line="259" w:lineRule="auto"/>
      </w:pPr>
      <w:r>
        <w:t>Screens should optimize the tasks that users perform many times daily: patient search, registration, appointment booking, check-in, triage, vitals capture, consult documentation, ordering, result review, billing, dispensing, and discharge.</w:t>
      </w:r>
    </w:p>
    <w:p>
      <w:pPr>
        <w:pStyle w:val="Heading2"/>
      </w:pPr>
      <w:r>
        <w:t>3. Design forms around real workflows</w:t>
      </w:r>
    </w:p>
    <w:p>
      <w:pPr>
        <w:spacing w:after="120" w:line="259" w:lineRule="auto"/>
      </w:pPr>
      <w:r>
        <w:t>Long clinical or administrative forms should be split into logical sections, use defaults where safe, provide inline validation, and avoid asking users to re-enter information already available in the system.</w:t>
      </w:r>
    </w:p>
    <w:p>
      <w:pPr>
        <w:pStyle w:val="Heading2"/>
      </w:pPr>
      <w:r>
        <w:t>4. Prevent duplicate patients and wrong-patient actions</w:t>
      </w:r>
    </w:p>
    <w:p>
      <w:pPr>
        <w:spacing w:after="120" w:line="259" w:lineRule="auto"/>
      </w:pPr>
      <w:r>
        <w:t>Registration and patient-search screens should include duplicate-detection prompts, demographic matching, National/health identifier checks where applicable, and high-risk confirmation before merging, deleting, or overwriting records.</w:t>
      </w:r>
    </w:p>
    <w:p>
      <w:pPr>
        <w:pStyle w:val="Heading2"/>
      </w:pPr>
      <w:r>
        <w:t>5. Use progressive disclosure</w:t>
      </w:r>
    </w:p>
    <w:p>
      <w:pPr>
        <w:spacing w:after="120" w:line="259" w:lineRule="auto"/>
      </w:pPr>
      <w:r>
        <w:t>Show essential information first and allow users to expand details when needed. This is particularly useful for medication history, previous visits, laboratory trends, insurance details, and audit history.</w:t>
      </w:r>
    </w:p>
    <w:p>
      <w:pPr>
        <w:pStyle w:val="Heading2"/>
      </w:pPr>
      <w:r>
        <w:t>6. Use clear clinical and administrative language</w:t>
      </w:r>
    </w:p>
    <w:p>
      <w:pPr>
        <w:spacing w:after="120" w:line="259" w:lineRule="auto"/>
      </w:pPr>
      <w:r>
        <w:t>Labels should match the vocabulary used in Nigerian facilities while remaining standards-compatible. Avoid ambiguous terms such as “case,” “file,” or “record” unless defined in the context of the workflow.</w:t>
      </w:r>
    </w:p>
    <w:p>
      <w:pPr>
        <w:pStyle w:val="Heading2"/>
      </w:pPr>
      <w:r>
        <w:t>7. Build for poor connectivity and busy facilities</w:t>
      </w:r>
    </w:p>
    <w:p>
      <w:pPr>
        <w:spacing w:after="120" w:line="259" w:lineRule="auto"/>
      </w:pPr>
      <w:r>
        <w:t>Use autosave, optimistic UI only where safe, offline/low-bandwidth patterns where required, clear sync status, and graceful handling of failed submissions.</w:t>
      </w:r>
    </w:p>
    <w:p>
      <w:pPr>
        <w:pStyle w:val="Heading2"/>
      </w:pPr>
      <w:r>
        <w:t>8. Make accessibility non-negotiable</w:t>
      </w:r>
    </w:p>
    <w:p>
      <w:pPr>
        <w:spacing w:after="120" w:line="259" w:lineRule="auto"/>
      </w:pPr>
      <w:r>
        <w:t>REDNOXX should meet WCAG 2.2 AA for web modules, including keyboard navigation, focus visibility, labels, contrast, error messages, and responsive behavior.</w:t>
      </w:r>
    </w:p>
    <w:p>
      <w:pPr>
        <w:pStyle w:val="Heading2"/>
      </w:pPr>
      <w:r>
        <w:t>9. Support role-based experiences</w:t>
      </w:r>
    </w:p>
    <w:p>
      <w:pPr>
        <w:spacing w:after="120" w:line="259" w:lineRule="auto"/>
      </w:pPr>
      <w:r>
        <w:t>Doctors, nurses, lab users, pharmacists, records officers, cashiers, and administrators should see role-appropriate menus, defaults, shortcuts, and dashboards.</w:t>
      </w:r>
    </w:p>
    <w:p>
      <w:pPr>
        <w:pStyle w:val="Heading2"/>
      </w:pPr>
      <w:r>
        <w:t>10. Design data for interoperability from the start</w:t>
      </w:r>
    </w:p>
    <w:p>
      <w:pPr>
        <w:spacing w:after="120" w:line="259" w:lineRule="auto"/>
      </w:pPr>
      <w:r>
        <w:t>Every major field should have a data owner, validation rule, terminology source, FHIR mapping, and privacy classification.</w:t>
      </w:r>
    </w:p>
    <w:p>
      <w:pPr>
        <w:pStyle w:val="Heading1"/>
      </w:pPr>
      <w:r>
        <w:t>6. Front-End Architecture and Design-System Recommendations</w:t>
      </w:r>
    </w:p>
    <w:p>
      <w:pPr>
        <w:spacing w:after="120" w:line="259" w:lineRule="auto"/>
      </w:pPr>
      <w:r>
        <w:t>REDNOXX should establish a product-specific design system rather than designing each screen independently. The NHS Design System demonstrates how a health system can provide reusable styles, components, patterns, and code examples to support consistency and accessibility (NHS England, n.d.). OpenMRS 3 also shows the value of shared patterns and design conventions for EMR modernization (OpenMRS, n.d.).</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4E79"/>
            <w:vAlign w:val="center"/>
          </w:tcPr>
          <w:p>
            <w:pPr>
              <w:spacing w:after="0"/>
            </w:pPr>
            <w:r/>
            <w:r>
              <w:rPr>
                <w:b/>
                <w:color w:val="FFFFFF"/>
              </w:rPr>
              <w:t>Layer</w:t>
            </w:r>
          </w:p>
        </w:tc>
        <w:tc>
          <w:tcPr>
            <w:tcW w:type="dxa" w:w="4752"/>
            <w:shd w:fill="1F4E79"/>
            <w:vAlign w:val="center"/>
          </w:tcPr>
          <w:p>
            <w:pPr>
              <w:spacing w:after="0"/>
            </w:pPr>
            <w:r/>
            <w:r>
              <w:rPr>
                <w:b/>
                <w:color w:val="FFFFFF"/>
              </w:rPr>
              <w:t>REDNOXX recommendation</w:t>
            </w:r>
          </w:p>
        </w:tc>
        <w:tc>
          <w:tcPr>
            <w:tcW w:type="dxa" w:w="4176"/>
            <w:shd w:fill="1F4E79"/>
            <w:vAlign w:val="center"/>
          </w:tcPr>
          <w:p>
            <w:pPr>
              <w:spacing w:after="0"/>
            </w:pPr>
            <w:r/>
            <w:r>
              <w:rPr>
                <w:b/>
                <w:color w:val="FFFFFF"/>
              </w:rPr>
              <w:t>Examples</w:t>
            </w:r>
          </w:p>
        </w:tc>
      </w:tr>
      <w:tr>
        <w:tc>
          <w:tcPr>
            <w:tcW w:type="dxa" w:w="1872"/>
            <w:vAlign w:val="top"/>
          </w:tcPr>
          <w:p>
            <w:pPr>
              <w:spacing w:after="0"/>
            </w:pPr>
            <w:r/>
            <w:r>
              <w:rPr>
                <w:b w:val="0"/>
              </w:rPr>
              <w:t>Design tokens</w:t>
            </w:r>
          </w:p>
        </w:tc>
        <w:tc>
          <w:tcPr>
            <w:tcW w:type="dxa" w:w="4752"/>
            <w:vAlign w:val="top"/>
          </w:tcPr>
          <w:p>
            <w:pPr>
              <w:spacing w:after="0"/>
            </w:pPr>
            <w:r/>
            <w:r>
              <w:rPr>
                <w:b w:val="0"/>
              </w:rPr>
              <w:t>Define tokens for color, spacing, typography, elevation, border radius, focus state, status indicators, and responsive breakpoints.</w:t>
            </w:r>
          </w:p>
        </w:tc>
        <w:tc>
          <w:tcPr>
            <w:tcW w:type="dxa" w:w="4176"/>
            <w:vAlign w:val="top"/>
          </w:tcPr>
          <w:p>
            <w:pPr>
              <w:spacing w:after="0"/>
            </w:pPr>
            <w:r/>
            <w:r>
              <w:rPr>
                <w:b w:val="0"/>
              </w:rPr>
              <w:t>Primary action, danger action, success, warning, error, info, disabled, focus ring, table density.</w:t>
            </w:r>
          </w:p>
        </w:tc>
      </w:tr>
      <w:tr>
        <w:tc>
          <w:tcPr>
            <w:tcW w:type="dxa" w:w="1872"/>
            <w:vAlign w:val="top"/>
          </w:tcPr>
          <w:p>
            <w:pPr>
              <w:spacing w:after="0"/>
            </w:pPr>
            <w:r/>
            <w:r>
              <w:rPr>
                <w:b w:val="0"/>
              </w:rPr>
              <w:t>Core components</w:t>
            </w:r>
          </w:p>
        </w:tc>
        <w:tc>
          <w:tcPr>
            <w:tcW w:type="dxa" w:w="4752"/>
            <w:vAlign w:val="top"/>
          </w:tcPr>
          <w:p>
            <w:pPr>
              <w:spacing w:after="0"/>
            </w:pPr>
            <w:r/>
            <w:r>
              <w:rPr>
                <w:b w:val="0"/>
              </w:rPr>
              <w:t>Create reusable, tested components.</w:t>
            </w:r>
          </w:p>
        </w:tc>
        <w:tc>
          <w:tcPr>
            <w:tcW w:type="dxa" w:w="4176"/>
            <w:vAlign w:val="top"/>
          </w:tcPr>
          <w:p>
            <w:pPr>
              <w:spacing w:after="0"/>
            </w:pPr>
            <w:r/>
            <w:r>
              <w:rPr>
                <w:b w:val="0"/>
              </w:rPr>
              <w:t>Button, input, select, date picker, checkbox, radio, autocomplete, modal, toast, alert, tabs, accordion, stepper, pagination.</w:t>
            </w:r>
          </w:p>
        </w:tc>
      </w:tr>
      <w:tr>
        <w:tc>
          <w:tcPr>
            <w:tcW w:type="dxa" w:w="1872"/>
            <w:vAlign w:val="top"/>
          </w:tcPr>
          <w:p>
            <w:pPr>
              <w:spacing w:after="0"/>
            </w:pPr>
            <w:r/>
            <w:r>
              <w:rPr>
                <w:b w:val="0"/>
              </w:rPr>
              <w:t>Healthcare components</w:t>
            </w:r>
          </w:p>
        </w:tc>
        <w:tc>
          <w:tcPr>
            <w:tcW w:type="dxa" w:w="4752"/>
            <w:vAlign w:val="top"/>
          </w:tcPr>
          <w:p>
            <w:pPr>
              <w:spacing w:after="0"/>
            </w:pPr>
            <w:r/>
            <w:r>
              <w:rPr>
                <w:b w:val="0"/>
              </w:rPr>
              <w:t>Create domain-specific components.</w:t>
            </w:r>
          </w:p>
        </w:tc>
        <w:tc>
          <w:tcPr>
            <w:tcW w:type="dxa" w:w="4176"/>
            <w:vAlign w:val="top"/>
          </w:tcPr>
          <w:p>
            <w:pPr>
              <w:spacing w:after="0"/>
            </w:pPr>
            <w:r/>
            <w:r>
              <w:rPr>
                <w:b w:val="0"/>
              </w:rPr>
              <w:t>Patient banner, allergy flag, encounter card, vitals table, medication row, order basket, result trend, ward bed card, claim status chip.</w:t>
            </w:r>
          </w:p>
        </w:tc>
      </w:tr>
      <w:tr>
        <w:tc>
          <w:tcPr>
            <w:tcW w:type="dxa" w:w="1872"/>
            <w:vAlign w:val="top"/>
          </w:tcPr>
          <w:p>
            <w:pPr>
              <w:spacing w:after="0"/>
            </w:pPr>
            <w:r/>
            <w:r>
              <w:rPr>
                <w:b w:val="0"/>
              </w:rPr>
              <w:t>Page templates</w:t>
            </w:r>
          </w:p>
        </w:tc>
        <w:tc>
          <w:tcPr>
            <w:tcW w:type="dxa" w:w="4752"/>
            <w:vAlign w:val="top"/>
          </w:tcPr>
          <w:p>
            <w:pPr>
              <w:spacing w:after="0"/>
            </w:pPr>
            <w:r/>
            <w:r>
              <w:rPr>
                <w:b w:val="0"/>
              </w:rPr>
              <w:t>Standardize layout by workflow.</w:t>
            </w:r>
          </w:p>
        </w:tc>
        <w:tc>
          <w:tcPr>
            <w:tcW w:type="dxa" w:w="4176"/>
            <w:vAlign w:val="top"/>
          </w:tcPr>
          <w:p>
            <w:pPr>
              <w:spacing w:after="0"/>
            </w:pPr>
            <w:r/>
            <w:r>
              <w:rPr>
                <w:b w:val="0"/>
              </w:rPr>
              <w:t>Patient-search page, registration wizard, consultation workspace, order-entry page, results review page, admin table page, dashboard.</w:t>
            </w:r>
          </w:p>
        </w:tc>
      </w:tr>
      <w:tr>
        <w:tc>
          <w:tcPr>
            <w:tcW w:type="dxa" w:w="1872"/>
            <w:vAlign w:val="top"/>
          </w:tcPr>
          <w:p>
            <w:pPr>
              <w:spacing w:after="0"/>
            </w:pPr>
            <w:r/>
            <w:r>
              <w:rPr>
                <w:b w:val="0"/>
              </w:rPr>
              <w:t>Form engine</w:t>
            </w:r>
          </w:p>
        </w:tc>
        <w:tc>
          <w:tcPr>
            <w:tcW w:type="dxa" w:w="4752"/>
            <w:vAlign w:val="top"/>
          </w:tcPr>
          <w:p>
            <w:pPr>
              <w:spacing w:after="0"/>
            </w:pPr>
            <w:r/>
            <w:r>
              <w:rPr>
                <w:b w:val="0"/>
              </w:rPr>
              <w:t>Use reusable validation, conditional logic, audit capture, field metadata, and FHIR/data mapping.</w:t>
            </w:r>
          </w:p>
        </w:tc>
        <w:tc>
          <w:tcPr>
            <w:tcW w:type="dxa" w:w="4176"/>
            <w:vAlign w:val="top"/>
          </w:tcPr>
          <w:p>
            <w:pPr>
              <w:spacing w:after="0"/>
            </w:pPr>
            <w:r/>
            <w:r>
              <w:rPr>
                <w:b w:val="0"/>
              </w:rPr>
              <w:t>Registration fields, vitals capture, lab order, medication order, discharge summary.</w:t>
            </w:r>
          </w:p>
        </w:tc>
      </w:tr>
      <w:tr>
        <w:tc>
          <w:tcPr>
            <w:tcW w:type="dxa" w:w="1872"/>
            <w:vAlign w:val="top"/>
          </w:tcPr>
          <w:p>
            <w:pPr>
              <w:spacing w:after="0"/>
            </w:pPr>
            <w:r/>
            <w:r>
              <w:rPr>
                <w:b w:val="0"/>
              </w:rPr>
              <w:t>State and data handling</w:t>
            </w:r>
          </w:p>
        </w:tc>
        <w:tc>
          <w:tcPr>
            <w:tcW w:type="dxa" w:w="4752"/>
            <w:vAlign w:val="top"/>
          </w:tcPr>
          <w:p>
            <w:pPr>
              <w:spacing w:after="0"/>
            </w:pPr>
            <w:r/>
            <w:r>
              <w:rPr>
                <w:b w:val="0"/>
              </w:rPr>
              <w:t>Separate UI state from clinical data state; use clear loading, saving, sync, and error states.</w:t>
            </w:r>
          </w:p>
        </w:tc>
        <w:tc>
          <w:tcPr>
            <w:tcW w:type="dxa" w:w="4176"/>
            <w:vAlign w:val="top"/>
          </w:tcPr>
          <w:p>
            <w:pPr>
              <w:spacing w:after="0"/>
            </w:pPr>
            <w:r/>
            <w:r>
              <w:rPr>
                <w:b w:val="0"/>
              </w:rPr>
              <w:t>Skeleton loading, saved indicator, unsaved changes warning, retry queue.</w:t>
            </w:r>
          </w:p>
        </w:tc>
      </w:tr>
      <w:tr>
        <w:tc>
          <w:tcPr>
            <w:tcW w:type="dxa" w:w="1872"/>
            <w:vAlign w:val="top"/>
          </w:tcPr>
          <w:p>
            <w:pPr>
              <w:spacing w:after="0"/>
            </w:pPr>
            <w:r/>
            <w:r>
              <w:rPr>
                <w:b w:val="0"/>
              </w:rPr>
              <w:t>Accessibility utilities</w:t>
            </w:r>
          </w:p>
        </w:tc>
        <w:tc>
          <w:tcPr>
            <w:tcW w:type="dxa" w:w="4752"/>
            <w:vAlign w:val="top"/>
          </w:tcPr>
          <w:p>
            <w:pPr>
              <w:spacing w:after="0"/>
            </w:pPr>
            <w:r/>
            <w:r>
              <w:rPr>
                <w:b w:val="0"/>
              </w:rPr>
              <w:t>Automate keyboard, ARIA, focus management, contrast checks, and error summary behavior.</w:t>
            </w:r>
          </w:p>
        </w:tc>
        <w:tc>
          <w:tcPr>
            <w:tcW w:type="dxa" w:w="4176"/>
            <w:vAlign w:val="top"/>
          </w:tcPr>
          <w:p>
            <w:pPr>
              <w:spacing w:after="0"/>
            </w:pPr>
            <w:r/>
            <w:r>
              <w:rPr>
                <w:b w:val="0"/>
              </w:rPr>
              <w:t>Accessible modal focus trap, skip links, error summary with anchors, visible focus.</w:t>
            </w:r>
          </w:p>
        </w:tc>
      </w:tr>
      <w:tr>
        <w:tc>
          <w:tcPr>
            <w:tcW w:type="dxa" w:w="1872"/>
            <w:vAlign w:val="top"/>
          </w:tcPr>
          <w:p>
            <w:pPr>
              <w:spacing w:after="0"/>
            </w:pPr>
            <w:r/>
            <w:r>
              <w:rPr>
                <w:b w:val="0"/>
              </w:rPr>
              <w:t>Quality gates</w:t>
            </w:r>
          </w:p>
        </w:tc>
        <w:tc>
          <w:tcPr>
            <w:tcW w:type="dxa" w:w="4752"/>
            <w:vAlign w:val="top"/>
          </w:tcPr>
          <w:p>
            <w:pPr>
              <w:spacing w:after="0"/>
            </w:pPr>
            <w:r/>
            <w:r>
              <w:rPr>
                <w:b w:val="0"/>
              </w:rPr>
              <w:t>Add storybook/design-system review, unit tests, accessibility tests, and usability checks.</w:t>
            </w:r>
          </w:p>
        </w:tc>
        <w:tc>
          <w:tcPr>
            <w:tcW w:type="dxa" w:w="4176"/>
            <w:vAlign w:val="top"/>
          </w:tcPr>
          <w:p>
            <w:pPr>
              <w:spacing w:after="0"/>
            </w:pPr>
            <w:r/>
            <w:r>
              <w:rPr>
                <w:b w:val="0"/>
              </w:rPr>
              <w:t>Storybook, Playwright, axe-core, visual regression, task-based usability testing.</w:t>
            </w:r>
          </w:p>
        </w:tc>
      </w:tr>
    </w:tbl>
    <w:p/>
    <w:p>
      <w:pPr>
        <w:pStyle w:val="Heading1"/>
      </w:pPr>
      <w:r>
        <w:t>7. Module-Level Application to REDNOXX HIM Workflows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F4E79"/>
            <w:vAlign w:val="center"/>
          </w:tcPr>
          <w:p>
            <w:pPr>
              <w:spacing w:after="0"/>
            </w:pPr>
            <w:r/>
            <w:r>
              <w:rPr>
                <w:b/>
                <w:color w:val="FFFFFF"/>
              </w:rPr>
              <w:t>REDNOXX module/workflow</w:t>
            </w:r>
          </w:p>
        </w:tc>
        <w:tc>
          <w:tcPr>
            <w:tcW w:type="dxa" w:w="2880"/>
            <w:shd w:fill="1F4E79"/>
            <w:vAlign w:val="center"/>
          </w:tcPr>
          <w:p>
            <w:pPr>
              <w:spacing w:after="0"/>
            </w:pPr>
            <w:r/>
            <w:r>
              <w:rPr>
                <w:b/>
                <w:color w:val="FFFFFF"/>
              </w:rPr>
              <w:t>Reference anchors</w:t>
            </w:r>
          </w:p>
        </w:tc>
        <w:tc>
          <w:tcPr>
            <w:tcW w:type="dxa" w:w="5472"/>
            <w:shd w:fill="1F4E79"/>
            <w:vAlign w:val="center"/>
          </w:tcPr>
          <w:p>
            <w:pPr>
              <w:spacing w:after="0"/>
            </w:pPr>
            <w:r/>
            <w:r>
              <w:rPr>
                <w:b/>
                <w:color w:val="FFFFFF"/>
              </w:rPr>
              <w:t>Design application</w:t>
            </w:r>
          </w:p>
        </w:tc>
      </w:tr>
      <w:tr>
        <w:tc>
          <w:tcPr>
            <w:tcW w:type="dxa" w:w="2448"/>
            <w:vAlign w:val="top"/>
          </w:tcPr>
          <w:p>
            <w:pPr>
              <w:spacing w:after="0"/>
            </w:pPr>
            <w:r/>
            <w:r>
              <w:rPr>
                <w:b w:val="0"/>
              </w:rPr>
              <w:t>Patient registration</w:t>
            </w:r>
          </w:p>
        </w:tc>
        <w:tc>
          <w:tcPr>
            <w:tcW w:type="dxa" w:w="2880"/>
            <w:vAlign w:val="top"/>
          </w:tcPr>
          <w:p>
            <w:pPr>
              <w:spacing w:after="0"/>
            </w:pPr>
            <w:r/>
            <w:r>
              <w:rPr>
                <w:b w:val="0"/>
              </w:rPr>
              <w:t>NIST, HIMSS, WCAG, Nigeria Core FHIR</w:t>
            </w:r>
          </w:p>
        </w:tc>
        <w:tc>
          <w:tcPr>
            <w:tcW w:type="dxa" w:w="5472"/>
            <w:vAlign w:val="top"/>
          </w:tcPr>
          <w:p>
            <w:pPr>
              <w:spacing w:after="0"/>
            </w:pPr>
            <w:r/>
            <w:r>
              <w:rPr>
                <w:b w:val="0"/>
              </w:rPr>
              <w:t>Patient search before create; duplicate warning; progressive sections; required identifier rules; inline validation; consent/privacy notice; FHIR Patient mapping.</w:t>
            </w:r>
          </w:p>
        </w:tc>
      </w:tr>
      <w:tr>
        <w:tc>
          <w:tcPr>
            <w:tcW w:type="dxa" w:w="2448"/>
            <w:vAlign w:val="top"/>
          </w:tcPr>
          <w:p>
            <w:pPr>
              <w:spacing w:after="0"/>
            </w:pPr>
            <w:r/>
            <w:r>
              <w:rPr>
                <w:b w:val="0"/>
              </w:rPr>
              <w:t>Appointment and queue management</w:t>
            </w:r>
          </w:p>
        </w:tc>
        <w:tc>
          <w:tcPr>
            <w:tcW w:type="dxa" w:w="2880"/>
            <w:vAlign w:val="top"/>
          </w:tcPr>
          <w:p>
            <w:pPr>
              <w:spacing w:after="0"/>
            </w:pPr>
            <w:r/>
            <w:r>
              <w:rPr>
                <w:b w:val="0"/>
              </w:rPr>
              <w:t>HIMSS, NHS Design System</w:t>
            </w:r>
          </w:p>
        </w:tc>
        <w:tc>
          <w:tcPr>
            <w:tcW w:type="dxa" w:w="5472"/>
            <w:vAlign w:val="top"/>
          </w:tcPr>
          <w:p>
            <w:pPr>
              <w:spacing w:after="0"/>
            </w:pPr>
            <w:r/>
            <w:r>
              <w:rPr>
                <w:b w:val="0"/>
              </w:rPr>
              <w:t>Simple scheduling flows; clear queue statuses; color/status chips with text labels; avoid color-only meaning; role-based views for records, nurses, and clinicians.</w:t>
            </w:r>
          </w:p>
        </w:tc>
      </w:tr>
      <w:tr>
        <w:tc>
          <w:tcPr>
            <w:tcW w:type="dxa" w:w="2448"/>
            <w:vAlign w:val="top"/>
          </w:tcPr>
          <w:p>
            <w:pPr>
              <w:spacing w:after="0"/>
            </w:pPr>
            <w:r/>
            <w:r>
              <w:rPr>
                <w:b w:val="0"/>
              </w:rPr>
              <w:t>Triage and vitals</w:t>
            </w:r>
          </w:p>
        </w:tc>
        <w:tc>
          <w:tcPr>
            <w:tcW w:type="dxa" w:w="2880"/>
            <w:vAlign w:val="top"/>
          </w:tcPr>
          <w:p>
            <w:pPr>
              <w:spacing w:after="0"/>
            </w:pPr>
            <w:r/>
            <w:r>
              <w:rPr>
                <w:b w:val="0"/>
              </w:rPr>
              <w:t>NIST, OpenMRS, FHIR Observation</w:t>
            </w:r>
          </w:p>
        </w:tc>
        <w:tc>
          <w:tcPr>
            <w:tcW w:type="dxa" w:w="5472"/>
            <w:vAlign w:val="top"/>
          </w:tcPr>
          <w:p>
            <w:pPr>
              <w:spacing w:after="0"/>
            </w:pPr>
            <w:r/>
            <w:r>
              <w:rPr>
                <w:b w:val="0"/>
              </w:rPr>
              <w:t>Fast vitals entry; abnormal-value highlighting; units shown consistently; trend view; keyboard-friendly entry; FHIR Observation mapping.</w:t>
            </w:r>
          </w:p>
        </w:tc>
      </w:tr>
      <w:tr>
        <w:tc>
          <w:tcPr>
            <w:tcW w:type="dxa" w:w="2448"/>
            <w:vAlign w:val="top"/>
          </w:tcPr>
          <w:p>
            <w:pPr>
              <w:spacing w:after="0"/>
            </w:pPr>
            <w:r/>
            <w:r>
              <w:rPr>
                <w:b w:val="0"/>
              </w:rPr>
              <w:t>Consultation documentation</w:t>
            </w:r>
          </w:p>
        </w:tc>
        <w:tc>
          <w:tcPr>
            <w:tcW w:type="dxa" w:w="2880"/>
            <w:vAlign w:val="top"/>
          </w:tcPr>
          <w:p>
            <w:pPr>
              <w:spacing w:after="0"/>
            </w:pPr>
            <w:r/>
            <w:r>
              <w:rPr>
                <w:b w:val="0"/>
              </w:rPr>
              <w:t>NIST, HIMSS, AHRQ</w:t>
            </w:r>
          </w:p>
        </w:tc>
        <w:tc>
          <w:tcPr>
            <w:tcW w:type="dxa" w:w="5472"/>
            <w:vAlign w:val="top"/>
          </w:tcPr>
          <w:p>
            <w:pPr>
              <w:spacing w:after="0"/>
            </w:pPr>
            <w:r/>
            <w:r>
              <w:rPr>
                <w:b w:val="0"/>
              </w:rPr>
              <w:t>Persistent patient context; structured notes; previous encounters; diagnosis search; autosave; clinical safety prompts; low-friction review and sign-off.</w:t>
            </w:r>
          </w:p>
        </w:tc>
      </w:tr>
      <w:tr>
        <w:tc>
          <w:tcPr>
            <w:tcW w:type="dxa" w:w="2448"/>
            <w:vAlign w:val="top"/>
          </w:tcPr>
          <w:p>
            <w:pPr>
              <w:spacing w:after="0"/>
            </w:pPr>
            <w:r/>
            <w:r>
              <w:rPr>
                <w:b w:val="0"/>
              </w:rPr>
              <w:t>Orders and laboratory</w:t>
            </w:r>
          </w:p>
        </w:tc>
        <w:tc>
          <w:tcPr>
            <w:tcW w:type="dxa" w:w="2880"/>
            <w:vAlign w:val="top"/>
          </w:tcPr>
          <w:p>
            <w:pPr>
              <w:spacing w:after="0"/>
            </w:pPr>
            <w:r/>
            <w:r>
              <w:rPr>
                <w:b w:val="0"/>
              </w:rPr>
              <w:t>NIST, FHIR ServiceRequest/DiagnosticReport</w:t>
            </w:r>
          </w:p>
        </w:tc>
        <w:tc>
          <w:tcPr>
            <w:tcW w:type="dxa" w:w="5472"/>
            <w:vAlign w:val="top"/>
          </w:tcPr>
          <w:p>
            <w:pPr>
              <w:spacing w:after="0"/>
            </w:pPr>
            <w:r/>
            <w:r>
              <w:rPr>
                <w:b w:val="0"/>
              </w:rPr>
              <w:t>Order basket; sample status; result review; critical-result alerts; avoid alert fatigue; show ordering clinician, date/time, specimen, and status.</w:t>
            </w:r>
          </w:p>
        </w:tc>
      </w:tr>
      <w:tr>
        <w:tc>
          <w:tcPr>
            <w:tcW w:type="dxa" w:w="2448"/>
            <w:vAlign w:val="top"/>
          </w:tcPr>
          <w:p>
            <w:pPr>
              <w:spacing w:after="0"/>
            </w:pPr>
            <w:r/>
            <w:r>
              <w:rPr>
                <w:b w:val="0"/>
              </w:rPr>
              <w:t>Pharmacy and medication</w:t>
            </w:r>
          </w:p>
        </w:tc>
        <w:tc>
          <w:tcPr>
            <w:tcW w:type="dxa" w:w="2880"/>
            <w:vAlign w:val="top"/>
          </w:tcPr>
          <w:p>
            <w:pPr>
              <w:spacing w:after="0"/>
            </w:pPr>
            <w:r/>
            <w:r>
              <w:rPr>
                <w:b w:val="0"/>
              </w:rPr>
              <w:t>NIST, HIMSS, FHIR MedicationRequest</w:t>
            </w:r>
          </w:p>
        </w:tc>
        <w:tc>
          <w:tcPr>
            <w:tcW w:type="dxa" w:w="5472"/>
            <w:vAlign w:val="top"/>
          </w:tcPr>
          <w:p>
            <w:pPr>
              <w:spacing w:after="0"/>
            </w:pPr>
            <w:r/>
            <w:r>
              <w:rPr>
                <w:b w:val="0"/>
              </w:rPr>
              <w:t>Clear medication rows; dose, route, frequency, duration; allergy/interaction warnings; dispensing status; printable labels; high-risk confirmation.</w:t>
            </w:r>
          </w:p>
        </w:tc>
      </w:tr>
      <w:tr>
        <w:tc>
          <w:tcPr>
            <w:tcW w:type="dxa" w:w="2448"/>
            <w:vAlign w:val="top"/>
          </w:tcPr>
          <w:p>
            <w:pPr>
              <w:spacing w:after="0"/>
            </w:pPr>
            <w:r/>
            <w:r>
              <w:rPr>
                <w:b w:val="0"/>
              </w:rPr>
              <w:t>Billing and claims</w:t>
            </w:r>
          </w:p>
        </w:tc>
        <w:tc>
          <w:tcPr>
            <w:tcW w:type="dxa" w:w="2880"/>
            <w:vAlign w:val="top"/>
          </w:tcPr>
          <w:p>
            <w:pPr>
              <w:spacing w:after="0"/>
            </w:pPr>
            <w:r/>
            <w:r>
              <w:rPr>
                <w:b w:val="0"/>
              </w:rPr>
              <w:t>NHS, WCAG, Nigeria Core/Insurance track</w:t>
            </w:r>
          </w:p>
        </w:tc>
        <w:tc>
          <w:tcPr>
            <w:tcW w:type="dxa" w:w="5472"/>
            <w:vAlign w:val="top"/>
          </w:tcPr>
          <w:p>
            <w:pPr>
              <w:spacing w:after="0"/>
            </w:pPr>
            <w:r/>
            <w:r>
              <w:rPr>
                <w:b w:val="0"/>
              </w:rPr>
              <w:t>Transparent charges; insurance/claim state; receipt actions; payment history; reduce duplicate billing; map claim data where interoperability requires it.</w:t>
            </w:r>
          </w:p>
        </w:tc>
      </w:tr>
      <w:tr>
        <w:tc>
          <w:tcPr>
            <w:tcW w:type="dxa" w:w="2448"/>
            <w:vAlign w:val="top"/>
          </w:tcPr>
          <w:p>
            <w:pPr>
              <w:spacing w:after="0"/>
            </w:pPr>
            <w:r/>
            <w:r>
              <w:rPr>
                <w:b w:val="0"/>
              </w:rPr>
              <w:t>Health records / HIM</w:t>
            </w:r>
          </w:p>
        </w:tc>
        <w:tc>
          <w:tcPr>
            <w:tcW w:type="dxa" w:w="2880"/>
            <w:vAlign w:val="top"/>
          </w:tcPr>
          <w:p>
            <w:pPr>
              <w:spacing w:after="0"/>
            </w:pPr>
            <w:r/>
            <w:r>
              <w:rPr>
                <w:b w:val="0"/>
              </w:rPr>
              <w:t>NIST, HIMSS</w:t>
            </w:r>
          </w:p>
        </w:tc>
        <w:tc>
          <w:tcPr>
            <w:tcW w:type="dxa" w:w="5472"/>
            <w:vAlign w:val="top"/>
          </w:tcPr>
          <w:p>
            <w:pPr>
              <w:spacing w:after="0"/>
            </w:pPr>
            <w:r/>
            <w:r>
              <w:rPr>
                <w:b w:val="0"/>
              </w:rPr>
              <w:t>Master patient index functions; merge controls; audit trail; document upload metadata; confidentiality flags; retention and access workflows.</w:t>
            </w:r>
          </w:p>
        </w:tc>
      </w:tr>
      <w:tr>
        <w:tc>
          <w:tcPr>
            <w:tcW w:type="dxa" w:w="2448"/>
            <w:vAlign w:val="top"/>
          </w:tcPr>
          <w:p>
            <w:pPr>
              <w:spacing w:after="0"/>
            </w:pPr>
            <w:r/>
            <w:r>
              <w:rPr>
                <w:b w:val="0"/>
              </w:rPr>
              <w:t>Referrals</w:t>
            </w:r>
          </w:p>
        </w:tc>
        <w:tc>
          <w:tcPr>
            <w:tcW w:type="dxa" w:w="2880"/>
            <w:vAlign w:val="top"/>
          </w:tcPr>
          <w:p>
            <w:pPr>
              <w:spacing w:after="0"/>
            </w:pPr>
            <w:r/>
            <w:r>
              <w:rPr>
                <w:b w:val="0"/>
              </w:rPr>
              <w:t>FHIR ServiceRequest/Task/Communication</w:t>
            </w:r>
          </w:p>
        </w:tc>
        <w:tc>
          <w:tcPr>
            <w:tcW w:type="dxa" w:w="5472"/>
            <w:vAlign w:val="top"/>
          </w:tcPr>
          <w:p>
            <w:pPr>
              <w:spacing w:after="0"/>
            </w:pPr>
            <w:r/>
            <w:r>
              <w:rPr>
                <w:b w:val="0"/>
              </w:rPr>
              <w:t>Referral creation, status tracking, receiving facility, attachments, clinical summary, acknowledgement, and closure.</w:t>
            </w:r>
          </w:p>
        </w:tc>
      </w:tr>
      <w:tr>
        <w:tc>
          <w:tcPr>
            <w:tcW w:type="dxa" w:w="2448"/>
            <w:vAlign w:val="top"/>
          </w:tcPr>
          <w:p>
            <w:pPr>
              <w:spacing w:after="0"/>
            </w:pPr>
            <w:r/>
            <w:r>
              <w:rPr>
                <w:b w:val="0"/>
              </w:rPr>
              <w:t>Reporting and dashboards</w:t>
            </w:r>
          </w:p>
        </w:tc>
        <w:tc>
          <w:tcPr>
            <w:tcW w:type="dxa" w:w="2880"/>
            <w:vAlign w:val="top"/>
          </w:tcPr>
          <w:p>
            <w:pPr>
              <w:spacing w:after="0"/>
            </w:pPr>
            <w:r/>
            <w:r>
              <w:rPr>
                <w:b w:val="0"/>
              </w:rPr>
              <w:t>NHS, WCAG, NDHI</w:t>
            </w:r>
          </w:p>
        </w:tc>
        <w:tc>
          <w:tcPr>
            <w:tcW w:type="dxa" w:w="5472"/>
            <w:vAlign w:val="top"/>
          </w:tcPr>
          <w:p>
            <w:pPr>
              <w:spacing w:after="0"/>
            </w:pPr>
            <w:r/>
            <w:r>
              <w:rPr>
                <w:b w:val="0"/>
              </w:rPr>
              <w:t>Accessible charts/tables; export controls; data provenance; facility/program filters; indicators aligned to national reporting needs.</w:t>
            </w:r>
          </w:p>
        </w:tc>
      </w:tr>
    </w:tbl>
    <w:p/>
    <w:p>
      <w:pPr>
        <w:pStyle w:val="Heading1"/>
      </w:pPr>
      <w:r>
        <w:t>8. Accessibility, Safety, and Usability Acceptance Criteria</w:t>
      </w:r>
    </w:p>
    <w:p>
      <w:pPr>
        <w:spacing w:after="120" w:line="259" w:lineRule="auto"/>
      </w:pPr>
      <w:r>
        <w:t>REDNOXX should adopt WCAG 2.2 AA as the accessibility target for web modules. WCAG 2.2 covers a wide range of recommendations for making web content more accessible to users with visual, auditory, physical, speech, cognitive, language, learning, and neurological disabilities (W3C, 2023).</w:t>
      </w:r>
    </w:p>
    <w:tbl>
      <w:tblPr>
        <w:tblStyle w:val="TableGrid"/>
        <w:tblW w:type="auto" w:w="0"/>
        <w:jc w:val="center"/>
        <w:tblLook w:firstColumn="1" w:firstRow="1" w:lastColumn="0" w:lastRow="0" w:noHBand="0" w:noVBand="1" w:val="04A0"/>
      </w:tblPr>
      <w:tblGrid>
        <w:gridCol w:w="5083"/>
        <w:gridCol w:w="5083"/>
      </w:tblGrid>
      <w:tr>
        <w:tc>
          <w:tcPr>
            <w:tcW w:type="dxa" w:w="2304"/>
            <w:shd w:fill="1F4E79"/>
            <w:vAlign w:val="center"/>
          </w:tcPr>
          <w:p>
            <w:pPr>
              <w:spacing w:after="0"/>
            </w:pPr>
            <w:r/>
            <w:r>
              <w:rPr>
                <w:b/>
                <w:color w:val="FFFFFF"/>
              </w:rPr>
              <w:t>Area</w:t>
            </w:r>
          </w:p>
        </w:tc>
        <w:tc>
          <w:tcPr>
            <w:tcW w:type="dxa" w:w="8496"/>
            <w:shd w:fill="1F4E79"/>
            <w:vAlign w:val="center"/>
          </w:tcPr>
          <w:p>
            <w:pPr>
              <w:spacing w:after="0"/>
            </w:pPr>
            <w:r/>
            <w:r>
              <w:rPr>
                <w:b/>
                <w:color w:val="FFFFFF"/>
              </w:rPr>
              <w:t>Acceptance criterion</w:t>
            </w:r>
          </w:p>
        </w:tc>
      </w:tr>
      <w:tr>
        <w:tc>
          <w:tcPr>
            <w:tcW w:type="dxa" w:w="2304"/>
            <w:vAlign w:val="top"/>
          </w:tcPr>
          <w:p>
            <w:pPr>
              <w:spacing w:after="0"/>
            </w:pPr>
            <w:r/>
            <w:r>
              <w:rPr>
                <w:b w:val="0"/>
              </w:rPr>
              <w:t>Keyboard access</w:t>
            </w:r>
          </w:p>
        </w:tc>
        <w:tc>
          <w:tcPr>
            <w:tcW w:type="dxa" w:w="8496"/>
            <w:vAlign w:val="top"/>
          </w:tcPr>
          <w:p>
            <w:pPr>
              <w:spacing w:after="0"/>
            </w:pPr>
            <w:r/>
            <w:r>
              <w:rPr>
                <w:b w:val="0"/>
              </w:rPr>
              <w:t>All interactive elements can be reached and operated with keyboard only; focus order follows visual/logical order.</w:t>
            </w:r>
          </w:p>
        </w:tc>
      </w:tr>
      <w:tr>
        <w:tc>
          <w:tcPr>
            <w:tcW w:type="dxa" w:w="2304"/>
            <w:vAlign w:val="top"/>
          </w:tcPr>
          <w:p>
            <w:pPr>
              <w:spacing w:after="0"/>
            </w:pPr>
            <w:r/>
            <w:r>
              <w:rPr>
                <w:b w:val="0"/>
              </w:rPr>
              <w:t>Focus visibility</w:t>
            </w:r>
          </w:p>
        </w:tc>
        <w:tc>
          <w:tcPr>
            <w:tcW w:type="dxa" w:w="8496"/>
            <w:vAlign w:val="top"/>
          </w:tcPr>
          <w:p>
            <w:pPr>
              <w:spacing w:after="0"/>
            </w:pPr>
            <w:r/>
            <w:r>
              <w:rPr>
                <w:b w:val="0"/>
              </w:rPr>
              <w:t>Visible focus indicator is never hidden by sticky headers, modals, or sidebars.</w:t>
            </w:r>
          </w:p>
        </w:tc>
      </w:tr>
      <w:tr>
        <w:tc>
          <w:tcPr>
            <w:tcW w:type="dxa" w:w="2304"/>
            <w:vAlign w:val="top"/>
          </w:tcPr>
          <w:p>
            <w:pPr>
              <w:spacing w:after="0"/>
            </w:pPr>
            <w:r/>
            <w:r>
              <w:rPr>
                <w:b w:val="0"/>
              </w:rPr>
              <w:t>Labels and errors</w:t>
            </w:r>
          </w:p>
        </w:tc>
        <w:tc>
          <w:tcPr>
            <w:tcW w:type="dxa" w:w="8496"/>
            <w:vAlign w:val="top"/>
          </w:tcPr>
          <w:p>
            <w:pPr>
              <w:spacing w:after="0"/>
            </w:pPr>
            <w:r/>
            <w:r>
              <w:rPr>
                <w:b w:val="0"/>
              </w:rPr>
              <w:t>Every input has a clear label; errors are specific, placed near fields, and summarized at the top of long forms.</w:t>
            </w:r>
          </w:p>
        </w:tc>
      </w:tr>
      <w:tr>
        <w:tc>
          <w:tcPr>
            <w:tcW w:type="dxa" w:w="2304"/>
            <w:vAlign w:val="top"/>
          </w:tcPr>
          <w:p>
            <w:pPr>
              <w:spacing w:after="0"/>
            </w:pPr>
            <w:r/>
            <w:r>
              <w:rPr>
                <w:b w:val="0"/>
              </w:rPr>
              <w:t>Contrast</w:t>
            </w:r>
          </w:p>
        </w:tc>
        <w:tc>
          <w:tcPr>
            <w:tcW w:type="dxa" w:w="8496"/>
            <w:vAlign w:val="top"/>
          </w:tcPr>
          <w:p>
            <w:pPr>
              <w:spacing w:after="0"/>
            </w:pPr>
            <w:r/>
            <w:r>
              <w:rPr>
                <w:b w:val="0"/>
              </w:rPr>
              <w:t>Text, icons, and status indicators meet WCAG contrast requirements; do not rely on color alone.</w:t>
            </w:r>
          </w:p>
        </w:tc>
      </w:tr>
      <w:tr>
        <w:tc>
          <w:tcPr>
            <w:tcW w:type="dxa" w:w="2304"/>
            <w:vAlign w:val="top"/>
          </w:tcPr>
          <w:p>
            <w:pPr>
              <w:spacing w:after="0"/>
            </w:pPr>
            <w:r/>
            <w:r>
              <w:rPr>
                <w:b w:val="0"/>
              </w:rPr>
              <w:t>Target size</w:t>
            </w:r>
          </w:p>
        </w:tc>
        <w:tc>
          <w:tcPr>
            <w:tcW w:type="dxa" w:w="8496"/>
            <w:vAlign w:val="top"/>
          </w:tcPr>
          <w:p>
            <w:pPr>
              <w:spacing w:after="0"/>
            </w:pPr>
            <w:r/>
            <w:r>
              <w:rPr>
                <w:b w:val="0"/>
              </w:rPr>
              <w:t>Buttons and touch targets are large enough for tablet and mobile use in busy clinical settings.</w:t>
            </w:r>
          </w:p>
        </w:tc>
      </w:tr>
      <w:tr>
        <w:tc>
          <w:tcPr>
            <w:tcW w:type="dxa" w:w="2304"/>
            <w:vAlign w:val="top"/>
          </w:tcPr>
          <w:p>
            <w:pPr>
              <w:spacing w:after="0"/>
            </w:pPr>
            <w:r/>
            <w:r>
              <w:rPr>
                <w:b w:val="0"/>
              </w:rPr>
              <w:t>Clinical safety</w:t>
            </w:r>
          </w:p>
        </w:tc>
        <w:tc>
          <w:tcPr>
            <w:tcW w:type="dxa" w:w="8496"/>
            <w:vAlign w:val="top"/>
          </w:tcPr>
          <w:p>
            <w:pPr>
              <w:spacing w:after="0"/>
            </w:pPr>
            <w:r/>
            <w:r>
              <w:rPr>
                <w:b w:val="0"/>
              </w:rPr>
              <w:t>High-risk actions require clear review and confirmation; wrong-patient risk is mitigated by patient-context persistence.</w:t>
            </w:r>
          </w:p>
        </w:tc>
      </w:tr>
      <w:tr>
        <w:tc>
          <w:tcPr>
            <w:tcW w:type="dxa" w:w="2304"/>
            <w:vAlign w:val="top"/>
          </w:tcPr>
          <w:p>
            <w:pPr>
              <w:spacing w:after="0"/>
            </w:pPr>
            <w:r/>
            <w:r>
              <w:rPr>
                <w:b w:val="0"/>
              </w:rPr>
              <w:t>Data validation</w:t>
            </w:r>
          </w:p>
        </w:tc>
        <w:tc>
          <w:tcPr>
            <w:tcW w:type="dxa" w:w="8496"/>
            <w:vAlign w:val="top"/>
          </w:tcPr>
          <w:p>
            <w:pPr>
              <w:spacing w:after="0"/>
            </w:pPr>
            <w:r/>
            <w:r>
              <w:rPr>
                <w:b w:val="0"/>
              </w:rPr>
              <w:t>Identifiers, dates, units, phone numbers, age/date-of-birth logic, and medication/order fields have validation rules.</w:t>
            </w:r>
          </w:p>
        </w:tc>
      </w:tr>
      <w:tr>
        <w:tc>
          <w:tcPr>
            <w:tcW w:type="dxa" w:w="2304"/>
            <w:vAlign w:val="top"/>
          </w:tcPr>
          <w:p>
            <w:pPr>
              <w:spacing w:after="0"/>
            </w:pPr>
            <w:r/>
            <w:r>
              <w:rPr>
                <w:b w:val="0"/>
              </w:rPr>
              <w:t>Auditability</w:t>
            </w:r>
          </w:p>
        </w:tc>
        <w:tc>
          <w:tcPr>
            <w:tcW w:type="dxa" w:w="8496"/>
            <w:vAlign w:val="top"/>
          </w:tcPr>
          <w:p>
            <w:pPr>
              <w:spacing w:after="0"/>
            </w:pPr>
            <w:r/>
            <w:r>
              <w:rPr>
                <w:b w:val="0"/>
              </w:rPr>
              <w:t>Create, update, merge, void, cancel, sign, dispense, bill, and export actions are logged.</w:t>
            </w:r>
          </w:p>
        </w:tc>
      </w:tr>
      <w:tr>
        <w:tc>
          <w:tcPr>
            <w:tcW w:type="dxa" w:w="2304"/>
            <w:vAlign w:val="top"/>
          </w:tcPr>
          <w:p>
            <w:pPr>
              <w:spacing w:after="0"/>
            </w:pPr>
            <w:r/>
            <w:r>
              <w:rPr>
                <w:b w:val="0"/>
              </w:rPr>
              <w:t>Performance</w:t>
            </w:r>
          </w:p>
        </w:tc>
        <w:tc>
          <w:tcPr>
            <w:tcW w:type="dxa" w:w="8496"/>
            <w:vAlign w:val="top"/>
          </w:tcPr>
          <w:p>
            <w:pPr>
              <w:spacing w:after="0"/>
            </w:pPr>
            <w:r/>
            <w:r>
              <w:rPr>
                <w:b w:val="0"/>
              </w:rPr>
              <w:t>Core workflows remain responsive under realistic facility loads and poor network conditions.</w:t>
            </w:r>
          </w:p>
        </w:tc>
      </w:tr>
      <w:tr>
        <w:tc>
          <w:tcPr>
            <w:tcW w:type="dxa" w:w="2304"/>
            <w:vAlign w:val="top"/>
          </w:tcPr>
          <w:p>
            <w:pPr>
              <w:spacing w:after="0"/>
            </w:pPr>
            <w:r/>
            <w:r>
              <w:rPr>
                <w:b w:val="0"/>
              </w:rPr>
              <w:t>Usability</w:t>
            </w:r>
          </w:p>
        </w:tc>
        <w:tc>
          <w:tcPr>
            <w:tcW w:type="dxa" w:w="8496"/>
            <w:vAlign w:val="top"/>
          </w:tcPr>
          <w:p>
            <w:pPr>
              <w:spacing w:after="0"/>
            </w:pPr>
            <w:r/>
            <w:r>
              <w:rPr>
                <w:b w:val="0"/>
              </w:rPr>
              <w:t>Representative users complete benchmark tasks within agreed success/error thresholds before release.</w:t>
            </w:r>
          </w:p>
        </w:tc>
      </w:tr>
    </w:tbl>
    <w:p/>
    <w:p>
      <w:pPr>
        <w:pStyle w:val="Heading1"/>
      </w:pPr>
      <w:r>
        <w:t>9. Usability Testing Plan for REDNOXX</w:t>
      </w:r>
    </w:p>
    <w:p>
      <w:pPr>
        <w:spacing w:after="120" w:line="259" w:lineRule="auto"/>
      </w:pPr>
      <w:r>
        <w:t>Usability testing should be task-based and role-based. AHRQ/HIMSS and NIST both support structured evaluation rather than informal preference gathering. REDNOXX should test prototypes with records officers, nurses, doctors, laboratory users, pharmacists, cashiers, administrators, and facility managers before production rollout (AHRQ, 2009; Wiklund et al., 2015).</w:t>
      </w:r>
    </w:p>
    <w:tbl>
      <w:tblPr>
        <w:tblStyle w:val="TableGrid"/>
        <w:tblW w:type="auto" w:w="0"/>
        <w:jc w:val="center"/>
        <w:tblLook w:firstColumn="1" w:firstRow="1" w:lastColumn="0" w:lastRow="0" w:noHBand="0" w:noVBand="1" w:val="04A0"/>
      </w:tblPr>
      <w:tblGrid>
        <w:gridCol w:w="3389"/>
        <w:gridCol w:w="3389"/>
        <w:gridCol w:w="3389"/>
      </w:tblGrid>
      <w:tr>
        <w:tc>
          <w:tcPr>
            <w:tcW w:type="dxa" w:w="3600"/>
            <w:shd w:fill="1F4E79"/>
            <w:vAlign w:val="center"/>
          </w:tcPr>
          <w:p>
            <w:pPr>
              <w:spacing w:after="0"/>
            </w:pPr>
            <w:r/>
            <w:r>
              <w:rPr>
                <w:b/>
                <w:color w:val="FFFFFF"/>
              </w:rPr>
              <w:t>Test scenario</w:t>
            </w:r>
          </w:p>
        </w:tc>
        <w:tc>
          <w:tcPr>
            <w:tcW w:type="dxa" w:w="2448"/>
            <w:shd w:fill="1F4E79"/>
            <w:vAlign w:val="center"/>
          </w:tcPr>
          <w:p>
            <w:pPr>
              <w:spacing w:after="0"/>
            </w:pPr>
            <w:r/>
            <w:r>
              <w:rPr>
                <w:b/>
                <w:color w:val="FFFFFF"/>
              </w:rPr>
              <w:t>Primary user</w:t>
            </w:r>
          </w:p>
        </w:tc>
        <w:tc>
          <w:tcPr>
            <w:tcW w:type="dxa" w:w="4752"/>
            <w:shd w:fill="1F4E79"/>
            <w:vAlign w:val="center"/>
          </w:tcPr>
          <w:p>
            <w:pPr>
              <w:spacing w:after="0"/>
            </w:pPr>
            <w:r/>
            <w:r>
              <w:rPr>
                <w:b/>
                <w:color w:val="FFFFFF"/>
              </w:rPr>
              <w:t>Success measure</w:t>
            </w:r>
          </w:p>
        </w:tc>
      </w:tr>
      <w:tr>
        <w:tc>
          <w:tcPr>
            <w:tcW w:type="dxa" w:w="3600"/>
            <w:vAlign w:val="top"/>
          </w:tcPr>
          <w:p>
            <w:pPr>
              <w:spacing w:after="0"/>
            </w:pPr>
            <w:r/>
            <w:r>
              <w:rPr>
                <w:b w:val="0"/>
              </w:rPr>
              <w:t>Search for existing patient and avoid duplicate creation</w:t>
            </w:r>
          </w:p>
        </w:tc>
        <w:tc>
          <w:tcPr>
            <w:tcW w:type="dxa" w:w="2448"/>
            <w:vAlign w:val="top"/>
          </w:tcPr>
          <w:p>
            <w:pPr>
              <w:spacing w:after="0"/>
            </w:pPr>
            <w:r/>
            <w:r>
              <w:rPr>
                <w:b w:val="0"/>
              </w:rPr>
              <w:t>Records officer</w:t>
            </w:r>
          </w:p>
        </w:tc>
        <w:tc>
          <w:tcPr>
            <w:tcW w:type="dxa" w:w="4752"/>
            <w:vAlign w:val="top"/>
          </w:tcPr>
          <w:p>
            <w:pPr>
              <w:spacing w:after="0"/>
            </w:pPr>
            <w:r/>
            <w:r>
              <w:rPr>
                <w:b w:val="0"/>
              </w:rPr>
              <w:t>Find correct patient within target time; no duplicate created; warning understood.</w:t>
            </w:r>
          </w:p>
        </w:tc>
      </w:tr>
      <w:tr>
        <w:tc>
          <w:tcPr>
            <w:tcW w:type="dxa" w:w="3600"/>
            <w:vAlign w:val="top"/>
          </w:tcPr>
          <w:p>
            <w:pPr>
              <w:spacing w:after="0"/>
            </w:pPr>
            <w:r/>
            <w:r>
              <w:rPr>
                <w:b w:val="0"/>
              </w:rPr>
              <w:t>Register a new patient</w:t>
            </w:r>
          </w:p>
        </w:tc>
        <w:tc>
          <w:tcPr>
            <w:tcW w:type="dxa" w:w="2448"/>
            <w:vAlign w:val="top"/>
          </w:tcPr>
          <w:p>
            <w:pPr>
              <w:spacing w:after="0"/>
            </w:pPr>
            <w:r/>
            <w:r>
              <w:rPr>
                <w:b w:val="0"/>
              </w:rPr>
              <w:t>Records officer</w:t>
            </w:r>
          </w:p>
        </w:tc>
        <w:tc>
          <w:tcPr>
            <w:tcW w:type="dxa" w:w="4752"/>
            <w:vAlign w:val="top"/>
          </w:tcPr>
          <w:p>
            <w:pPr>
              <w:spacing w:after="0"/>
            </w:pPr>
            <w:r/>
            <w:r>
              <w:rPr>
                <w:b w:val="0"/>
              </w:rPr>
              <w:t>Required fields completed; validation handled correctly; patient ID generated.</w:t>
            </w:r>
          </w:p>
        </w:tc>
      </w:tr>
      <w:tr>
        <w:tc>
          <w:tcPr>
            <w:tcW w:type="dxa" w:w="3600"/>
            <w:vAlign w:val="top"/>
          </w:tcPr>
          <w:p>
            <w:pPr>
              <w:spacing w:after="0"/>
            </w:pPr>
            <w:r/>
            <w:r>
              <w:rPr>
                <w:b w:val="0"/>
              </w:rPr>
              <w:t>Check in patient and record vitals</w:t>
            </w:r>
          </w:p>
        </w:tc>
        <w:tc>
          <w:tcPr>
            <w:tcW w:type="dxa" w:w="2448"/>
            <w:vAlign w:val="top"/>
          </w:tcPr>
          <w:p>
            <w:pPr>
              <w:spacing w:after="0"/>
            </w:pPr>
            <w:r/>
            <w:r>
              <w:rPr>
                <w:b w:val="0"/>
              </w:rPr>
              <w:t>Nurse</w:t>
            </w:r>
          </w:p>
        </w:tc>
        <w:tc>
          <w:tcPr>
            <w:tcW w:type="dxa" w:w="4752"/>
            <w:vAlign w:val="top"/>
          </w:tcPr>
          <w:p>
            <w:pPr>
              <w:spacing w:after="0"/>
            </w:pPr>
            <w:r/>
            <w:r>
              <w:rPr>
                <w:b w:val="0"/>
              </w:rPr>
              <w:t>Encounter created; vitals saved with correct units; abnormal values visible.</w:t>
            </w:r>
          </w:p>
        </w:tc>
      </w:tr>
      <w:tr>
        <w:tc>
          <w:tcPr>
            <w:tcW w:type="dxa" w:w="3600"/>
            <w:vAlign w:val="top"/>
          </w:tcPr>
          <w:p>
            <w:pPr>
              <w:spacing w:after="0"/>
            </w:pPr>
            <w:r/>
            <w:r>
              <w:rPr>
                <w:b w:val="0"/>
              </w:rPr>
              <w:t>Document consultation and place lab order</w:t>
            </w:r>
          </w:p>
        </w:tc>
        <w:tc>
          <w:tcPr>
            <w:tcW w:type="dxa" w:w="2448"/>
            <w:vAlign w:val="top"/>
          </w:tcPr>
          <w:p>
            <w:pPr>
              <w:spacing w:after="0"/>
            </w:pPr>
            <w:r/>
            <w:r>
              <w:rPr>
                <w:b w:val="0"/>
              </w:rPr>
              <w:t>Doctor</w:t>
            </w:r>
          </w:p>
        </w:tc>
        <w:tc>
          <w:tcPr>
            <w:tcW w:type="dxa" w:w="4752"/>
            <w:vAlign w:val="top"/>
          </w:tcPr>
          <w:p>
            <w:pPr>
              <w:spacing w:after="0"/>
            </w:pPr>
            <w:r/>
            <w:r>
              <w:rPr>
                <w:b w:val="0"/>
              </w:rPr>
              <w:t>Clinical note saved; order is complete; patient context preserved.</w:t>
            </w:r>
          </w:p>
        </w:tc>
      </w:tr>
      <w:tr>
        <w:tc>
          <w:tcPr>
            <w:tcW w:type="dxa" w:w="3600"/>
            <w:vAlign w:val="top"/>
          </w:tcPr>
          <w:p>
            <w:pPr>
              <w:spacing w:after="0"/>
            </w:pPr>
            <w:r/>
            <w:r>
              <w:rPr>
                <w:b w:val="0"/>
              </w:rPr>
              <w:t>Receive specimen and enter lab result</w:t>
            </w:r>
          </w:p>
        </w:tc>
        <w:tc>
          <w:tcPr>
            <w:tcW w:type="dxa" w:w="2448"/>
            <w:vAlign w:val="top"/>
          </w:tcPr>
          <w:p>
            <w:pPr>
              <w:spacing w:after="0"/>
            </w:pPr>
            <w:r/>
            <w:r>
              <w:rPr>
                <w:b w:val="0"/>
              </w:rPr>
              <w:t>Lab scientist</w:t>
            </w:r>
          </w:p>
        </w:tc>
        <w:tc>
          <w:tcPr>
            <w:tcW w:type="dxa" w:w="4752"/>
            <w:vAlign w:val="top"/>
          </w:tcPr>
          <w:p>
            <w:pPr>
              <w:spacing w:after="0"/>
            </w:pPr>
            <w:r/>
            <w:r>
              <w:rPr>
                <w:b w:val="0"/>
              </w:rPr>
              <w:t>Correct order selected; result entered; critical result flagged.</w:t>
            </w:r>
          </w:p>
        </w:tc>
      </w:tr>
      <w:tr>
        <w:tc>
          <w:tcPr>
            <w:tcW w:type="dxa" w:w="3600"/>
            <w:vAlign w:val="top"/>
          </w:tcPr>
          <w:p>
            <w:pPr>
              <w:spacing w:after="0"/>
            </w:pPr>
            <w:r/>
            <w:r>
              <w:rPr>
                <w:b w:val="0"/>
              </w:rPr>
              <w:t>Prescribe and dispense medicine</w:t>
            </w:r>
          </w:p>
        </w:tc>
        <w:tc>
          <w:tcPr>
            <w:tcW w:type="dxa" w:w="2448"/>
            <w:vAlign w:val="top"/>
          </w:tcPr>
          <w:p>
            <w:pPr>
              <w:spacing w:after="0"/>
            </w:pPr>
            <w:r/>
            <w:r>
              <w:rPr>
                <w:b w:val="0"/>
              </w:rPr>
              <w:t>Doctor/pharmacist</w:t>
            </w:r>
          </w:p>
        </w:tc>
        <w:tc>
          <w:tcPr>
            <w:tcW w:type="dxa" w:w="4752"/>
            <w:vAlign w:val="top"/>
          </w:tcPr>
          <w:p>
            <w:pPr>
              <w:spacing w:after="0"/>
            </w:pPr>
            <w:r/>
            <w:r>
              <w:rPr>
                <w:b w:val="0"/>
              </w:rPr>
              <w:t>Medication details complete; allergies visible; dispensing status updated.</w:t>
            </w:r>
          </w:p>
        </w:tc>
      </w:tr>
      <w:tr>
        <w:tc>
          <w:tcPr>
            <w:tcW w:type="dxa" w:w="3600"/>
            <w:vAlign w:val="top"/>
          </w:tcPr>
          <w:p>
            <w:pPr>
              <w:spacing w:after="0"/>
            </w:pPr>
            <w:r/>
            <w:r>
              <w:rPr>
                <w:b w:val="0"/>
              </w:rPr>
              <w:t>Generate bill and receipt</w:t>
            </w:r>
          </w:p>
        </w:tc>
        <w:tc>
          <w:tcPr>
            <w:tcW w:type="dxa" w:w="2448"/>
            <w:vAlign w:val="top"/>
          </w:tcPr>
          <w:p>
            <w:pPr>
              <w:spacing w:after="0"/>
            </w:pPr>
            <w:r/>
            <w:r>
              <w:rPr>
                <w:b w:val="0"/>
              </w:rPr>
              <w:t>Cashier</w:t>
            </w:r>
          </w:p>
        </w:tc>
        <w:tc>
          <w:tcPr>
            <w:tcW w:type="dxa" w:w="4752"/>
            <w:vAlign w:val="top"/>
          </w:tcPr>
          <w:p>
            <w:pPr>
              <w:spacing w:after="0"/>
            </w:pPr>
            <w:r/>
            <w:r>
              <w:rPr>
                <w:b w:val="0"/>
              </w:rPr>
              <w:t>Charges accurate; payment recorded; receipt available.</w:t>
            </w:r>
          </w:p>
        </w:tc>
      </w:tr>
      <w:tr>
        <w:tc>
          <w:tcPr>
            <w:tcW w:type="dxa" w:w="3600"/>
            <w:vAlign w:val="top"/>
          </w:tcPr>
          <w:p>
            <w:pPr>
              <w:spacing w:after="0"/>
            </w:pPr>
            <w:r/>
            <w:r>
              <w:rPr>
                <w:b w:val="0"/>
              </w:rPr>
              <w:t>Merge duplicate patient records</w:t>
            </w:r>
          </w:p>
        </w:tc>
        <w:tc>
          <w:tcPr>
            <w:tcW w:type="dxa" w:w="2448"/>
            <w:vAlign w:val="top"/>
          </w:tcPr>
          <w:p>
            <w:pPr>
              <w:spacing w:after="0"/>
            </w:pPr>
            <w:r/>
            <w:r>
              <w:rPr>
                <w:b w:val="0"/>
              </w:rPr>
              <w:t>HIM/admin user</w:t>
            </w:r>
          </w:p>
        </w:tc>
        <w:tc>
          <w:tcPr>
            <w:tcW w:type="dxa" w:w="4752"/>
            <w:vAlign w:val="top"/>
          </w:tcPr>
          <w:p>
            <w:pPr>
              <w:spacing w:after="0"/>
            </w:pPr>
            <w:r/>
            <w:r>
              <w:rPr>
                <w:b w:val="0"/>
              </w:rPr>
              <w:t>Risk controls understood; merge is traceable; no accidental data loss.</w:t>
            </w:r>
          </w:p>
        </w:tc>
      </w:tr>
    </w:tbl>
    <w:p/>
    <w:p>
      <w:pPr>
        <w:spacing w:after="120" w:line="259" w:lineRule="auto"/>
      </w:pPr>
      <w:r>
        <w:t>Suggested metrics: task success rate, critical error rate, non-critical error rate, time on task, number of clicks/steps, help requests, user confidence, System Usability Scale score, accessibility issues, and post-test qualitative observations.</w:t>
      </w:r>
    </w:p>
    <w:p>
      <w:pPr>
        <w:pStyle w:val="Heading1"/>
      </w:pPr>
      <w:r>
        <w:t>10.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F4E79"/>
            <w:vAlign w:val="center"/>
          </w:tcPr>
          <w:p>
            <w:pPr>
              <w:spacing w:after="0"/>
            </w:pPr>
            <w:r/>
            <w:r>
              <w:rPr>
                <w:b/>
                <w:color w:val="FFFFFF"/>
              </w:rPr>
              <w:t>Phase</w:t>
            </w:r>
          </w:p>
        </w:tc>
        <w:tc>
          <w:tcPr>
            <w:tcW w:type="dxa" w:w="5328"/>
            <w:shd w:fill="1F4E79"/>
            <w:vAlign w:val="center"/>
          </w:tcPr>
          <w:p>
            <w:pPr>
              <w:spacing w:after="0"/>
            </w:pPr>
            <w:r/>
            <w:r>
              <w:rPr>
                <w:b/>
                <w:color w:val="FFFFFF"/>
              </w:rPr>
              <w:t>Activities</w:t>
            </w:r>
          </w:p>
        </w:tc>
        <w:tc>
          <w:tcPr>
            <w:tcW w:type="dxa" w:w="3168"/>
            <w:shd w:fill="1F4E79"/>
            <w:vAlign w:val="center"/>
          </w:tcPr>
          <w:p>
            <w:pPr>
              <w:spacing w:after="0"/>
            </w:pPr>
            <w:r/>
            <w:r>
              <w:rPr>
                <w:b/>
                <w:color w:val="FFFFFF"/>
              </w:rPr>
              <w:t>Deliverables</w:t>
            </w:r>
          </w:p>
        </w:tc>
      </w:tr>
      <w:tr>
        <w:tc>
          <w:tcPr>
            <w:tcW w:type="dxa" w:w="2304"/>
            <w:vAlign w:val="top"/>
          </w:tcPr>
          <w:p>
            <w:pPr>
              <w:spacing w:after="0"/>
            </w:pPr>
            <w:r/>
            <w:r>
              <w:rPr>
                <w:b w:val="0"/>
              </w:rPr>
              <w:t>Phase 1: Discovery and workflow mapping</w:t>
            </w:r>
          </w:p>
        </w:tc>
        <w:tc>
          <w:tcPr>
            <w:tcW w:type="dxa" w:w="5328"/>
            <w:vAlign w:val="top"/>
          </w:tcPr>
          <w:p>
            <w:pPr>
              <w:spacing w:after="0"/>
            </w:pPr>
            <w:r/>
            <w:r>
              <w:rPr>
                <w:b w:val="0"/>
              </w:rPr>
              <w:t>Map users, facilities, workflows, constraints, devices, connectivity, and regulatory/interoperability needs.</w:t>
            </w:r>
          </w:p>
        </w:tc>
        <w:tc>
          <w:tcPr>
            <w:tcW w:type="dxa" w:w="3168"/>
            <w:vAlign w:val="top"/>
          </w:tcPr>
          <w:p>
            <w:pPr>
              <w:spacing w:after="0"/>
            </w:pPr>
            <w:r/>
            <w:r>
              <w:rPr>
                <w:b w:val="0"/>
              </w:rPr>
              <w:t>User personas, workflow catalogue, risks, data dictionary, module inventory.</w:t>
            </w:r>
          </w:p>
        </w:tc>
      </w:tr>
      <w:tr>
        <w:tc>
          <w:tcPr>
            <w:tcW w:type="dxa" w:w="2304"/>
            <w:vAlign w:val="top"/>
          </w:tcPr>
          <w:p>
            <w:pPr>
              <w:spacing w:after="0"/>
            </w:pPr>
            <w:r/>
            <w:r>
              <w:rPr>
                <w:b w:val="0"/>
              </w:rPr>
              <w:t>Phase 2: Design foundation</w:t>
            </w:r>
          </w:p>
        </w:tc>
        <w:tc>
          <w:tcPr>
            <w:tcW w:type="dxa" w:w="5328"/>
            <w:vAlign w:val="top"/>
          </w:tcPr>
          <w:p>
            <w:pPr>
              <w:spacing w:after="0"/>
            </w:pPr>
            <w:r/>
            <w:r>
              <w:rPr>
                <w:b w:val="0"/>
              </w:rPr>
              <w:t>Create REDNOXX design principles, design tokens, component list, information architecture, and prototype templates.</w:t>
            </w:r>
          </w:p>
        </w:tc>
        <w:tc>
          <w:tcPr>
            <w:tcW w:type="dxa" w:w="3168"/>
            <w:vAlign w:val="top"/>
          </w:tcPr>
          <w:p>
            <w:pPr>
              <w:spacing w:after="0"/>
            </w:pPr>
            <w:r/>
            <w:r>
              <w:rPr>
                <w:b w:val="0"/>
              </w:rPr>
              <w:t>Figma library, component inventory, navigation model, page templates.</w:t>
            </w:r>
          </w:p>
        </w:tc>
      </w:tr>
      <w:tr>
        <w:tc>
          <w:tcPr>
            <w:tcW w:type="dxa" w:w="2304"/>
            <w:vAlign w:val="top"/>
          </w:tcPr>
          <w:p>
            <w:pPr>
              <w:spacing w:after="0"/>
            </w:pPr>
            <w:r/>
            <w:r>
              <w:rPr>
                <w:b w:val="0"/>
              </w:rPr>
              <w:t>Phase 3: HIM/registration pilot</w:t>
            </w:r>
          </w:p>
        </w:tc>
        <w:tc>
          <w:tcPr>
            <w:tcW w:type="dxa" w:w="5328"/>
            <w:vAlign w:val="top"/>
          </w:tcPr>
          <w:p>
            <w:pPr>
              <w:spacing w:after="0"/>
            </w:pPr>
            <w:r/>
            <w:r>
              <w:rPr>
                <w:b w:val="0"/>
              </w:rPr>
              <w:t>Apply the design system to patient search, registration, appointments, and queue workflows.</w:t>
            </w:r>
          </w:p>
        </w:tc>
        <w:tc>
          <w:tcPr>
            <w:tcW w:type="dxa" w:w="3168"/>
            <w:vAlign w:val="top"/>
          </w:tcPr>
          <w:p>
            <w:pPr>
              <w:spacing w:after="0"/>
            </w:pPr>
            <w:r/>
            <w:r>
              <w:rPr>
                <w:b w:val="0"/>
              </w:rPr>
              <w:t>Clickable prototype, usability test report, front-end components.</w:t>
            </w:r>
          </w:p>
        </w:tc>
      </w:tr>
      <w:tr>
        <w:tc>
          <w:tcPr>
            <w:tcW w:type="dxa" w:w="2304"/>
            <w:vAlign w:val="top"/>
          </w:tcPr>
          <w:p>
            <w:pPr>
              <w:spacing w:after="0"/>
            </w:pPr>
            <w:r/>
            <w:r>
              <w:rPr>
                <w:b w:val="0"/>
              </w:rPr>
              <w:t>Phase 4: Clinical workflows</w:t>
            </w:r>
          </w:p>
        </w:tc>
        <w:tc>
          <w:tcPr>
            <w:tcW w:type="dxa" w:w="5328"/>
            <w:vAlign w:val="top"/>
          </w:tcPr>
          <w:p>
            <w:pPr>
              <w:spacing w:after="0"/>
            </w:pPr>
            <w:r/>
            <w:r>
              <w:rPr>
                <w:b w:val="0"/>
              </w:rPr>
              <w:t>Extend to triage, consultation, orders, lab, pharmacy, results, and discharge.</w:t>
            </w:r>
          </w:p>
        </w:tc>
        <w:tc>
          <w:tcPr>
            <w:tcW w:type="dxa" w:w="3168"/>
            <w:vAlign w:val="top"/>
          </w:tcPr>
          <w:p>
            <w:pPr>
              <w:spacing w:after="0"/>
            </w:pPr>
            <w:r/>
            <w:r>
              <w:rPr>
                <w:b w:val="0"/>
              </w:rPr>
              <w:t>Clinical workspace designs, safety controls, FHIR/data mapping.</w:t>
            </w:r>
          </w:p>
        </w:tc>
      </w:tr>
      <w:tr>
        <w:tc>
          <w:tcPr>
            <w:tcW w:type="dxa" w:w="2304"/>
            <w:vAlign w:val="top"/>
          </w:tcPr>
          <w:p>
            <w:pPr>
              <w:spacing w:after="0"/>
            </w:pPr>
            <w:r/>
            <w:r>
              <w:rPr>
                <w:b w:val="0"/>
              </w:rPr>
              <w:t>Phase 5: Revenue and administration</w:t>
            </w:r>
          </w:p>
        </w:tc>
        <w:tc>
          <w:tcPr>
            <w:tcW w:type="dxa" w:w="5328"/>
            <w:vAlign w:val="top"/>
          </w:tcPr>
          <w:p>
            <w:pPr>
              <w:spacing w:after="0"/>
            </w:pPr>
            <w:r/>
            <w:r>
              <w:rPr>
                <w:b w:val="0"/>
              </w:rPr>
              <w:t>Apply patterns to billing, claims, reports, user management, facility setup, and audit.</w:t>
            </w:r>
          </w:p>
        </w:tc>
        <w:tc>
          <w:tcPr>
            <w:tcW w:type="dxa" w:w="3168"/>
            <w:vAlign w:val="top"/>
          </w:tcPr>
          <w:p>
            <w:pPr>
              <w:spacing w:after="0"/>
            </w:pPr>
            <w:r/>
            <w:r>
              <w:rPr>
                <w:b w:val="0"/>
              </w:rPr>
              <w:t>Admin templates, dashboard components, reporting patterns.</w:t>
            </w:r>
          </w:p>
        </w:tc>
      </w:tr>
      <w:tr>
        <w:tc>
          <w:tcPr>
            <w:tcW w:type="dxa" w:w="2304"/>
            <w:vAlign w:val="top"/>
          </w:tcPr>
          <w:p>
            <w:pPr>
              <w:spacing w:after="0"/>
            </w:pPr>
            <w:r/>
            <w:r>
              <w:rPr>
                <w:b w:val="0"/>
              </w:rPr>
              <w:t>Phase 6: Validation and rollout</w:t>
            </w:r>
          </w:p>
        </w:tc>
        <w:tc>
          <w:tcPr>
            <w:tcW w:type="dxa" w:w="5328"/>
            <w:vAlign w:val="top"/>
          </w:tcPr>
          <w:p>
            <w:pPr>
              <w:spacing w:after="0"/>
            </w:pPr>
            <w:r/>
            <w:r>
              <w:rPr>
                <w:b w:val="0"/>
              </w:rPr>
              <w:t>Run usability, accessibility, performance, security, and interoperability checks before pilot and scale-up.</w:t>
            </w:r>
          </w:p>
        </w:tc>
        <w:tc>
          <w:tcPr>
            <w:tcW w:type="dxa" w:w="3168"/>
            <w:vAlign w:val="top"/>
          </w:tcPr>
          <w:p>
            <w:pPr>
              <w:spacing w:after="0"/>
            </w:pPr>
            <w:r/>
            <w:r>
              <w:rPr>
                <w:b w:val="0"/>
              </w:rPr>
              <w:t>Release checklist, pilot report, remediation backlog, governance process.</w:t>
            </w:r>
          </w:p>
        </w:tc>
      </w:tr>
    </w:tbl>
    <w:p/>
    <w:p>
      <w:pPr>
        <w:pStyle w:val="Heading1"/>
      </w:pPr>
      <w:r>
        <w:t>11. Reference Matrix</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F4E79"/>
            <w:vAlign w:val="center"/>
          </w:tcPr>
          <w:p>
            <w:pPr>
              <w:spacing w:after="0"/>
            </w:pPr>
            <w:r/>
            <w:r>
              <w:rPr>
                <w:b/>
                <w:color w:val="FFFFFF"/>
              </w:rPr>
              <w:t>Reference</w:t>
            </w:r>
          </w:p>
        </w:tc>
        <w:tc>
          <w:tcPr>
            <w:tcW w:type="dxa" w:w="6336"/>
            <w:shd w:fill="1F4E79"/>
            <w:vAlign w:val="center"/>
          </w:tcPr>
          <w:p>
            <w:pPr>
              <w:spacing w:after="0"/>
            </w:pPr>
            <w:r/>
            <w:r>
              <w:rPr>
                <w:b/>
                <w:color w:val="FFFFFF"/>
              </w:rPr>
              <w:t>Best use in REDNOXX</w:t>
            </w:r>
          </w:p>
        </w:tc>
        <w:tc>
          <w:tcPr>
            <w:tcW w:type="dxa" w:w="1584"/>
            <w:shd w:fill="1F4E79"/>
            <w:vAlign w:val="center"/>
          </w:tcPr>
          <w:p>
            <w:pPr>
              <w:spacing w:after="0"/>
            </w:pPr>
            <w:r/>
            <w:r>
              <w:rPr>
                <w:b/>
                <w:color w:val="FFFFFF"/>
              </w:rPr>
              <w:t>Priority</w:t>
            </w:r>
          </w:p>
        </w:tc>
      </w:tr>
      <w:tr>
        <w:tc>
          <w:tcPr>
            <w:tcW w:type="dxa" w:w="2880"/>
            <w:vAlign w:val="top"/>
          </w:tcPr>
          <w:p>
            <w:pPr>
              <w:spacing w:after="0"/>
            </w:pPr>
            <w:r/>
            <w:r>
              <w:rPr>
                <w:b w:val="0"/>
              </w:rPr>
              <w:t>NIST GCR 15-996</w:t>
            </w:r>
          </w:p>
        </w:tc>
        <w:tc>
          <w:tcPr>
            <w:tcW w:type="dxa" w:w="6336"/>
            <w:vAlign w:val="top"/>
          </w:tcPr>
          <w:p>
            <w:pPr>
              <w:spacing w:after="0"/>
            </w:pPr>
            <w:r/>
            <w:r>
              <w:rPr>
                <w:b w:val="0"/>
              </w:rPr>
              <w:t>Clinical UI safety, human factors, usability engineering, validation.</w:t>
            </w:r>
          </w:p>
        </w:tc>
        <w:tc>
          <w:tcPr>
            <w:tcW w:type="dxa" w:w="1584"/>
            <w:vAlign w:val="top"/>
          </w:tcPr>
          <w:p>
            <w:pPr>
              <w:spacing w:after="0"/>
            </w:pPr>
            <w:r/>
            <w:r>
              <w:rPr>
                <w:b w:val="0"/>
              </w:rPr>
              <w:t>Very high</w:t>
            </w:r>
          </w:p>
        </w:tc>
      </w:tr>
      <w:tr>
        <w:tc>
          <w:tcPr>
            <w:tcW w:type="dxa" w:w="2880"/>
            <w:vAlign w:val="top"/>
          </w:tcPr>
          <w:p>
            <w:pPr>
              <w:spacing w:after="0"/>
            </w:pPr>
            <w:r/>
            <w:r>
              <w:rPr>
                <w:b w:val="0"/>
              </w:rPr>
              <w:t>HIMSS EMR usability principles</w:t>
            </w:r>
          </w:p>
        </w:tc>
        <w:tc>
          <w:tcPr>
            <w:tcW w:type="dxa" w:w="6336"/>
            <w:vAlign w:val="top"/>
          </w:tcPr>
          <w:p>
            <w:pPr>
              <w:spacing w:after="0"/>
            </w:pPr>
            <w:r/>
            <w:r>
              <w:rPr>
                <w:b w:val="0"/>
              </w:rPr>
              <w:t>Simple sprint-level design review checklist.</w:t>
            </w:r>
          </w:p>
        </w:tc>
        <w:tc>
          <w:tcPr>
            <w:tcW w:type="dxa" w:w="1584"/>
            <w:vAlign w:val="top"/>
          </w:tcPr>
          <w:p>
            <w:pPr>
              <w:spacing w:after="0"/>
            </w:pPr>
            <w:r/>
            <w:r>
              <w:rPr>
                <w:b w:val="0"/>
              </w:rPr>
              <w:t>Very high</w:t>
            </w:r>
          </w:p>
        </w:tc>
      </w:tr>
      <w:tr>
        <w:tc>
          <w:tcPr>
            <w:tcW w:type="dxa" w:w="2880"/>
            <w:vAlign w:val="top"/>
          </w:tcPr>
          <w:p>
            <w:pPr>
              <w:spacing w:after="0"/>
            </w:pPr>
            <w:r/>
            <w:r>
              <w:rPr>
                <w:b w:val="0"/>
              </w:rPr>
              <w:t>AHRQ/HIMSS EMR usability testing</w:t>
            </w:r>
          </w:p>
        </w:tc>
        <w:tc>
          <w:tcPr>
            <w:tcW w:type="dxa" w:w="6336"/>
            <w:vAlign w:val="top"/>
          </w:tcPr>
          <w:p>
            <w:pPr>
              <w:spacing w:after="0"/>
            </w:pPr>
            <w:r/>
            <w:r>
              <w:rPr>
                <w:b w:val="0"/>
              </w:rPr>
              <w:t>Usability test protocol and acceptance criteria.</w:t>
            </w:r>
          </w:p>
        </w:tc>
        <w:tc>
          <w:tcPr>
            <w:tcW w:type="dxa" w:w="1584"/>
            <w:vAlign w:val="top"/>
          </w:tcPr>
          <w:p>
            <w:pPr>
              <w:spacing w:after="0"/>
            </w:pPr>
            <w:r/>
            <w:r>
              <w:rPr>
                <w:b w:val="0"/>
              </w:rPr>
              <w:t>High</w:t>
            </w:r>
          </w:p>
        </w:tc>
      </w:tr>
      <w:tr>
        <w:tc>
          <w:tcPr>
            <w:tcW w:type="dxa" w:w="2880"/>
            <w:vAlign w:val="top"/>
          </w:tcPr>
          <w:p>
            <w:pPr>
              <w:spacing w:after="0"/>
            </w:pPr>
            <w:r/>
            <w:r>
              <w:rPr>
                <w:b w:val="0"/>
              </w:rPr>
              <w:t>NHS Design System</w:t>
            </w:r>
          </w:p>
        </w:tc>
        <w:tc>
          <w:tcPr>
            <w:tcW w:type="dxa" w:w="6336"/>
            <w:vAlign w:val="top"/>
          </w:tcPr>
          <w:p>
            <w:pPr>
              <w:spacing w:after="0"/>
            </w:pPr>
            <w:r/>
            <w:r>
              <w:rPr>
                <w:b w:val="0"/>
              </w:rPr>
              <w:t>Reusable web components, content patterns, accessibility implementation.</w:t>
            </w:r>
          </w:p>
        </w:tc>
        <w:tc>
          <w:tcPr>
            <w:tcW w:type="dxa" w:w="1584"/>
            <w:vAlign w:val="top"/>
          </w:tcPr>
          <w:p>
            <w:pPr>
              <w:spacing w:after="0"/>
            </w:pPr>
            <w:r/>
            <w:r>
              <w:rPr>
                <w:b w:val="0"/>
              </w:rPr>
              <w:t>High</w:t>
            </w:r>
          </w:p>
        </w:tc>
      </w:tr>
      <w:tr>
        <w:tc>
          <w:tcPr>
            <w:tcW w:type="dxa" w:w="2880"/>
            <w:vAlign w:val="top"/>
          </w:tcPr>
          <w:p>
            <w:pPr>
              <w:spacing w:after="0"/>
            </w:pPr>
            <w:r/>
            <w:r>
              <w:rPr>
                <w:b w:val="0"/>
              </w:rPr>
              <w:t>WCAG 2.2</w:t>
            </w:r>
          </w:p>
        </w:tc>
        <w:tc>
          <w:tcPr>
            <w:tcW w:type="dxa" w:w="6336"/>
            <w:vAlign w:val="top"/>
          </w:tcPr>
          <w:p>
            <w:pPr>
              <w:spacing w:after="0"/>
            </w:pPr>
            <w:r/>
            <w:r>
              <w:rPr>
                <w:b w:val="0"/>
              </w:rPr>
              <w:t>Accessibility requirements and QA gate.</w:t>
            </w:r>
          </w:p>
        </w:tc>
        <w:tc>
          <w:tcPr>
            <w:tcW w:type="dxa" w:w="1584"/>
            <w:vAlign w:val="top"/>
          </w:tcPr>
          <w:p>
            <w:pPr>
              <w:spacing w:after="0"/>
            </w:pPr>
            <w:r/>
            <w:r>
              <w:rPr>
                <w:b w:val="0"/>
              </w:rPr>
              <w:t>Very high</w:t>
            </w:r>
          </w:p>
        </w:tc>
      </w:tr>
      <w:tr>
        <w:tc>
          <w:tcPr>
            <w:tcW w:type="dxa" w:w="2880"/>
            <w:vAlign w:val="top"/>
          </w:tcPr>
          <w:p>
            <w:pPr>
              <w:spacing w:after="0"/>
            </w:pPr>
            <w:r/>
            <w:r>
              <w:rPr>
                <w:b w:val="0"/>
              </w:rPr>
              <w:t>ISO 9241-210</w:t>
            </w:r>
          </w:p>
        </w:tc>
        <w:tc>
          <w:tcPr>
            <w:tcW w:type="dxa" w:w="6336"/>
            <w:vAlign w:val="top"/>
          </w:tcPr>
          <w:p>
            <w:pPr>
              <w:spacing w:after="0"/>
            </w:pPr>
            <w:r/>
            <w:r>
              <w:rPr>
                <w:b w:val="0"/>
              </w:rPr>
              <w:t>Human-centered design governance and traceability.</w:t>
            </w:r>
          </w:p>
        </w:tc>
        <w:tc>
          <w:tcPr>
            <w:tcW w:type="dxa" w:w="1584"/>
            <w:vAlign w:val="top"/>
          </w:tcPr>
          <w:p>
            <w:pPr>
              <w:spacing w:after="0"/>
            </w:pPr>
            <w:r/>
            <w:r>
              <w:rPr>
                <w:b w:val="0"/>
              </w:rPr>
              <w:t>High</w:t>
            </w:r>
          </w:p>
        </w:tc>
      </w:tr>
      <w:tr>
        <w:tc>
          <w:tcPr>
            <w:tcW w:type="dxa" w:w="2880"/>
            <w:vAlign w:val="top"/>
          </w:tcPr>
          <w:p>
            <w:pPr>
              <w:spacing w:after="0"/>
            </w:pPr>
            <w:r/>
            <w:r>
              <w:rPr>
                <w:b w:val="0"/>
              </w:rPr>
              <w:t>OpenMRS 3/O3</w:t>
            </w:r>
          </w:p>
        </w:tc>
        <w:tc>
          <w:tcPr>
            <w:tcW w:type="dxa" w:w="6336"/>
            <w:vAlign w:val="top"/>
          </w:tcPr>
          <w:p>
            <w:pPr>
              <w:spacing w:after="0"/>
            </w:pPr>
            <w:r/>
            <w:r>
              <w:rPr>
                <w:b w:val="0"/>
              </w:rPr>
              <w:t>Healthcare EMR design-system benchmark and modular front-end lessons.</w:t>
            </w:r>
          </w:p>
        </w:tc>
        <w:tc>
          <w:tcPr>
            <w:tcW w:type="dxa" w:w="1584"/>
            <w:vAlign w:val="top"/>
          </w:tcPr>
          <w:p>
            <w:pPr>
              <w:spacing w:after="0"/>
            </w:pPr>
            <w:r/>
            <w:r>
              <w:rPr>
                <w:b w:val="0"/>
              </w:rPr>
              <w:t>Medium-high</w:t>
            </w:r>
          </w:p>
        </w:tc>
      </w:tr>
      <w:tr>
        <w:tc>
          <w:tcPr>
            <w:tcW w:type="dxa" w:w="2880"/>
            <w:vAlign w:val="top"/>
          </w:tcPr>
          <w:p>
            <w:pPr>
              <w:spacing w:after="0"/>
            </w:pPr>
            <w:r/>
            <w:r>
              <w:rPr>
                <w:b w:val="0"/>
              </w:rPr>
              <w:t>HL7 FHIR</w:t>
            </w:r>
          </w:p>
        </w:tc>
        <w:tc>
          <w:tcPr>
            <w:tcW w:type="dxa" w:w="6336"/>
            <w:vAlign w:val="top"/>
          </w:tcPr>
          <w:p>
            <w:pPr>
              <w:spacing w:after="0"/>
            </w:pPr>
            <w:r/>
            <w:r>
              <w:rPr>
                <w:b w:val="0"/>
              </w:rPr>
              <w:t>Interoperable data representation and API-aligned UI fields.</w:t>
            </w:r>
          </w:p>
        </w:tc>
        <w:tc>
          <w:tcPr>
            <w:tcW w:type="dxa" w:w="1584"/>
            <w:vAlign w:val="top"/>
          </w:tcPr>
          <w:p>
            <w:pPr>
              <w:spacing w:after="0"/>
            </w:pPr>
            <w:r/>
            <w:r>
              <w:rPr>
                <w:b w:val="0"/>
              </w:rPr>
              <w:t>Very high</w:t>
            </w:r>
          </w:p>
        </w:tc>
      </w:tr>
      <w:tr>
        <w:tc>
          <w:tcPr>
            <w:tcW w:type="dxa" w:w="2880"/>
            <w:vAlign w:val="top"/>
          </w:tcPr>
          <w:p>
            <w:pPr>
              <w:spacing w:after="0"/>
            </w:pPr>
            <w:r/>
            <w:r>
              <w:rPr>
                <w:b w:val="0"/>
              </w:rPr>
              <w:t>Nigeria Core FHIR IG</w:t>
            </w:r>
          </w:p>
        </w:tc>
        <w:tc>
          <w:tcPr>
            <w:tcW w:type="dxa" w:w="6336"/>
            <w:vAlign w:val="top"/>
          </w:tcPr>
          <w:p>
            <w:pPr>
              <w:spacing w:after="0"/>
            </w:pPr>
            <w:r/>
            <w:r>
              <w:rPr>
                <w:b w:val="0"/>
              </w:rPr>
              <w:t>Nigeria-specific FHIR profiles, values, security/privacy, actors, operations.</w:t>
            </w:r>
          </w:p>
        </w:tc>
        <w:tc>
          <w:tcPr>
            <w:tcW w:type="dxa" w:w="1584"/>
            <w:vAlign w:val="top"/>
          </w:tcPr>
          <w:p>
            <w:pPr>
              <w:spacing w:after="0"/>
            </w:pPr>
            <w:r/>
            <w:r>
              <w:rPr>
                <w:b w:val="0"/>
              </w:rPr>
              <w:t>Very high</w:t>
            </w:r>
          </w:p>
        </w:tc>
      </w:tr>
      <w:tr>
        <w:tc>
          <w:tcPr>
            <w:tcW w:type="dxa" w:w="2880"/>
            <w:vAlign w:val="top"/>
          </w:tcPr>
          <w:p>
            <w:pPr>
              <w:spacing w:after="0"/>
            </w:pPr>
            <w:r/>
            <w:r>
              <w:rPr>
                <w:b w:val="0"/>
              </w:rPr>
              <w:t>NDHI architecture</w:t>
            </w:r>
          </w:p>
        </w:tc>
        <w:tc>
          <w:tcPr>
            <w:tcW w:type="dxa" w:w="6336"/>
            <w:vAlign w:val="top"/>
          </w:tcPr>
          <w:p>
            <w:pPr>
              <w:spacing w:after="0"/>
            </w:pPr>
            <w:r/>
            <w:r>
              <w:rPr>
                <w:b w:val="0"/>
              </w:rPr>
              <w:t>National digital-health alignment, shared ecosystem, HIE readiness.</w:t>
            </w:r>
          </w:p>
        </w:tc>
        <w:tc>
          <w:tcPr>
            <w:tcW w:type="dxa" w:w="1584"/>
            <w:vAlign w:val="top"/>
          </w:tcPr>
          <w:p>
            <w:pPr>
              <w:spacing w:after="0"/>
            </w:pPr>
            <w:r/>
            <w:r>
              <w:rPr>
                <w:b w:val="0"/>
              </w:rPr>
              <w:t>Very high</w:t>
            </w:r>
          </w:p>
        </w:tc>
      </w:tr>
    </w:tbl>
    <w:p/>
    <w:p>
      <w:pPr>
        <w:pStyle w:val="Heading1"/>
      </w:pPr>
      <w:r>
        <w:t>12. References</w:t>
      </w:r>
    </w:p>
    <w:p>
      <w:pPr>
        <w:ind w:left="360" w:hanging="360"/>
      </w:pPr>
      <w:r>
        <w:t xml:space="preserve">Agency for Healthcare Research and Quality. (2009). Defining and testing EMR usability: Principles and proposed methods of EMR usability evaluation and rating. </w:t>
      </w:r>
      <w:hyperlink r:id="rId13">
        <w:r>
          <w:rPr>
            <w:color w:val="0563C1"/>
            <w:u w:val="single"/>
          </w:rPr>
          <w:t>https://digital.ahrq.gov/health-it-tools-and-resources/health-it-bibliography/usability/defining-and-testing-emr-usability</w:t>
        </w:r>
      </w:hyperlink>
    </w:p>
    <w:p>
      <w:pPr>
        <w:ind w:left="360" w:hanging="360"/>
      </w:pPr>
      <w:r>
        <w:t xml:space="preserve">Healthcare Information and Management Systems Society. (2015). Nine essential principles of software usability for EMRs. </w:t>
      </w:r>
      <w:hyperlink r:id="rId12">
        <w:r>
          <w:rPr>
            <w:color w:val="0563C1"/>
            <w:u w:val="single"/>
          </w:rPr>
          <w:t>https://newengland.himss.org/resources/nine-essential-principles-software-usability-emrs</w:t>
        </w:r>
      </w:hyperlink>
    </w:p>
    <w:p>
      <w:pPr>
        <w:ind w:left="360" w:hanging="360"/>
      </w:pPr>
      <w:r>
        <w:t xml:space="preserve">HL7 FHIR Foundation. (n.d.). Welcome to the HL7 FHIR Foundation. </w:t>
      </w:r>
      <w:hyperlink r:id="rId18">
        <w:r>
          <w:rPr>
            <w:color w:val="0563C1"/>
            <w:u w:val="single"/>
          </w:rPr>
          <w:t>https://www.fhir.org/</w:t>
        </w:r>
      </w:hyperlink>
    </w:p>
    <w:p>
      <w:pPr>
        <w:ind w:left="360" w:hanging="360"/>
      </w:pPr>
      <w:r>
        <w:t xml:space="preserve">International Organization for Standardization. (2019). ISO 9241-210:2019 Ergonomics of human-system interaction - Part 210: Human-centred design for interactive systems. </w:t>
      </w:r>
      <w:hyperlink r:id="rId16">
        <w:r>
          <w:rPr>
            <w:color w:val="0563C1"/>
            <w:u w:val="single"/>
          </w:rPr>
          <w:t>https://www.iso.org/standard/77520.html</w:t>
        </w:r>
      </w:hyperlink>
    </w:p>
    <w:p>
      <w:pPr>
        <w:ind w:left="360" w:hanging="360"/>
      </w:pPr>
      <w:r>
        <w:t xml:space="preserve">National Institute of Standards and Technology. (2015). Technical basis for user interface design of health IT (NIST GCR 15-996). </w:t>
      </w:r>
      <w:hyperlink r:id="rId11">
        <w:r>
          <w:rPr>
            <w:color w:val="0563C1"/>
            <w:u w:val="single"/>
          </w:rPr>
          <w:t>https://www.nist.gov/publications/technical-basis-user-interface-design-health-it</w:t>
        </w:r>
      </w:hyperlink>
    </w:p>
    <w:p>
      <w:pPr>
        <w:ind w:left="360" w:hanging="360"/>
      </w:pPr>
      <w:r>
        <w:t xml:space="preserve">NHS England. (n.d.). NHS digital service manual: Design system. </w:t>
      </w:r>
      <w:hyperlink r:id="rId14">
        <w:r>
          <w:rPr>
            <w:color w:val="0563C1"/>
            <w:u w:val="single"/>
          </w:rPr>
          <w:t>https://service-manual.nhs.uk/design-system</w:t>
        </w:r>
      </w:hyperlink>
    </w:p>
    <w:p>
      <w:pPr>
        <w:ind w:left="360" w:hanging="360"/>
      </w:pPr>
      <w:r>
        <w:t xml:space="preserve">Nigeria Digital in Health Initiative. (n.d.). Relevant documents. </w:t>
      </w:r>
      <w:hyperlink r:id="rId20">
        <w:r>
          <w:rPr>
            <w:color w:val="0563C1"/>
            <w:u w:val="single"/>
          </w:rPr>
          <w:t>https://www.digitalhealth.gov.ng/relevant-documents</w:t>
        </w:r>
      </w:hyperlink>
    </w:p>
    <w:p>
      <w:pPr>
        <w:ind w:left="360" w:hanging="360"/>
      </w:pPr>
      <w:r>
        <w:t xml:space="preserve">Nigeria Digital in Health Initiative. (2026). Nigeria Core - FHIR Implementation Guide v0.0.0 continuous build. </w:t>
      </w:r>
      <w:hyperlink r:id="rId19">
        <w:r>
          <w:rPr>
            <w:color w:val="0563C1"/>
            <w:u w:val="single"/>
          </w:rPr>
          <w:t>https://build.fhir.org/ig/digitalhealth-gov-ng/Nigeria-Core/branches/main/</w:t>
        </w:r>
      </w:hyperlink>
    </w:p>
    <w:p>
      <w:pPr>
        <w:ind w:left="360" w:hanging="360"/>
      </w:pPr>
      <w:r>
        <w:t xml:space="preserve">OpenMRS. (n.d.). The O3 Design System and UI Tools. </w:t>
      </w:r>
      <w:hyperlink r:id="rId17">
        <w:r>
          <w:rPr>
            <w:color w:val="0563C1"/>
            <w:u w:val="single"/>
          </w:rPr>
          <w:t>https://openmrs.org/courses/intro-to-openmrs-3-2/lessons/the-o3-design-system-and-ui-tools-2/</w:t>
        </w:r>
      </w:hyperlink>
    </w:p>
    <w:p>
      <w:pPr>
        <w:ind w:left="360" w:hanging="360"/>
      </w:pPr>
      <w:r>
        <w:t xml:space="preserve">World Wide Web Consortium. (2023). Web Content Accessibility Guidelines (WCAG) 2.2. </w:t>
      </w:r>
      <w:hyperlink r:id="rId15">
        <w:r>
          <w:rPr>
            <w:color w:val="0563C1"/>
            <w:u w:val="single"/>
          </w:rPr>
          <w:t>https://www.w3.org/TR/WCAG22/</w:t>
        </w:r>
      </w:hyperlink>
    </w:p>
    <w:p>
      <w:r>
        <w:br w:type="page"/>
      </w:r>
    </w:p>
    <w:p>
      <w:pPr>
        <w:pStyle w:val="Heading1"/>
      </w:pPr>
      <w:r>
        <w:t>Appendix A: REDNOXX Screen Review Checklist</w:t>
      </w:r>
    </w:p>
    <w:p>
      <w:r>
        <w:t>☐ Is the current patient clearly visible on all clinical screens?</w:t>
      </w:r>
    </w:p>
    <w:p>
      <w:r>
        <w:t>☐ Can the user complete the main workflow without unnecessary navigation?</w:t>
      </w:r>
    </w:p>
    <w:p>
      <w:r>
        <w:t>☐ Are fields labelled clearly and mapped to the data dictionary/FHIR profile where applicable?</w:t>
      </w:r>
    </w:p>
    <w:p>
      <w:r>
        <w:t>☐ Are errors displayed inline and summarized for long forms?</w:t>
      </w:r>
    </w:p>
    <w:p>
      <w:r>
        <w:t>☐ Can the screen be used with keyboard only?</w:t>
      </w:r>
    </w:p>
    <w:p>
      <w:r>
        <w:t>☐ Does the screen meet contrast and target-size expectations?</w:t>
      </w:r>
    </w:p>
    <w:p>
      <w:r>
        <w:t>☐ Are high-risk actions confirmed and audited?</w:t>
      </w:r>
    </w:p>
    <w:p>
      <w:r>
        <w:t>☐ Does the UI prevent wrong-patient, duplicate-patient, wrong-medication, wrong-order, and wrong-billing errors?</w:t>
      </w:r>
    </w:p>
    <w:p>
      <w:r>
        <w:t>☐ Are loading, saving, failed-sync, and empty states clear?</w:t>
      </w:r>
    </w:p>
    <w:p>
      <w:r>
        <w:t>☐ Has the workflow been tested with representative Nigerian facility users?</w:t>
      </w:r>
    </w:p>
    <w:p>
      <w:pPr>
        <w:pStyle w:val="Heading1"/>
      </w:pPr>
      <w:r>
        <w:t>Appendix B: Suggested REDNOXX Front-End Definition of Done</w:t>
      </w:r>
    </w:p>
    <w:p>
      <w:r>
        <w:t>☐ Component uses approved design-system tokens and patterns.</w:t>
      </w:r>
    </w:p>
    <w:p>
      <w:r>
        <w:t>☐ Responsive layout works on desktop, tablet, and common facility screen sizes.</w:t>
      </w:r>
    </w:p>
    <w:p>
      <w:r>
        <w:t>☐ Unit tests cover field validation and critical UI state transitions.</w:t>
      </w:r>
    </w:p>
    <w:p>
      <w:r>
        <w:t>☐ Accessibility tests pass and manual keyboard test is completed.</w:t>
      </w:r>
    </w:p>
    <w:p>
      <w:r>
        <w:t>☐ Clinical safety controls are implemented for high-risk actions.</w:t>
      </w:r>
    </w:p>
    <w:p>
      <w:r>
        <w:t>☐ All labels, error messages, empty states, and help text are reviewed.</w:t>
      </w:r>
    </w:p>
    <w:p>
      <w:r>
        <w:t>☐ API/data contract maps to the approved REDNOXX data dictionary and FHIR mapping where relevant.</w:t>
      </w:r>
    </w:p>
    <w:p>
      <w:r>
        <w:t>☐ Screen is included in usability testing or justified as low-risk.</w:t>
      </w:r>
    </w:p>
    <w:p>
      <w:r>
        <w:t>☐ Audit events are emitted for create, update, void/cancel, merge, approve/sign, bill, dispense, export, and admin actions where applicable.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for REDNOXX Project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REDNOXX HIM/EHR UI/UX and Front-End Design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st.gov/publications/technical-basis-user-interface-design-health-it" TargetMode="External"/><Relationship Id="rId12" Type="http://schemas.openxmlformats.org/officeDocument/2006/relationships/hyperlink" Target="https://newengland.himss.org/resources/nine-essential-principles-software-usability-emrs" TargetMode="External"/><Relationship Id="rId13" Type="http://schemas.openxmlformats.org/officeDocument/2006/relationships/hyperlink" Target="https://digital.ahrq.gov/health-it-tools-and-resources/health-it-bibliography/usability/defining-and-testing-emr-usability" TargetMode="External"/><Relationship Id="rId14" Type="http://schemas.openxmlformats.org/officeDocument/2006/relationships/hyperlink" Target="https://service-manual.nhs.uk/design-system" TargetMode="External"/><Relationship Id="rId15" Type="http://schemas.openxmlformats.org/officeDocument/2006/relationships/hyperlink" Target="https://www.w3.org/TR/WCAG22/" TargetMode="External"/><Relationship Id="rId16" Type="http://schemas.openxmlformats.org/officeDocument/2006/relationships/hyperlink" Target="https://www.iso.org/standard/77520.html" TargetMode="External"/><Relationship Id="rId17" Type="http://schemas.openxmlformats.org/officeDocument/2006/relationships/hyperlink" Target="https://openmrs.org/courses/intro-to-openmrs-3-2/lessons/the-o3-design-system-and-ui-tools-2/" TargetMode="External"/><Relationship Id="rId18" Type="http://schemas.openxmlformats.org/officeDocument/2006/relationships/hyperlink" Target="https://www.fhir.org/" TargetMode="External"/><Relationship Id="rId19" Type="http://schemas.openxmlformats.org/officeDocument/2006/relationships/hyperlink" Target="https://build.fhir.org/ig/digitalhealth-gov-ng/Nigeria-Core/branches/main/" TargetMode="External"/><Relationship Id="rId20" Type="http://schemas.openxmlformats.org/officeDocument/2006/relationships/hyperlink" Target="https://www.digitalhealth.gov.ng/relevant-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