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Training Programs Landscape – Analytical Summary</w:t>
      </w:r>
    </w:p>
    <w:p>
      <w:r>
        <w:t>Generated (UTC): 2026-03-05 05:44:59</w:t>
      </w:r>
    </w:p>
    <w:p>
      <w:pPr>
        <w:pStyle w:val="Heading2"/>
      </w:pPr>
      <w:r>
        <w:t>Dataset Overview</w:t>
      </w:r>
    </w:p>
    <w:p>
      <w:r>
        <w:t>The dataset contains 70 identified programs that provide training in basic AI usage. 41 programs explicitly market to teachers, while 45 are aligned with educational audiences. 40 programs offer certificates or badges, and 63 focus primarily on baseline AI literacy or introductory proficiency.</w:t>
      </w:r>
    </w:p>
    <w:p>
      <w:pPr>
        <w:pStyle w:val="Heading2"/>
      </w:pPr>
      <w:r>
        <w:t>Interpretation</w:t>
      </w:r>
    </w:p>
    <w:p>
      <w:r>
        <w:t>Across the dataset, most teacher-focused training initiatives emphasize operational usage of generative AI tools (prompting, lesson creation, workflow automation) rather than technical machine-learning development. Responsible AI, privacy, and policy considerations appear frequently in educator-focused programs. Vendor ecosystems and nonprofit education organizations are the dominant providers of these introductory training initiatives.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