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B4C8" w14:textId="05E3D51E" w:rsidR="00D1010D" w:rsidRDefault="00D442FF" w:rsidP="00D442FF">
      <w:pPr>
        <w:jc w:val="center"/>
        <w:rPr>
          <w:b/>
          <w:sz w:val="32"/>
          <w:szCs w:val="32"/>
          <w:u w:val="single"/>
        </w:rPr>
      </w:pPr>
      <w:r w:rsidRPr="00D442FF">
        <w:rPr>
          <w:b/>
          <w:sz w:val="32"/>
          <w:szCs w:val="32"/>
          <w:u w:val="single"/>
        </w:rPr>
        <w:t>Midterm on Final Grades</w:t>
      </w:r>
    </w:p>
    <w:p w14:paraId="437CAA45" w14:textId="2858E6BF" w:rsidR="00D442FF" w:rsidRPr="00830D63" w:rsidRDefault="00D442FF" w:rsidP="00D442FF">
      <w:pPr>
        <w:jc w:val="center"/>
        <w:rPr>
          <w:b/>
          <w:sz w:val="18"/>
          <w:szCs w:val="18"/>
          <w:u w:val="single"/>
        </w:rPr>
      </w:pPr>
    </w:p>
    <w:p w14:paraId="49F14530" w14:textId="56115050" w:rsidR="00D442FF" w:rsidRPr="00971011" w:rsidRDefault="00D442FF" w:rsidP="00D442FF">
      <w:pPr>
        <w:rPr>
          <w:rFonts w:cstheme="minorHAnsi"/>
          <w:sz w:val="22"/>
          <w:szCs w:val="22"/>
          <w:u w:val="single"/>
        </w:rPr>
      </w:pPr>
      <w:r w:rsidRPr="00971011">
        <w:rPr>
          <w:rFonts w:cstheme="minorHAnsi"/>
          <w:sz w:val="22"/>
          <w:szCs w:val="22"/>
          <w:u w:val="single"/>
        </w:rPr>
        <w:t>Overview:</w:t>
      </w:r>
    </w:p>
    <w:p w14:paraId="0273AEF4" w14:textId="3AEB16F1" w:rsidR="00FA187A" w:rsidRPr="00971011" w:rsidRDefault="3145E285" w:rsidP="3145E285">
      <w:pPr>
        <w:rPr>
          <w:sz w:val="22"/>
          <w:szCs w:val="22"/>
        </w:rPr>
      </w:pPr>
      <w:r w:rsidRPr="3145E285">
        <w:rPr>
          <w:sz w:val="22"/>
          <w:szCs w:val="22"/>
        </w:rPr>
        <w:t xml:space="preserve">This analysis aims to explain the connection between, and predict final grades, based on students’ midterm grades. This analysis was performed on 18,204 observations of first year business students course grades going back to the 2014-2015 academic year. Other variables considered were a student’s ethnicity, their semester credit total, total credits entering the university, standardized test scores, and course level. There were two ways final grade performance was measured, first whether the student dropped or not and second if their final grade was better or worse than their midterm grade. </w:t>
      </w:r>
    </w:p>
    <w:p w14:paraId="1620B85F" w14:textId="1C1B6250" w:rsidR="00FA187A" w:rsidRPr="006756BA" w:rsidRDefault="00FA187A" w:rsidP="00D442FF">
      <w:pPr>
        <w:rPr>
          <w:rFonts w:cstheme="minorHAnsi"/>
          <w:sz w:val="20"/>
          <w:szCs w:val="20"/>
        </w:rPr>
      </w:pPr>
    </w:p>
    <w:p w14:paraId="4AC467D9" w14:textId="000676E6" w:rsidR="00FA187A" w:rsidRPr="00971011" w:rsidRDefault="3145E285" w:rsidP="00D442FF">
      <w:pPr>
        <w:rPr>
          <w:rFonts w:cstheme="minorHAnsi"/>
          <w:sz w:val="22"/>
          <w:szCs w:val="22"/>
          <w:u w:val="single"/>
        </w:rPr>
      </w:pPr>
      <w:r w:rsidRPr="3145E285">
        <w:rPr>
          <w:sz w:val="22"/>
          <w:szCs w:val="22"/>
          <w:u w:val="single"/>
        </w:rPr>
        <w:t>Key insights:</w:t>
      </w:r>
    </w:p>
    <w:p w14:paraId="0DAAB852" w14:textId="12CFDC6F" w:rsidR="3145E285" w:rsidRDefault="3145E285" w:rsidP="3145E285">
      <w:pPr>
        <w:pStyle w:val="ListParagraph"/>
        <w:numPr>
          <w:ilvl w:val="0"/>
          <w:numId w:val="2"/>
        </w:numPr>
        <w:rPr>
          <w:sz w:val="22"/>
          <w:szCs w:val="22"/>
        </w:rPr>
      </w:pPr>
      <w:r w:rsidRPr="3145E285">
        <w:rPr>
          <w:sz w:val="22"/>
          <w:szCs w:val="22"/>
        </w:rPr>
        <w:t>As expected, there is a high positive correlation between student’s midterm grade and their final grade with a coefficient of 0.719 grade points.</w:t>
      </w:r>
    </w:p>
    <w:p w14:paraId="2D2BED98" w14:textId="3D0F1273" w:rsidR="003869C2" w:rsidRPr="00971011" w:rsidRDefault="3145E285" w:rsidP="3145E285">
      <w:pPr>
        <w:pStyle w:val="ListParagraph"/>
        <w:numPr>
          <w:ilvl w:val="0"/>
          <w:numId w:val="2"/>
        </w:numPr>
        <w:rPr>
          <w:sz w:val="22"/>
          <w:szCs w:val="22"/>
        </w:rPr>
      </w:pPr>
      <w:r w:rsidRPr="3145E285">
        <w:rPr>
          <w:sz w:val="22"/>
          <w:szCs w:val="22"/>
        </w:rPr>
        <w:t>For the logistic regression models predicting drop/not and doing better/worse in a course, the independent variables are correlated with students’ final grades, but they do not explain much of the variability in what leads a student to drop or perform worse.</w:t>
      </w:r>
    </w:p>
    <w:p w14:paraId="510776F8" w14:textId="33CABB61" w:rsidR="007B0616" w:rsidRDefault="3145E285" w:rsidP="3145E285">
      <w:pPr>
        <w:pStyle w:val="ListParagraph"/>
        <w:numPr>
          <w:ilvl w:val="0"/>
          <w:numId w:val="2"/>
        </w:numPr>
        <w:rPr>
          <w:sz w:val="22"/>
          <w:szCs w:val="22"/>
        </w:rPr>
      </w:pPr>
      <w:r w:rsidRPr="3145E285">
        <w:rPr>
          <w:sz w:val="22"/>
          <w:szCs w:val="22"/>
        </w:rPr>
        <w:t>The only other notable correlation</w:t>
      </w:r>
      <w:r w:rsidR="00762616">
        <w:rPr>
          <w:sz w:val="22"/>
          <w:szCs w:val="22"/>
        </w:rPr>
        <w:t xml:space="preserve">s </w:t>
      </w:r>
      <w:r w:rsidRPr="3145E285">
        <w:rPr>
          <w:sz w:val="22"/>
          <w:szCs w:val="22"/>
        </w:rPr>
        <w:t xml:space="preserve">amongst other variables </w:t>
      </w:r>
      <w:r w:rsidR="00762616">
        <w:rPr>
          <w:sz w:val="22"/>
          <w:szCs w:val="22"/>
        </w:rPr>
        <w:t>are with</w:t>
      </w:r>
      <w:r w:rsidRPr="3145E285">
        <w:rPr>
          <w:sz w:val="22"/>
          <w:szCs w:val="22"/>
        </w:rPr>
        <w:t xml:space="preserve"> students’ math standardized test score </w:t>
      </w:r>
      <w:r w:rsidR="00762616">
        <w:rPr>
          <w:sz w:val="22"/>
          <w:szCs w:val="22"/>
        </w:rPr>
        <w:t xml:space="preserve">(0.21 </w:t>
      </w:r>
      <w:r w:rsidR="00762616">
        <w:rPr>
          <w:sz w:val="22"/>
          <w:szCs w:val="22"/>
        </w:rPr>
        <w:t>coefficient</w:t>
      </w:r>
      <w:r w:rsidR="00762616">
        <w:rPr>
          <w:sz w:val="22"/>
          <w:szCs w:val="22"/>
        </w:rPr>
        <w:t>) and</w:t>
      </w:r>
      <w:r w:rsidRPr="3145E285">
        <w:rPr>
          <w:sz w:val="22"/>
          <w:szCs w:val="22"/>
        </w:rPr>
        <w:t xml:space="preserve"> number of credits they have when entering the university</w:t>
      </w:r>
      <w:r w:rsidR="00762616">
        <w:rPr>
          <w:sz w:val="22"/>
          <w:szCs w:val="22"/>
        </w:rPr>
        <w:t xml:space="preserve"> (0.22 coefficient), both positive. </w:t>
      </w:r>
    </w:p>
    <w:p w14:paraId="5750B183" w14:textId="28A3AC53" w:rsidR="00AE6099" w:rsidRPr="00971011" w:rsidRDefault="0043014F" w:rsidP="00034491">
      <w:pPr>
        <w:pStyle w:val="ListParagraph"/>
        <w:numPr>
          <w:ilvl w:val="0"/>
          <w:numId w:val="2"/>
        </w:numPr>
        <w:rPr>
          <w:rFonts w:cstheme="minorHAnsi"/>
          <w:sz w:val="22"/>
          <w:szCs w:val="22"/>
        </w:rPr>
      </w:pPr>
      <w:r>
        <w:rPr>
          <w:rFonts w:cstheme="minorHAnsi"/>
          <w:sz w:val="22"/>
          <w:szCs w:val="22"/>
        </w:rPr>
        <w:t xml:space="preserve">Of students with </w:t>
      </w:r>
      <w:r w:rsidR="00830D63">
        <w:rPr>
          <w:rFonts w:cstheme="minorHAnsi"/>
          <w:sz w:val="22"/>
          <w:szCs w:val="22"/>
        </w:rPr>
        <w:t>m</w:t>
      </w:r>
      <w:r w:rsidR="007448A1">
        <w:rPr>
          <w:rFonts w:cstheme="minorHAnsi"/>
          <w:sz w:val="22"/>
          <w:szCs w:val="22"/>
        </w:rPr>
        <w:t>idterm grades lower than a BC,</w:t>
      </w:r>
      <w:r w:rsidR="00830D63">
        <w:rPr>
          <w:rFonts w:cstheme="minorHAnsi"/>
          <w:sz w:val="22"/>
          <w:szCs w:val="22"/>
        </w:rPr>
        <w:t xml:space="preserve"> 26.5% of them end with a C, while only %0.037 students end with an A. </w:t>
      </w:r>
    </w:p>
    <w:p w14:paraId="16DDDBEF" w14:textId="509ED8EB" w:rsidR="007B0616" w:rsidRPr="006756BA" w:rsidRDefault="007B0616" w:rsidP="00034491">
      <w:pPr>
        <w:rPr>
          <w:rFonts w:cstheme="minorHAnsi"/>
          <w:sz w:val="16"/>
          <w:szCs w:val="16"/>
        </w:rPr>
      </w:pPr>
    </w:p>
    <w:p w14:paraId="1538206B" w14:textId="34759388" w:rsidR="002F7965" w:rsidRDefault="3145E285" w:rsidP="3145E285">
      <w:pPr>
        <w:rPr>
          <w:noProof/>
          <w:sz w:val="22"/>
          <w:szCs w:val="22"/>
        </w:rPr>
      </w:pPr>
      <w:r w:rsidRPr="3145E285">
        <w:rPr>
          <w:noProof/>
          <w:sz w:val="22"/>
          <w:szCs w:val="22"/>
        </w:rPr>
        <w:t>The data was heavily imbalenced in each case as seen below. There are small numbers of students who drop and perform worse which lead to the binary logistic regression models having bias towards the highly populated category.</w:t>
      </w:r>
    </w:p>
    <w:p w14:paraId="2FC0F28B" w14:textId="41D7F754" w:rsidR="00EE4F6D" w:rsidRPr="00971011" w:rsidRDefault="002F7965" w:rsidP="00034491">
      <w:pPr>
        <w:rPr>
          <w:rFonts w:cstheme="minorHAnsi"/>
          <w:noProof/>
          <w:sz w:val="22"/>
          <w:szCs w:val="22"/>
        </w:rPr>
      </w:pPr>
      <w:r>
        <w:rPr>
          <w:rFonts w:cstheme="minorHAnsi"/>
          <w:noProof/>
          <w:sz w:val="22"/>
          <w:szCs w:val="22"/>
        </w:rPr>
        <w:drawing>
          <wp:anchor distT="0" distB="0" distL="114300" distR="114300" simplePos="0" relativeHeight="251665408" behindDoc="0" locked="0" layoutInCell="1" allowOverlap="1" wp14:anchorId="21560A9F" wp14:editId="25BE7E3C">
            <wp:simplePos x="0" y="0"/>
            <wp:positionH relativeFrom="margin">
              <wp:posOffset>3183147</wp:posOffset>
            </wp:positionH>
            <wp:positionV relativeFrom="paragraph">
              <wp:posOffset>18498</wp:posOffset>
            </wp:positionV>
            <wp:extent cx="1951355" cy="1388853"/>
            <wp:effectExtent l="0" t="0" r="0" b="1905"/>
            <wp:wrapNone/>
            <wp:docPr id="7659691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2535" b="26334"/>
                    <a:stretch/>
                  </pic:blipFill>
                  <pic:spPr bwMode="auto">
                    <a:xfrm>
                      <a:off x="0" y="0"/>
                      <a:ext cx="1952627" cy="13897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21437" w:rsidRPr="00971011">
        <w:rPr>
          <w:rFonts w:cstheme="minorHAnsi"/>
          <w:noProof/>
          <w:sz w:val="22"/>
          <w:szCs w:val="22"/>
        </w:rPr>
        <w:drawing>
          <wp:anchor distT="0" distB="0" distL="114300" distR="114300" simplePos="0" relativeHeight="251661312" behindDoc="0" locked="0" layoutInCell="1" allowOverlap="1" wp14:anchorId="2718C52A" wp14:editId="1B19FF07">
            <wp:simplePos x="0" y="0"/>
            <wp:positionH relativeFrom="margin">
              <wp:posOffset>942976</wp:posOffset>
            </wp:positionH>
            <wp:positionV relativeFrom="paragraph">
              <wp:posOffset>27305</wp:posOffset>
            </wp:positionV>
            <wp:extent cx="2109470" cy="1667762"/>
            <wp:effectExtent l="0" t="0" r="508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425" t="6483" r="6775"/>
                    <a:stretch/>
                  </pic:blipFill>
                  <pic:spPr bwMode="auto">
                    <a:xfrm>
                      <a:off x="0" y="0"/>
                      <a:ext cx="2112951" cy="167051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6F106E" w14:textId="540CD8A4" w:rsidR="00034491" w:rsidRPr="00971011" w:rsidRDefault="00034491" w:rsidP="00034491">
      <w:pPr>
        <w:rPr>
          <w:rFonts w:cstheme="minorHAnsi"/>
          <w:sz w:val="22"/>
          <w:szCs w:val="22"/>
        </w:rPr>
      </w:pPr>
    </w:p>
    <w:p w14:paraId="7AA0A413" w14:textId="6B37A376" w:rsidR="00034491" w:rsidRPr="00971011" w:rsidRDefault="00034491" w:rsidP="00034491">
      <w:pPr>
        <w:rPr>
          <w:rFonts w:cstheme="minorHAnsi"/>
          <w:sz w:val="22"/>
          <w:szCs w:val="22"/>
        </w:rPr>
      </w:pPr>
    </w:p>
    <w:p w14:paraId="0A041734" w14:textId="43F09796" w:rsidR="007B0616" w:rsidRPr="00971011" w:rsidRDefault="007B0616" w:rsidP="00034491">
      <w:pPr>
        <w:rPr>
          <w:rFonts w:cstheme="minorHAnsi"/>
          <w:noProof/>
          <w:sz w:val="22"/>
          <w:szCs w:val="22"/>
        </w:rPr>
      </w:pPr>
    </w:p>
    <w:p w14:paraId="048B9599" w14:textId="5017F1B7" w:rsidR="00034491" w:rsidRPr="00971011" w:rsidRDefault="00034491" w:rsidP="00034491">
      <w:pPr>
        <w:rPr>
          <w:rFonts w:cstheme="minorHAnsi"/>
          <w:sz w:val="22"/>
          <w:szCs w:val="22"/>
        </w:rPr>
      </w:pPr>
    </w:p>
    <w:p w14:paraId="04810151" w14:textId="44530899" w:rsidR="00A45B39" w:rsidRPr="00971011" w:rsidRDefault="00A45B39" w:rsidP="00034491">
      <w:pPr>
        <w:rPr>
          <w:rFonts w:cstheme="minorHAnsi"/>
          <w:sz w:val="22"/>
          <w:szCs w:val="22"/>
        </w:rPr>
      </w:pPr>
    </w:p>
    <w:p w14:paraId="26429626" w14:textId="601D4118" w:rsidR="00A45B39" w:rsidRPr="00971011" w:rsidRDefault="00A45B39" w:rsidP="00034491">
      <w:pPr>
        <w:rPr>
          <w:rFonts w:cstheme="minorHAnsi"/>
          <w:sz w:val="22"/>
          <w:szCs w:val="22"/>
        </w:rPr>
      </w:pPr>
    </w:p>
    <w:p w14:paraId="49EF45A3" w14:textId="7255EF36" w:rsidR="00A45B39" w:rsidRPr="00971011" w:rsidRDefault="00A45B39" w:rsidP="00034491">
      <w:pPr>
        <w:rPr>
          <w:rFonts w:cstheme="minorHAnsi"/>
          <w:sz w:val="22"/>
          <w:szCs w:val="22"/>
        </w:rPr>
      </w:pPr>
    </w:p>
    <w:p w14:paraId="2E1FE0B1" w14:textId="41115A47" w:rsidR="00A45B39" w:rsidRPr="00971011" w:rsidRDefault="002F7965" w:rsidP="00034491">
      <w:pPr>
        <w:rPr>
          <w:rFonts w:cstheme="minorHAnsi"/>
          <w:sz w:val="22"/>
          <w:szCs w:val="22"/>
        </w:rPr>
      </w:pPr>
      <w:r>
        <w:rPr>
          <w:rFonts w:cstheme="minorHAnsi"/>
          <w:noProof/>
          <w:sz w:val="22"/>
          <w:szCs w:val="22"/>
        </w:rPr>
        <w:drawing>
          <wp:anchor distT="0" distB="0" distL="114300" distR="114300" simplePos="0" relativeHeight="251666432" behindDoc="0" locked="0" layoutInCell="1" allowOverlap="1" wp14:anchorId="2565486A" wp14:editId="4210F980">
            <wp:simplePos x="0" y="0"/>
            <wp:positionH relativeFrom="margin">
              <wp:posOffset>3183147</wp:posOffset>
            </wp:positionH>
            <wp:positionV relativeFrom="paragraph">
              <wp:posOffset>72678</wp:posOffset>
            </wp:positionV>
            <wp:extent cx="1951355" cy="1941065"/>
            <wp:effectExtent l="0" t="0" r="0" b="2540"/>
            <wp:wrapNone/>
            <wp:docPr id="6988620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9084" cy="19487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899880" w14:textId="1679AA7C" w:rsidR="00D21B16" w:rsidRDefault="00051C77" w:rsidP="00034491">
      <w:pPr>
        <w:rPr>
          <w:rFonts w:cstheme="minorHAnsi"/>
          <w:sz w:val="22"/>
          <w:szCs w:val="22"/>
        </w:rPr>
      </w:pPr>
      <w:r w:rsidRPr="00971011">
        <w:rPr>
          <w:rFonts w:cstheme="minorHAnsi"/>
          <w:noProof/>
          <w:sz w:val="22"/>
          <w:szCs w:val="22"/>
        </w:rPr>
        <w:drawing>
          <wp:anchor distT="0" distB="0" distL="114300" distR="114300" simplePos="0" relativeHeight="251662336" behindDoc="0" locked="0" layoutInCell="1" allowOverlap="1" wp14:anchorId="71C8F28A" wp14:editId="7CA6B1F2">
            <wp:simplePos x="0" y="0"/>
            <wp:positionH relativeFrom="column">
              <wp:posOffset>937260</wp:posOffset>
            </wp:positionH>
            <wp:positionV relativeFrom="paragraph">
              <wp:posOffset>177800</wp:posOffset>
            </wp:positionV>
            <wp:extent cx="2105025" cy="1647825"/>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804" t="5305" r="6927" b="589"/>
                    <a:stretch/>
                  </pic:blipFill>
                  <pic:spPr bwMode="auto">
                    <a:xfrm>
                      <a:off x="0" y="0"/>
                      <a:ext cx="2105025" cy="1647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4FC53C" w14:textId="5FE95BF5" w:rsidR="00D21B16" w:rsidRPr="00971011" w:rsidRDefault="00D21B16" w:rsidP="00034491">
      <w:pPr>
        <w:rPr>
          <w:rFonts w:cstheme="minorHAnsi"/>
          <w:sz w:val="22"/>
          <w:szCs w:val="22"/>
        </w:rPr>
      </w:pPr>
    </w:p>
    <w:p w14:paraId="4EDC083B" w14:textId="77777777" w:rsidR="00121437" w:rsidRDefault="00121437" w:rsidP="00034491">
      <w:pPr>
        <w:rPr>
          <w:rFonts w:cstheme="minorHAnsi"/>
          <w:sz w:val="22"/>
          <w:szCs w:val="22"/>
        </w:rPr>
      </w:pPr>
    </w:p>
    <w:p w14:paraId="7F1F81A4" w14:textId="77777777" w:rsidR="00121437" w:rsidRDefault="00121437" w:rsidP="00034491">
      <w:pPr>
        <w:rPr>
          <w:rFonts w:cstheme="minorHAnsi"/>
          <w:sz w:val="22"/>
          <w:szCs w:val="22"/>
        </w:rPr>
      </w:pPr>
    </w:p>
    <w:p w14:paraId="5C4EDDD2" w14:textId="77777777" w:rsidR="00121437" w:rsidRDefault="00121437" w:rsidP="00034491">
      <w:pPr>
        <w:rPr>
          <w:rFonts w:cstheme="minorHAnsi"/>
          <w:sz w:val="22"/>
          <w:szCs w:val="22"/>
        </w:rPr>
      </w:pPr>
    </w:p>
    <w:p w14:paraId="2ACFFA60" w14:textId="77777777" w:rsidR="002F7965" w:rsidRDefault="002F7965" w:rsidP="00034491">
      <w:pPr>
        <w:rPr>
          <w:rFonts w:cstheme="minorHAnsi"/>
          <w:sz w:val="22"/>
          <w:szCs w:val="22"/>
        </w:rPr>
      </w:pPr>
    </w:p>
    <w:p w14:paraId="46084846" w14:textId="77777777" w:rsidR="00971011" w:rsidRDefault="00971011" w:rsidP="00034491">
      <w:pPr>
        <w:rPr>
          <w:rFonts w:cstheme="minorHAnsi"/>
          <w:sz w:val="22"/>
          <w:szCs w:val="22"/>
        </w:rPr>
      </w:pPr>
    </w:p>
    <w:p w14:paraId="7F6B345E" w14:textId="77777777" w:rsidR="00121437" w:rsidRDefault="00121437" w:rsidP="00034491">
      <w:pPr>
        <w:rPr>
          <w:rFonts w:cstheme="minorHAnsi"/>
          <w:sz w:val="22"/>
          <w:szCs w:val="22"/>
        </w:rPr>
      </w:pPr>
    </w:p>
    <w:p w14:paraId="73B72F1C" w14:textId="77777777" w:rsidR="00121437" w:rsidRDefault="00121437" w:rsidP="00034491">
      <w:pPr>
        <w:rPr>
          <w:rFonts w:cstheme="minorHAnsi"/>
          <w:sz w:val="22"/>
          <w:szCs w:val="22"/>
        </w:rPr>
      </w:pPr>
    </w:p>
    <w:p w14:paraId="2036EA46" w14:textId="77777777" w:rsidR="00121437" w:rsidRDefault="00121437" w:rsidP="00034491">
      <w:pPr>
        <w:rPr>
          <w:rFonts w:cstheme="minorHAnsi"/>
          <w:sz w:val="22"/>
          <w:szCs w:val="22"/>
        </w:rPr>
      </w:pPr>
    </w:p>
    <w:p w14:paraId="24F480BA" w14:textId="77777777" w:rsidR="00121437" w:rsidRDefault="00121437" w:rsidP="00034491">
      <w:pPr>
        <w:rPr>
          <w:rFonts w:cstheme="minorHAnsi"/>
          <w:sz w:val="22"/>
          <w:szCs w:val="22"/>
        </w:rPr>
      </w:pPr>
    </w:p>
    <w:p w14:paraId="1C594377" w14:textId="6B05583B" w:rsidR="00895ABB" w:rsidRPr="00971011" w:rsidRDefault="00121437" w:rsidP="00034491">
      <w:pPr>
        <w:rPr>
          <w:rFonts w:cstheme="minorHAnsi"/>
          <w:sz w:val="22"/>
          <w:szCs w:val="22"/>
        </w:rPr>
      </w:pPr>
      <w:r w:rsidRPr="00971011">
        <w:rPr>
          <w:rFonts w:cstheme="minorHAnsi"/>
          <w:noProof/>
          <w:sz w:val="22"/>
          <w:szCs w:val="22"/>
        </w:rPr>
        <w:drawing>
          <wp:anchor distT="0" distB="0" distL="114300" distR="114300" simplePos="0" relativeHeight="251660288" behindDoc="0" locked="0" layoutInCell="1" allowOverlap="1" wp14:anchorId="4C009F55" wp14:editId="3F4BEF11">
            <wp:simplePos x="0" y="0"/>
            <wp:positionH relativeFrom="margin">
              <wp:posOffset>1829575</wp:posOffset>
            </wp:positionH>
            <wp:positionV relativeFrom="paragraph">
              <wp:posOffset>407670</wp:posOffset>
            </wp:positionV>
            <wp:extent cx="2469515" cy="1765854"/>
            <wp:effectExtent l="0" t="0" r="6985"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9515" cy="17658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5C40" w:rsidRPr="00971011">
        <w:rPr>
          <w:rFonts w:cstheme="minorHAnsi"/>
          <w:sz w:val="22"/>
          <w:szCs w:val="22"/>
        </w:rPr>
        <w:t>The low accuracy due to the unbalanced data can also be seen in the following ROC curve for predicting Better or Worse final grades. The dotted line signifies classifying randomly</w:t>
      </w:r>
      <w:r w:rsidR="00971011" w:rsidRPr="00971011">
        <w:rPr>
          <w:rFonts w:cstheme="minorHAnsi"/>
          <w:sz w:val="22"/>
          <w:szCs w:val="22"/>
        </w:rPr>
        <w:t xml:space="preserve">, while the blue line is how well the model predicts true positives and true negatives. </w:t>
      </w:r>
    </w:p>
    <w:p w14:paraId="24691B02" w14:textId="2CEBBED9" w:rsidR="00895ABB" w:rsidRPr="00971011" w:rsidRDefault="00895ABB" w:rsidP="00034491">
      <w:pPr>
        <w:rPr>
          <w:rFonts w:cstheme="minorHAnsi"/>
          <w:sz w:val="22"/>
          <w:szCs w:val="22"/>
        </w:rPr>
      </w:pPr>
    </w:p>
    <w:p w14:paraId="31E3C852" w14:textId="0A88CABC" w:rsidR="00895ABB" w:rsidRPr="00971011" w:rsidRDefault="00895ABB" w:rsidP="00034491">
      <w:pPr>
        <w:rPr>
          <w:rFonts w:cstheme="minorHAnsi"/>
          <w:sz w:val="22"/>
          <w:szCs w:val="22"/>
        </w:rPr>
      </w:pPr>
    </w:p>
    <w:p w14:paraId="3CD632B6" w14:textId="0616EE34" w:rsidR="00895ABB" w:rsidRPr="00971011" w:rsidRDefault="00895ABB" w:rsidP="00034491">
      <w:pPr>
        <w:rPr>
          <w:rFonts w:cstheme="minorHAnsi"/>
          <w:sz w:val="22"/>
          <w:szCs w:val="22"/>
        </w:rPr>
      </w:pPr>
    </w:p>
    <w:p w14:paraId="240E3B50" w14:textId="0D470998" w:rsidR="00895ABB" w:rsidRPr="00971011" w:rsidRDefault="00895ABB" w:rsidP="00034491">
      <w:pPr>
        <w:rPr>
          <w:rFonts w:cstheme="minorHAnsi"/>
          <w:sz w:val="22"/>
          <w:szCs w:val="22"/>
        </w:rPr>
      </w:pPr>
    </w:p>
    <w:p w14:paraId="772DA090" w14:textId="294D4F6F" w:rsidR="00895ABB" w:rsidRPr="00971011" w:rsidRDefault="00895ABB" w:rsidP="00034491">
      <w:pPr>
        <w:rPr>
          <w:rFonts w:cstheme="minorHAnsi"/>
          <w:sz w:val="22"/>
          <w:szCs w:val="22"/>
        </w:rPr>
      </w:pPr>
    </w:p>
    <w:p w14:paraId="4F0EEA12" w14:textId="77777777" w:rsidR="00121437" w:rsidRDefault="00121437" w:rsidP="00121437">
      <w:pPr>
        <w:rPr>
          <w:rFonts w:cstheme="minorHAnsi"/>
          <w:sz w:val="22"/>
          <w:szCs w:val="22"/>
        </w:rPr>
      </w:pPr>
    </w:p>
    <w:p w14:paraId="2C08BB83" w14:textId="4716C1A0" w:rsidR="00121437" w:rsidRPr="00971011" w:rsidRDefault="00121437" w:rsidP="00121437">
      <w:pPr>
        <w:rPr>
          <w:rFonts w:cstheme="minorHAnsi"/>
          <w:sz w:val="22"/>
          <w:szCs w:val="22"/>
        </w:rPr>
      </w:pPr>
      <w:r w:rsidRPr="00971011">
        <w:rPr>
          <w:rFonts w:cstheme="minorHAnsi"/>
          <w:sz w:val="22"/>
          <w:szCs w:val="22"/>
        </w:rPr>
        <w:lastRenderedPageBreak/>
        <w:t>When running a logistic model to predict whether a student’s final grade is better or worse than their midterm grade using all parameters except semester total credits, it overly predicts a student to do better</w:t>
      </w:r>
      <w:r>
        <w:rPr>
          <w:rFonts w:cstheme="minorHAnsi"/>
          <w:sz w:val="22"/>
          <w:szCs w:val="22"/>
        </w:rPr>
        <w:t xml:space="preserve">. This is because of how many observations are of students doing better in our dataset. The cross table of this </w:t>
      </w:r>
      <w:proofErr w:type="gramStart"/>
      <w:r>
        <w:rPr>
          <w:rFonts w:cstheme="minorHAnsi"/>
          <w:sz w:val="22"/>
          <w:szCs w:val="22"/>
        </w:rPr>
        <w:t>particular model’s</w:t>
      </w:r>
      <w:proofErr w:type="gramEnd"/>
      <w:r>
        <w:rPr>
          <w:rFonts w:cstheme="minorHAnsi"/>
          <w:sz w:val="22"/>
          <w:szCs w:val="22"/>
        </w:rPr>
        <w:t xml:space="preserve"> predictions:</w:t>
      </w:r>
    </w:p>
    <w:tbl>
      <w:tblPr>
        <w:tblStyle w:val="TableGrid"/>
        <w:tblW w:w="0" w:type="auto"/>
        <w:tblInd w:w="1706" w:type="dxa"/>
        <w:tblLook w:val="04A0" w:firstRow="1" w:lastRow="0" w:firstColumn="1" w:lastColumn="0" w:noHBand="0" w:noVBand="1"/>
      </w:tblPr>
      <w:tblGrid>
        <w:gridCol w:w="2515"/>
        <w:gridCol w:w="2790"/>
        <w:gridCol w:w="2070"/>
      </w:tblGrid>
      <w:tr w:rsidR="00121437" w:rsidRPr="00971011" w14:paraId="5E0DF6CA" w14:textId="77777777" w:rsidTr="00D92BFF">
        <w:tc>
          <w:tcPr>
            <w:tcW w:w="2515" w:type="dxa"/>
          </w:tcPr>
          <w:p w14:paraId="660E5B4B" w14:textId="77777777" w:rsidR="00121437" w:rsidRPr="00971011" w:rsidRDefault="00121437" w:rsidP="00D92BFF">
            <w:pPr>
              <w:rPr>
                <w:rFonts w:cstheme="minorHAnsi"/>
                <w:sz w:val="22"/>
                <w:szCs w:val="22"/>
              </w:rPr>
            </w:pPr>
          </w:p>
        </w:tc>
        <w:tc>
          <w:tcPr>
            <w:tcW w:w="2790" w:type="dxa"/>
            <w:shd w:val="clear" w:color="auto" w:fill="D9D9D9" w:themeFill="background1" w:themeFillShade="D9"/>
          </w:tcPr>
          <w:p w14:paraId="4FD129C2" w14:textId="77777777" w:rsidR="00121437" w:rsidRPr="00971011" w:rsidRDefault="00121437" w:rsidP="00D92BFF">
            <w:pPr>
              <w:rPr>
                <w:rFonts w:cstheme="minorHAnsi"/>
                <w:sz w:val="22"/>
                <w:szCs w:val="22"/>
              </w:rPr>
            </w:pPr>
            <w:r w:rsidRPr="00971011">
              <w:rPr>
                <w:rFonts w:cstheme="minorHAnsi"/>
                <w:sz w:val="22"/>
                <w:szCs w:val="22"/>
              </w:rPr>
              <w:t>Predicted Worse</w:t>
            </w:r>
          </w:p>
        </w:tc>
        <w:tc>
          <w:tcPr>
            <w:tcW w:w="2070" w:type="dxa"/>
            <w:shd w:val="clear" w:color="auto" w:fill="D9D9D9" w:themeFill="background1" w:themeFillShade="D9"/>
          </w:tcPr>
          <w:p w14:paraId="263BC554" w14:textId="77777777" w:rsidR="00121437" w:rsidRPr="00971011" w:rsidRDefault="00121437" w:rsidP="00D92BFF">
            <w:pPr>
              <w:rPr>
                <w:rFonts w:cstheme="minorHAnsi"/>
                <w:sz w:val="22"/>
                <w:szCs w:val="22"/>
              </w:rPr>
            </w:pPr>
            <w:r w:rsidRPr="00971011">
              <w:rPr>
                <w:rFonts w:cstheme="minorHAnsi"/>
                <w:sz w:val="22"/>
                <w:szCs w:val="22"/>
              </w:rPr>
              <w:t>Predicted Better</w:t>
            </w:r>
          </w:p>
        </w:tc>
      </w:tr>
      <w:tr w:rsidR="00121437" w:rsidRPr="00971011" w14:paraId="469867F6" w14:textId="77777777" w:rsidTr="00D92BFF">
        <w:tc>
          <w:tcPr>
            <w:tcW w:w="2515" w:type="dxa"/>
            <w:shd w:val="clear" w:color="auto" w:fill="D9D9D9" w:themeFill="background1" w:themeFillShade="D9"/>
          </w:tcPr>
          <w:p w14:paraId="58C183F7" w14:textId="77777777" w:rsidR="00121437" w:rsidRPr="00971011" w:rsidRDefault="00121437" w:rsidP="00D92BFF">
            <w:pPr>
              <w:rPr>
                <w:rFonts w:cstheme="minorHAnsi"/>
                <w:sz w:val="22"/>
                <w:szCs w:val="22"/>
              </w:rPr>
            </w:pPr>
            <w:r w:rsidRPr="00971011">
              <w:rPr>
                <w:rFonts w:cstheme="minorHAnsi"/>
                <w:sz w:val="22"/>
                <w:szCs w:val="22"/>
              </w:rPr>
              <w:t>True Worse</w:t>
            </w:r>
          </w:p>
        </w:tc>
        <w:tc>
          <w:tcPr>
            <w:tcW w:w="2790" w:type="dxa"/>
          </w:tcPr>
          <w:p w14:paraId="12F079BE" w14:textId="77777777" w:rsidR="00121437" w:rsidRPr="00971011" w:rsidRDefault="00121437" w:rsidP="00D92BFF">
            <w:pPr>
              <w:rPr>
                <w:rFonts w:cstheme="minorHAnsi"/>
                <w:sz w:val="22"/>
                <w:szCs w:val="22"/>
              </w:rPr>
            </w:pPr>
            <w:r w:rsidRPr="00971011">
              <w:rPr>
                <w:rFonts w:cstheme="minorHAnsi"/>
                <w:sz w:val="22"/>
                <w:szCs w:val="22"/>
              </w:rPr>
              <w:t>0</w:t>
            </w:r>
          </w:p>
        </w:tc>
        <w:tc>
          <w:tcPr>
            <w:tcW w:w="2070" w:type="dxa"/>
          </w:tcPr>
          <w:p w14:paraId="2E7B2DCA" w14:textId="77777777" w:rsidR="00121437" w:rsidRPr="00971011" w:rsidRDefault="00121437" w:rsidP="00D92BFF">
            <w:pPr>
              <w:rPr>
                <w:rFonts w:cstheme="minorHAnsi"/>
                <w:sz w:val="22"/>
                <w:szCs w:val="22"/>
              </w:rPr>
            </w:pPr>
            <w:r w:rsidRPr="00971011">
              <w:rPr>
                <w:rFonts w:cstheme="minorHAnsi"/>
                <w:sz w:val="22"/>
                <w:szCs w:val="22"/>
              </w:rPr>
              <w:t>1876</w:t>
            </w:r>
          </w:p>
        </w:tc>
      </w:tr>
      <w:tr w:rsidR="00121437" w:rsidRPr="00971011" w14:paraId="7876D528" w14:textId="77777777" w:rsidTr="00D92BFF">
        <w:tc>
          <w:tcPr>
            <w:tcW w:w="2515" w:type="dxa"/>
            <w:shd w:val="clear" w:color="auto" w:fill="D9D9D9" w:themeFill="background1" w:themeFillShade="D9"/>
          </w:tcPr>
          <w:p w14:paraId="5FD93071" w14:textId="77777777" w:rsidR="00121437" w:rsidRPr="00971011" w:rsidRDefault="00121437" w:rsidP="00D92BFF">
            <w:pPr>
              <w:rPr>
                <w:rFonts w:cstheme="minorHAnsi"/>
                <w:sz w:val="22"/>
                <w:szCs w:val="22"/>
              </w:rPr>
            </w:pPr>
            <w:r w:rsidRPr="00971011">
              <w:rPr>
                <w:rFonts w:cstheme="minorHAnsi"/>
                <w:sz w:val="22"/>
                <w:szCs w:val="22"/>
              </w:rPr>
              <w:t>True Better</w:t>
            </w:r>
          </w:p>
        </w:tc>
        <w:tc>
          <w:tcPr>
            <w:tcW w:w="2790" w:type="dxa"/>
          </w:tcPr>
          <w:p w14:paraId="2A24445B" w14:textId="77777777" w:rsidR="00121437" w:rsidRPr="00971011" w:rsidRDefault="00121437" w:rsidP="00D92BFF">
            <w:pPr>
              <w:rPr>
                <w:rFonts w:cstheme="minorHAnsi"/>
                <w:sz w:val="22"/>
                <w:szCs w:val="22"/>
              </w:rPr>
            </w:pPr>
            <w:r w:rsidRPr="00971011">
              <w:rPr>
                <w:rFonts w:cstheme="minorHAnsi"/>
                <w:sz w:val="22"/>
                <w:szCs w:val="22"/>
              </w:rPr>
              <w:t>0</w:t>
            </w:r>
          </w:p>
        </w:tc>
        <w:tc>
          <w:tcPr>
            <w:tcW w:w="2070" w:type="dxa"/>
          </w:tcPr>
          <w:p w14:paraId="4C5F20B6" w14:textId="77777777" w:rsidR="00121437" w:rsidRPr="00971011" w:rsidRDefault="00121437" w:rsidP="00D92BFF">
            <w:pPr>
              <w:rPr>
                <w:rFonts w:cstheme="minorHAnsi"/>
                <w:sz w:val="22"/>
                <w:szCs w:val="22"/>
              </w:rPr>
            </w:pPr>
            <w:r w:rsidRPr="00971011">
              <w:rPr>
                <w:rFonts w:cstheme="minorHAnsi"/>
                <w:sz w:val="22"/>
                <w:szCs w:val="22"/>
              </w:rPr>
              <w:t>10,989</w:t>
            </w:r>
          </w:p>
        </w:tc>
      </w:tr>
    </w:tbl>
    <w:p w14:paraId="08CFEECC" w14:textId="77777777" w:rsidR="00121437" w:rsidRDefault="00121437" w:rsidP="00034491">
      <w:pPr>
        <w:rPr>
          <w:rFonts w:cstheme="minorHAnsi"/>
          <w:sz w:val="22"/>
          <w:szCs w:val="22"/>
        </w:rPr>
      </w:pPr>
    </w:p>
    <w:p w14:paraId="55B6D926" w14:textId="3C7765A4" w:rsidR="00272150" w:rsidRDefault="3145E285" w:rsidP="3145E285">
      <w:pPr>
        <w:rPr>
          <w:sz w:val="22"/>
          <w:szCs w:val="22"/>
        </w:rPr>
      </w:pPr>
      <w:r w:rsidRPr="3145E285">
        <w:rPr>
          <w:sz w:val="22"/>
          <w:szCs w:val="22"/>
        </w:rPr>
        <w:t xml:space="preserve">We ran many logistic model variations, with different parameter combinations and methods to balance the data but there was not enough </w:t>
      </w:r>
      <w:proofErr w:type="spellStart"/>
      <w:r w:rsidRPr="3145E285">
        <w:rPr>
          <w:sz w:val="22"/>
          <w:szCs w:val="22"/>
        </w:rPr>
        <w:t>explainability</w:t>
      </w:r>
      <w:proofErr w:type="spellEnd"/>
      <w:r w:rsidRPr="3145E285">
        <w:rPr>
          <w:sz w:val="22"/>
          <w:szCs w:val="22"/>
        </w:rPr>
        <w:t xml:space="preserve"> from the data to create an accurate model to predict whether a student drops/stays in a course or if they receive a better vs. worse final grade. While the models did not explain the data very well, midterm grades and incoming test credits were still statistically significant in predicting student performance.</w:t>
      </w:r>
    </w:p>
    <w:p w14:paraId="66228A03" w14:textId="77777777" w:rsidR="002F7965" w:rsidRPr="00971011" w:rsidRDefault="002F7965" w:rsidP="00034491">
      <w:pPr>
        <w:rPr>
          <w:rFonts w:cstheme="minorHAnsi"/>
          <w:sz w:val="22"/>
          <w:szCs w:val="22"/>
        </w:rPr>
      </w:pPr>
    </w:p>
    <w:p w14:paraId="53860380" w14:textId="7C708E5F" w:rsidR="004C152B" w:rsidRPr="00971011" w:rsidRDefault="3145E285" w:rsidP="3145E285">
      <w:pPr>
        <w:rPr>
          <w:sz w:val="22"/>
          <w:szCs w:val="22"/>
        </w:rPr>
      </w:pPr>
      <w:r w:rsidRPr="3145E285">
        <w:rPr>
          <w:sz w:val="22"/>
          <w:szCs w:val="22"/>
        </w:rPr>
        <w:t>When running a linear regression model on all observations predicting final grades, we saw higher variance explained than the logistic models. The table below provides the regression coefficients for the variables effect on the students predicted final grade.</w:t>
      </w:r>
    </w:p>
    <w:tbl>
      <w:tblPr>
        <w:tblStyle w:val="TableGrid"/>
        <w:tblW w:w="0" w:type="auto"/>
        <w:tblLook w:val="04A0" w:firstRow="1" w:lastRow="0" w:firstColumn="1" w:lastColumn="0" w:noHBand="0" w:noVBand="1"/>
      </w:tblPr>
      <w:tblGrid>
        <w:gridCol w:w="5395"/>
        <w:gridCol w:w="5395"/>
      </w:tblGrid>
      <w:tr w:rsidR="004C152B" w:rsidRPr="00971011" w14:paraId="67CFD603" w14:textId="77777777" w:rsidTr="00770F4B">
        <w:tc>
          <w:tcPr>
            <w:tcW w:w="5395" w:type="dxa"/>
            <w:shd w:val="clear" w:color="auto" w:fill="D9D9D9" w:themeFill="background1" w:themeFillShade="D9"/>
          </w:tcPr>
          <w:p w14:paraId="613DE1FC" w14:textId="206BA8D7" w:rsidR="004C152B" w:rsidRPr="00971011" w:rsidRDefault="00770F4B" w:rsidP="00034491">
            <w:pPr>
              <w:rPr>
                <w:rFonts w:cstheme="minorHAnsi"/>
                <w:sz w:val="22"/>
                <w:szCs w:val="22"/>
              </w:rPr>
            </w:pPr>
            <w:r w:rsidRPr="00971011">
              <w:rPr>
                <w:rFonts w:cstheme="minorHAnsi"/>
                <w:sz w:val="22"/>
                <w:szCs w:val="22"/>
              </w:rPr>
              <w:t>Variable</w:t>
            </w:r>
          </w:p>
        </w:tc>
        <w:tc>
          <w:tcPr>
            <w:tcW w:w="5395" w:type="dxa"/>
            <w:shd w:val="clear" w:color="auto" w:fill="D9D9D9" w:themeFill="background1" w:themeFillShade="D9"/>
          </w:tcPr>
          <w:p w14:paraId="1E135C7C" w14:textId="686EFFC3" w:rsidR="004C152B" w:rsidRPr="00971011" w:rsidRDefault="00770F4B" w:rsidP="00034491">
            <w:pPr>
              <w:rPr>
                <w:rFonts w:cstheme="minorHAnsi"/>
                <w:sz w:val="22"/>
                <w:szCs w:val="22"/>
              </w:rPr>
            </w:pPr>
            <w:r w:rsidRPr="00971011">
              <w:rPr>
                <w:rFonts w:cstheme="minorHAnsi"/>
                <w:sz w:val="22"/>
                <w:szCs w:val="22"/>
              </w:rPr>
              <w:t>Coefficient</w:t>
            </w:r>
          </w:p>
        </w:tc>
      </w:tr>
      <w:tr w:rsidR="004C152B" w:rsidRPr="00971011" w14:paraId="76F67CDA" w14:textId="77777777" w:rsidTr="004C152B">
        <w:tc>
          <w:tcPr>
            <w:tcW w:w="5395" w:type="dxa"/>
          </w:tcPr>
          <w:p w14:paraId="2B52308B" w14:textId="157CD41C" w:rsidR="004C152B" w:rsidRPr="00971011" w:rsidRDefault="004C152B" w:rsidP="00034491">
            <w:pPr>
              <w:rPr>
                <w:rFonts w:cstheme="minorHAnsi"/>
                <w:sz w:val="22"/>
                <w:szCs w:val="22"/>
              </w:rPr>
            </w:pPr>
            <w:r w:rsidRPr="00971011">
              <w:rPr>
                <w:rFonts w:cstheme="minorHAnsi"/>
                <w:sz w:val="22"/>
                <w:szCs w:val="22"/>
              </w:rPr>
              <w:t>Midterm Grade</w:t>
            </w:r>
          </w:p>
        </w:tc>
        <w:tc>
          <w:tcPr>
            <w:tcW w:w="5395" w:type="dxa"/>
          </w:tcPr>
          <w:p w14:paraId="0B1D1D37" w14:textId="16066DFF" w:rsidR="004C152B" w:rsidRPr="00971011" w:rsidRDefault="004C152B" w:rsidP="00034491">
            <w:pPr>
              <w:rPr>
                <w:rFonts w:cstheme="minorHAnsi"/>
                <w:sz w:val="22"/>
                <w:szCs w:val="22"/>
              </w:rPr>
            </w:pPr>
            <w:r w:rsidRPr="00971011">
              <w:rPr>
                <w:rFonts w:cstheme="minorHAnsi"/>
                <w:sz w:val="22"/>
                <w:szCs w:val="22"/>
              </w:rPr>
              <w:t>0.63</w:t>
            </w:r>
          </w:p>
        </w:tc>
      </w:tr>
      <w:tr w:rsidR="004C152B" w:rsidRPr="00971011" w14:paraId="0CA7CE1E" w14:textId="77777777" w:rsidTr="004C152B">
        <w:tc>
          <w:tcPr>
            <w:tcW w:w="5395" w:type="dxa"/>
          </w:tcPr>
          <w:p w14:paraId="6920A809" w14:textId="01DE131D" w:rsidR="004C152B" w:rsidRPr="00971011" w:rsidRDefault="004C152B" w:rsidP="00034491">
            <w:pPr>
              <w:rPr>
                <w:rFonts w:cstheme="minorHAnsi"/>
                <w:sz w:val="22"/>
                <w:szCs w:val="22"/>
              </w:rPr>
            </w:pPr>
            <w:r w:rsidRPr="00971011">
              <w:rPr>
                <w:rFonts w:cstheme="minorHAnsi"/>
                <w:sz w:val="22"/>
                <w:szCs w:val="22"/>
              </w:rPr>
              <w:t>Math Test Score</w:t>
            </w:r>
          </w:p>
        </w:tc>
        <w:tc>
          <w:tcPr>
            <w:tcW w:w="5395" w:type="dxa"/>
          </w:tcPr>
          <w:p w14:paraId="24DB5064" w14:textId="37F535F1" w:rsidR="004C152B" w:rsidRPr="00971011" w:rsidRDefault="004C152B" w:rsidP="00034491">
            <w:pPr>
              <w:rPr>
                <w:rFonts w:cstheme="minorHAnsi"/>
                <w:sz w:val="22"/>
                <w:szCs w:val="22"/>
              </w:rPr>
            </w:pPr>
            <w:r w:rsidRPr="00971011">
              <w:rPr>
                <w:rFonts w:cstheme="minorHAnsi"/>
                <w:sz w:val="22"/>
                <w:szCs w:val="22"/>
              </w:rPr>
              <w:t>0.03</w:t>
            </w:r>
          </w:p>
        </w:tc>
      </w:tr>
      <w:tr w:rsidR="004C152B" w:rsidRPr="00971011" w14:paraId="5806C15A" w14:textId="77777777" w:rsidTr="004C152B">
        <w:tc>
          <w:tcPr>
            <w:tcW w:w="5395" w:type="dxa"/>
          </w:tcPr>
          <w:p w14:paraId="1C9B1ACF" w14:textId="01B1E65A" w:rsidR="004C152B" w:rsidRPr="00971011" w:rsidRDefault="004C152B" w:rsidP="00034491">
            <w:pPr>
              <w:rPr>
                <w:rFonts w:cstheme="minorHAnsi"/>
                <w:sz w:val="22"/>
                <w:szCs w:val="22"/>
              </w:rPr>
            </w:pPr>
            <w:r w:rsidRPr="00971011">
              <w:rPr>
                <w:rFonts w:cstheme="minorHAnsi"/>
                <w:sz w:val="22"/>
                <w:szCs w:val="22"/>
              </w:rPr>
              <w:t>Semester Credit Total</w:t>
            </w:r>
          </w:p>
        </w:tc>
        <w:tc>
          <w:tcPr>
            <w:tcW w:w="5395" w:type="dxa"/>
          </w:tcPr>
          <w:p w14:paraId="05603CBD" w14:textId="3681A0E8" w:rsidR="004C152B" w:rsidRPr="00971011" w:rsidRDefault="004C152B" w:rsidP="00034491">
            <w:pPr>
              <w:rPr>
                <w:rFonts w:cstheme="minorHAnsi"/>
                <w:sz w:val="22"/>
                <w:szCs w:val="22"/>
              </w:rPr>
            </w:pPr>
            <w:r w:rsidRPr="00971011">
              <w:rPr>
                <w:rFonts w:cstheme="minorHAnsi"/>
                <w:sz w:val="22"/>
                <w:szCs w:val="22"/>
              </w:rPr>
              <w:t>0.007</w:t>
            </w:r>
          </w:p>
        </w:tc>
      </w:tr>
      <w:tr w:rsidR="004C152B" w:rsidRPr="00971011" w14:paraId="568D80DD" w14:textId="77777777" w:rsidTr="004C152B">
        <w:tc>
          <w:tcPr>
            <w:tcW w:w="5395" w:type="dxa"/>
          </w:tcPr>
          <w:p w14:paraId="1634775C" w14:textId="31C2C26C" w:rsidR="004C152B" w:rsidRPr="00971011" w:rsidRDefault="00770F4B" w:rsidP="00034491">
            <w:pPr>
              <w:rPr>
                <w:rFonts w:cstheme="minorHAnsi"/>
                <w:sz w:val="22"/>
                <w:szCs w:val="22"/>
              </w:rPr>
            </w:pPr>
            <w:r w:rsidRPr="00971011">
              <w:rPr>
                <w:rFonts w:cstheme="minorHAnsi"/>
                <w:sz w:val="22"/>
                <w:szCs w:val="22"/>
              </w:rPr>
              <w:t xml:space="preserve">Incoming Test Credits </w:t>
            </w:r>
          </w:p>
        </w:tc>
        <w:tc>
          <w:tcPr>
            <w:tcW w:w="5395" w:type="dxa"/>
          </w:tcPr>
          <w:p w14:paraId="75D3B9D8" w14:textId="19A616E0" w:rsidR="004C152B" w:rsidRPr="00971011" w:rsidRDefault="00770F4B" w:rsidP="00034491">
            <w:pPr>
              <w:rPr>
                <w:rFonts w:cstheme="minorHAnsi"/>
                <w:sz w:val="22"/>
                <w:szCs w:val="22"/>
              </w:rPr>
            </w:pPr>
            <w:r w:rsidRPr="00971011">
              <w:rPr>
                <w:rFonts w:cstheme="minorHAnsi"/>
                <w:sz w:val="22"/>
                <w:szCs w:val="22"/>
              </w:rPr>
              <w:t>0.0045</w:t>
            </w:r>
          </w:p>
        </w:tc>
      </w:tr>
    </w:tbl>
    <w:p w14:paraId="045627FB" w14:textId="77777777" w:rsidR="004C46DF" w:rsidRPr="006756BA" w:rsidRDefault="004C46DF" w:rsidP="00034491">
      <w:pPr>
        <w:rPr>
          <w:rFonts w:cstheme="minorHAnsi"/>
          <w:noProof/>
          <w:sz w:val="20"/>
          <w:szCs w:val="20"/>
        </w:rPr>
      </w:pPr>
    </w:p>
    <w:p w14:paraId="063BA856" w14:textId="0E046F74" w:rsidR="004C46DF" w:rsidRPr="00971011" w:rsidRDefault="3145E285" w:rsidP="3145E285">
      <w:pPr>
        <w:rPr>
          <w:noProof/>
          <w:sz w:val="22"/>
          <w:szCs w:val="22"/>
        </w:rPr>
      </w:pPr>
      <w:r w:rsidRPr="3145E285">
        <w:rPr>
          <w:noProof/>
          <w:sz w:val="22"/>
          <w:szCs w:val="22"/>
        </w:rPr>
        <w:t xml:space="preserve">This chart shows, based on the grade range student’s midterm grades were in, the range that their final grades (numeric) lies in. For students with midterm grades in the D/F range, we see there is a lot of variety in where their final grade may end. As opposed to students who received an A midterm, their final grade distribution range stays at an A. </w:t>
      </w:r>
    </w:p>
    <w:p w14:paraId="62663D2A" w14:textId="34760BB1" w:rsidR="00066F94" w:rsidRPr="00971011" w:rsidRDefault="00FE6318" w:rsidP="00034491">
      <w:pPr>
        <w:rPr>
          <w:rFonts w:cstheme="minorHAnsi"/>
          <w:noProof/>
          <w:sz w:val="22"/>
          <w:szCs w:val="22"/>
        </w:rPr>
      </w:pPr>
      <w:r w:rsidRPr="00971011">
        <w:rPr>
          <w:rFonts w:cstheme="minorHAnsi"/>
          <w:noProof/>
          <w:sz w:val="22"/>
          <w:szCs w:val="22"/>
        </w:rPr>
        <w:drawing>
          <wp:anchor distT="0" distB="0" distL="114300" distR="114300" simplePos="0" relativeHeight="251663360" behindDoc="0" locked="0" layoutInCell="1" allowOverlap="1" wp14:anchorId="3DBE3E4F" wp14:editId="5881DB44">
            <wp:simplePos x="0" y="0"/>
            <wp:positionH relativeFrom="column">
              <wp:posOffset>1847850</wp:posOffset>
            </wp:positionH>
            <wp:positionV relativeFrom="paragraph">
              <wp:posOffset>50800</wp:posOffset>
            </wp:positionV>
            <wp:extent cx="2571107" cy="2015607"/>
            <wp:effectExtent l="0" t="0" r="127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382" t="5479" r="7101"/>
                    <a:stretch/>
                  </pic:blipFill>
                  <pic:spPr bwMode="auto">
                    <a:xfrm>
                      <a:off x="0" y="0"/>
                      <a:ext cx="2576893" cy="202014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B341FA" w14:textId="10B730C1" w:rsidR="00895ABB" w:rsidRDefault="00895ABB" w:rsidP="00034491">
      <w:pPr>
        <w:rPr>
          <w:rFonts w:cstheme="minorHAnsi"/>
          <w:sz w:val="22"/>
          <w:szCs w:val="22"/>
        </w:rPr>
      </w:pPr>
    </w:p>
    <w:p w14:paraId="10963B1D" w14:textId="41987A0C" w:rsidR="004A536A" w:rsidRDefault="004A536A" w:rsidP="00034491">
      <w:pPr>
        <w:rPr>
          <w:rFonts w:cstheme="minorHAnsi"/>
          <w:sz w:val="22"/>
          <w:szCs w:val="22"/>
        </w:rPr>
      </w:pPr>
    </w:p>
    <w:p w14:paraId="6ECBB9C4" w14:textId="77777777" w:rsidR="004A536A" w:rsidRDefault="004A536A" w:rsidP="00034491">
      <w:pPr>
        <w:rPr>
          <w:rFonts w:cstheme="minorHAnsi"/>
          <w:sz w:val="22"/>
          <w:szCs w:val="22"/>
        </w:rPr>
      </w:pPr>
    </w:p>
    <w:p w14:paraId="2CAED35D" w14:textId="07C52CE9" w:rsidR="004A536A" w:rsidRDefault="004A536A" w:rsidP="00034491">
      <w:pPr>
        <w:rPr>
          <w:rFonts w:cstheme="minorHAnsi"/>
          <w:sz w:val="22"/>
          <w:szCs w:val="22"/>
        </w:rPr>
      </w:pPr>
    </w:p>
    <w:p w14:paraId="7D794D11" w14:textId="77777777" w:rsidR="004A536A" w:rsidRDefault="004A536A" w:rsidP="00034491">
      <w:pPr>
        <w:rPr>
          <w:rFonts w:cstheme="minorHAnsi"/>
          <w:sz w:val="22"/>
          <w:szCs w:val="22"/>
        </w:rPr>
      </w:pPr>
    </w:p>
    <w:p w14:paraId="43241179" w14:textId="1BEF2544" w:rsidR="004A536A" w:rsidRDefault="004A536A" w:rsidP="00034491">
      <w:pPr>
        <w:rPr>
          <w:rFonts w:cstheme="minorHAnsi"/>
          <w:sz w:val="22"/>
          <w:szCs w:val="22"/>
        </w:rPr>
      </w:pPr>
    </w:p>
    <w:p w14:paraId="134B25C7" w14:textId="77777777" w:rsidR="004A536A" w:rsidRDefault="004A536A" w:rsidP="00034491">
      <w:pPr>
        <w:rPr>
          <w:rFonts w:cstheme="minorHAnsi"/>
          <w:sz w:val="22"/>
          <w:szCs w:val="22"/>
        </w:rPr>
      </w:pPr>
    </w:p>
    <w:p w14:paraId="08016ED5" w14:textId="232E7314" w:rsidR="004A536A" w:rsidRDefault="004A536A" w:rsidP="00034491">
      <w:pPr>
        <w:rPr>
          <w:rFonts w:cstheme="minorHAnsi"/>
          <w:sz w:val="22"/>
          <w:szCs w:val="22"/>
        </w:rPr>
      </w:pPr>
    </w:p>
    <w:p w14:paraId="03A801AC" w14:textId="77777777" w:rsidR="004A536A" w:rsidRDefault="004A536A" w:rsidP="00034491">
      <w:pPr>
        <w:rPr>
          <w:rFonts w:cstheme="minorHAnsi"/>
          <w:sz w:val="22"/>
          <w:szCs w:val="22"/>
        </w:rPr>
      </w:pPr>
    </w:p>
    <w:p w14:paraId="56E6B498" w14:textId="6A6F5399" w:rsidR="004A536A" w:rsidRDefault="004A536A" w:rsidP="00034491">
      <w:pPr>
        <w:rPr>
          <w:rFonts w:cstheme="minorHAnsi"/>
          <w:sz w:val="22"/>
          <w:szCs w:val="22"/>
        </w:rPr>
      </w:pPr>
    </w:p>
    <w:p w14:paraId="1EDED4BB" w14:textId="77777777" w:rsidR="004A536A" w:rsidRDefault="004A536A" w:rsidP="00034491">
      <w:pPr>
        <w:rPr>
          <w:rFonts w:cstheme="minorHAnsi"/>
          <w:sz w:val="22"/>
          <w:szCs w:val="22"/>
        </w:rPr>
      </w:pPr>
    </w:p>
    <w:p w14:paraId="7179E3EF" w14:textId="1F1EC7B4" w:rsidR="004A536A" w:rsidRDefault="004A536A" w:rsidP="00034491">
      <w:pPr>
        <w:rPr>
          <w:rFonts w:cstheme="minorHAnsi"/>
          <w:sz w:val="22"/>
          <w:szCs w:val="22"/>
        </w:rPr>
      </w:pPr>
    </w:p>
    <w:p w14:paraId="291AB455" w14:textId="4C553732" w:rsidR="004A536A" w:rsidRDefault="000D2A0A" w:rsidP="00034491">
      <w:pPr>
        <w:rPr>
          <w:rFonts w:cstheme="minorHAnsi"/>
          <w:sz w:val="22"/>
          <w:szCs w:val="22"/>
        </w:rPr>
      </w:pPr>
      <w:r>
        <w:rPr>
          <w:rFonts w:cstheme="minorHAnsi"/>
          <w:sz w:val="22"/>
          <w:szCs w:val="22"/>
        </w:rPr>
        <w:t xml:space="preserve">The final grade distributions </w:t>
      </w:r>
      <w:r w:rsidR="00C67F4B">
        <w:rPr>
          <w:rFonts w:cstheme="minorHAnsi"/>
          <w:sz w:val="22"/>
          <w:szCs w:val="22"/>
        </w:rPr>
        <w:t>based on midterm grade ranges can further be broken down by ethnicity groups. The chart below excludes Native Hawaiians since there is not enough observations to make inferences.</w:t>
      </w:r>
      <w:r w:rsidR="00D21B16">
        <w:rPr>
          <w:rFonts w:cstheme="minorHAnsi"/>
          <w:sz w:val="22"/>
          <w:szCs w:val="22"/>
        </w:rPr>
        <w:t xml:space="preserve"> An interesting take away was that for white students with D/F midterm grades</w:t>
      </w:r>
      <w:r w:rsidR="002F7965">
        <w:rPr>
          <w:rFonts w:cstheme="minorHAnsi"/>
          <w:sz w:val="22"/>
          <w:szCs w:val="22"/>
        </w:rPr>
        <w:t xml:space="preserve"> they’re final grades generally end up higher than all other ethnicities.</w:t>
      </w:r>
      <w:r w:rsidR="0078792D">
        <w:rPr>
          <w:rFonts w:cstheme="minorHAnsi"/>
          <w:sz w:val="22"/>
          <w:szCs w:val="22"/>
        </w:rPr>
        <w:t xml:space="preserve"> Another, African Americans who have a midterm grade in the A range, have a wider distribution of final grades that lay lower than all other groups.</w:t>
      </w:r>
    </w:p>
    <w:p w14:paraId="0534DD51" w14:textId="4E698073" w:rsidR="004A536A" w:rsidRDefault="000D2A0A" w:rsidP="00034491">
      <w:pPr>
        <w:rPr>
          <w:rFonts w:cstheme="minorHAnsi"/>
          <w:sz w:val="22"/>
          <w:szCs w:val="22"/>
        </w:rPr>
      </w:pPr>
      <w:r>
        <w:rPr>
          <w:rFonts w:cstheme="minorHAnsi"/>
          <w:noProof/>
          <w:sz w:val="22"/>
          <w:szCs w:val="22"/>
        </w:rPr>
        <w:drawing>
          <wp:anchor distT="0" distB="0" distL="114300" distR="114300" simplePos="0" relativeHeight="251664384" behindDoc="0" locked="0" layoutInCell="1" allowOverlap="1" wp14:anchorId="6D0577C3" wp14:editId="4A815774">
            <wp:simplePos x="0" y="0"/>
            <wp:positionH relativeFrom="column">
              <wp:posOffset>1059192</wp:posOffset>
            </wp:positionH>
            <wp:positionV relativeFrom="paragraph">
              <wp:posOffset>28839</wp:posOffset>
            </wp:positionV>
            <wp:extent cx="4466590" cy="2186305"/>
            <wp:effectExtent l="0" t="0" r="0" b="4445"/>
            <wp:wrapNone/>
            <wp:docPr id="109444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66590" cy="2186305"/>
                    </a:xfrm>
                    <a:prstGeom prst="rect">
                      <a:avLst/>
                    </a:prstGeom>
                    <a:noFill/>
                    <a:ln>
                      <a:noFill/>
                    </a:ln>
                  </pic:spPr>
                </pic:pic>
              </a:graphicData>
            </a:graphic>
          </wp:anchor>
        </w:drawing>
      </w:r>
    </w:p>
    <w:p w14:paraId="24DFEFDD" w14:textId="558D5B04" w:rsidR="004A536A" w:rsidRDefault="004A536A" w:rsidP="00034491">
      <w:pPr>
        <w:rPr>
          <w:rFonts w:cstheme="minorHAnsi"/>
          <w:sz w:val="22"/>
          <w:szCs w:val="22"/>
        </w:rPr>
      </w:pPr>
    </w:p>
    <w:p w14:paraId="6225C6F9" w14:textId="77777777" w:rsidR="004A536A" w:rsidRDefault="004A536A" w:rsidP="00034491">
      <w:pPr>
        <w:rPr>
          <w:rFonts w:cstheme="minorHAnsi"/>
          <w:sz w:val="22"/>
          <w:szCs w:val="22"/>
        </w:rPr>
      </w:pPr>
    </w:p>
    <w:p w14:paraId="721E4280" w14:textId="6AE3B57A" w:rsidR="004A536A" w:rsidRPr="00971011" w:rsidRDefault="004A536A" w:rsidP="00034491">
      <w:pPr>
        <w:rPr>
          <w:rFonts w:cstheme="minorHAnsi"/>
          <w:sz w:val="22"/>
          <w:szCs w:val="22"/>
        </w:rPr>
      </w:pPr>
    </w:p>
    <w:sectPr w:rsidR="004A536A" w:rsidRPr="00971011" w:rsidSect="00D442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36D5"/>
    <w:multiLevelType w:val="hybridMultilevel"/>
    <w:tmpl w:val="AEBE57CE"/>
    <w:lvl w:ilvl="0" w:tplc="AFB085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66934"/>
    <w:multiLevelType w:val="hybridMultilevel"/>
    <w:tmpl w:val="DB68ADCE"/>
    <w:lvl w:ilvl="0" w:tplc="9CBA3C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147382">
    <w:abstractNumId w:val="1"/>
  </w:num>
  <w:num w:numId="2" w16cid:durableId="1111126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30B0A"/>
    <w:rsid w:val="00034491"/>
    <w:rsid w:val="00051C77"/>
    <w:rsid w:val="00066F94"/>
    <w:rsid w:val="000D26F2"/>
    <w:rsid w:val="000D2A0A"/>
    <w:rsid w:val="000F038D"/>
    <w:rsid w:val="00121437"/>
    <w:rsid w:val="001E5C40"/>
    <w:rsid w:val="00272150"/>
    <w:rsid w:val="002A039C"/>
    <w:rsid w:val="002C16DD"/>
    <w:rsid w:val="002F2955"/>
    <w:rsid w:val="002F7965"/>
    <w:rsid w:val="00346FD1"/>
    <w:rsid w:val="00361E85"/>
    <w:rsid w:val="003869C2"/>
    <w:rsid w:val="004123E7"/>
    <w:rsid w:val="0043014F"/>
    <w:rsid w:val="004A536A"/>
    <w:rsid w:val="004C152B"/>
    <w:rsid w:val="004C46DF"/>
    <w:rsid w:val="004E5C84"/>
    <w:rsid w:val="004F3D94"/>
    <w:rsid w:val="005577D0"/>
    <w:rsid w:val="00577D12"/>
    <w:rsid w:val="005D5E5D"/>
    <w:rsid w:val="005F1E7E"/>
    <w:rsid w:val="00645389"/>
    <w:rsid w:val="006756BA"/>
    <w:rsid w:val="007448A1"/>
    <w:rsid w:val="00762616"/>
    <w:rsid w:val="00770F4B"/>
    <w:rsid w:val="0078792D"/>
    <w:rsid w:val="007B0616"/>
    <w:rsid w:val="00830D63"/>
    <w:rsid w:val="00831630"/>
    <w:rsid w:val="008531DC"/>
    <w:rsid w:val="00895ABB"/>
    <w:rsid w:val="00970AD3"/>
    <w:rsid w:val="00971011"/>
    <w:rsid w:val="0099572C"/>
    <w:rsid w:val="009F0D27"/>
    <w:rsid w:val="00A45B39"/>
    <w:rsid w:val="00AE6099"/>
    <w:rsid w:val="00B3323B"/>
    <w:rsid w:val="00BB77B2"/>
    <w:rsid w:val="00BE14A6"/>
    <w:rsid w:val="00C67F4B"/>
    <w:rsid w:val="00CA03DC"/>
    <w:rsid w:val="00D1010D"/>
    <w:rsid w:val="00D21B16"/>
    <w:rsid w:val="00D442FF"/>
    <w:rsid w:val="00E70678"/>
    <w:rsid w:val="00EA6C88"/>
    <w:rsid w:val="00EE4F6D"/>
    <w:rsid w:val="00EE6E42"/>
    <w:rsid w:val="00F11F1B"/>
    <w:rsid w:val="00F1266B"/>
    <w:rsid w:val="00FA187A"/>
    <w:rsid w:val="00FE6318"/>
    <w:rsid w:val="3145E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389"/>
    <w:pPr>
      <w:ind w:left="720"/>
      <w:contextualSpacing/>
    </w:pPr>
  </w:style>
  <w:style w:type="table" w:styleId="TableGrid">
    <w:name w:val="Table Grid"/>
    <w:basedOn w:val="TableNormal"/>
    <w:uiPriority w:val="39"/>
    <w:rsid w:val="00A45B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20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609</Words>
  <Characters>3473</Characters>
  <Application>Microsoft Office Word</Application>
  <DocSecurity>0</DocSecurity>
  <Lines>28</Lines>
  <Paragraphs>8</Paragraphs>
  <ScaleCrop>false</ScaleCrop>
  <Company>Wisconsin School of Business</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Kara Conrad</cp:lastModifiedBy>
  <cp:revision>15</cp:revision>
  <dcterms:created xsi:type="dcterms:W3CDTF">2018-02-09T21:34:00Z</dcterms:created>
  <dcterms:modified xsi:type="dcterms:W3CDTF">2023-10-12T20:43:00Z</dcterms:modified>
</cp:coreProperties>
</file>