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2147"/>
        <w:gridCol w:w="1291"/>
        <w:gridCol w:w="2441"/>
        <w:gridCol w:w="2404"/>
        <w:gridCol w:w="2538"/>
        <w:gridCol w:w="2323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BOSCC Subscale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BOSCC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 Test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Pairwise Test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Pairwise Cohen's D</w:t>
            </w:r>
          </w:p>
        </w:tc>
      </w:tr>
      <w:tr>
        <w:trPr>
          <w:cantSplit/>
          <w:trHeight w:val="600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</w:t>
            </w:r>
          </w:p>
        </w:tc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ADOS BOSCC</w:t>
            </w:r>
          </w:p>
        </w:tc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CSS_rrb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-0.480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0.898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CSS_sa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1.037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first_age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cantSplit/>
          <w:trHeight w:val="58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MRNVIQ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-0.339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-1.316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-0.977</w:t>
            </w:r>
          </w:p>
        </w:tc>
      </w:tr>
      <w:tr>
        <w:trPr>
          <w:cantSplit/>
          <w:trHeight w:val="58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MRVIQ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-0.285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-1.132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-0.847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BOSCC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CSS_sa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1.132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1.745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first_age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-0.018</w:t>
            </w:r>
          </w:p>
        </w:tc>
      </w:tr>
      <w:tr>
        <w:trPr>
          <w:cantSplit/>
          <w:trHeight w:val="58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MRNVIQ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-0.758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-1.560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-0.801</w:t>
            </w:r>
          </w:p>
        </w:tc>
      </w:tr>
      <w:tr>
        <w:trPr>
          <w:cantSplit/>
          <w:trHeight w:val="58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MRVIQ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-1.145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-1.736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-0.592</w:t>
            </w:r>
          </w:p>
        </w:tc>
      </w:tr>
      <w:tr>
        <w:trPr>
          <w:cantSplit/>
          <w:trHeight w:val="6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RRB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CSS_sa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1.107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Worsening_v_Stable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1.012</w:t>
            </w:r>
          </w:p>
        </w:tc>
      </w:tr>
      <w:tr>
        <w:trPr>
          <w:cantSplit/>
          <w:trHeight w:val="58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MRNVIQ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-0.865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-1.249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Worsening_v_Stable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-0.385</w:t>
            </w:r>
          </w:p>
        </w:tc>
      </w:tr>
      <w:tr>
        <w:trPr>
          <w:cantSplit/>
          <w:trHeight w:val="58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MRVIQ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-1.186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Worsening_v_Stable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-0.441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 Test provides uncorrected p-values for Mann Whitney test for any median differences between clusters</w:t>
              <w:br/>
              <w:t xml:space="preserve">Pairwise Test provides FDR-corrected p-values for pairwise tests for any median differences.</w:t>
              <w:br/>
              <w:t xml:space="preserve">Significant pairwise differences highlighted in blue.</w:t>
              <w:br/>
              <w:t xml:space="preserve">Pairwise Cohen's D provides Cohen's D effect sizes for mean differences between pairs. </w:t>
              <w:br/>
              <w:t xml:space="preserve">Only results with significant overall tests provided for brevity.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2022-03-09T10:23:17Z</dcterms:modified>
  <cp:category/>
</cp:coreProperties>
</file>