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2E126" w14:textId="0F7C41E4" w:rsidR="00F24A67" w:rsidRPr="0068052D" w:rsidRDefault="0068052D" w:rsidP="0068052D">
      <w:pPr>
        <w:spacing w:line="240" w:lineRule="auto"/>
        <w:rPr>
          <w:sz w:val="28"/>
          <w:szCs w:val="28"/>
          <w:lang w:val="en-US"/>
        </w:rPr>
      </w:pPr>
      <w:r w:rsidRPr="0068052D">
        <w:rPr>
          <w:sz w:val="28"/>
          <w:szCs w:val="28"/>
          <w:lang w:val="en-US"/>
        </w:rPr>
        <w:t>John Michael Guevarra</w:t>
      </w:r>
    </w:p>
    <w:p w14:paraId="0269F57C" w14:textId="77777777" w:rsidR="0068052D" w:rsidRPr="0068052D" w:rsidRDefault="0068052D" w:rsidP="0068052D">
      <w:pPr>
        <w:spacing w:line="240" w:lineRule="auto"/>
        <w:rPr>
          <w:sz w:val="28"/>
          <w:szCs w:val="28"/>
          <w:lang w:val="en-US"/>
        </w:rPr>
      </w:pPr>
      <w:r w:rsidRPr="0068052D">
        <w:rPr>
          <w:sz w:val="28"/>
          <w:szCs w:val="28"/>
          <w:lang w:val="en-US"/>
        </w:rPr>
        <w:t xml:space="preserve">BSIT </w:t>
      </w:r>
      <w:proofErr w:type="gramStart"/>
      <w:r w:rsidRPr="0068052D">
        <w:rPr>
          <w:sz w:val="28"/>
          <w:szCs w:val="28"/>
          <w:lang w:val="en-US"/>
        </w:rPr>
        <w:t>–  2</w:t>
      </w:r>
      <w:proofErr w:type="gramEnd"/>
      <w:r w:rsidRPr="0068052D">
        <w:rPr>
          <w:sz w:val="28"/>
          <w:szCs w:val="28"/>
          <w:lang w:val="en-US"/>
        </w:rPr>
        <w:t>B</w:t>
      </w:r>
    </w:p>
    <w:p w14:paraId="5545BDFF" w14:textId="04BDDA3C" w:rsidR="0068052D" w:rsidRPr="0068052D" w:rsidRDefault="0068052D" w:rsidP="0068052D">
      <w:pPr>
        <w:spacing w:line="240" w:lineRule="auto"/>
        <w:jc w:val="center"/>
        <w:rPr>
          <w:b/>
          <w:bCs/>
          <w:sz w:val="28"/>
          <w:szCs w:val="28"/>
        </w:rPr>
      </w:pPr>
      <w:r w:rsidRPr="0068052D">
        <w:rPr>
          <w:sz w:val="28"/>
          <w:szCs w:val="28"/>
          <w:lang w:val="en-US"/>
        </w:rPr>
        <w:br/>
      </w:r>
      <w:r w:rsidRPr="0068052D">
        <w:rPr>
          <w:b/>
          <w:bCs/>
          <w:sz w:val="28"/>
          <w:szCs w:val="28"/>
          <w:lang w:val="en-US"/>
        </w:rPr>
        <w:br/>
      </w:r>
      <w:r w:rsidRPr="0068052D">
        <w:rPr>
          <w:b/>
          <w:bCs/>
          <w:sz w:val="28"/>
          <w:szCs w:val="28"/>
        </w:rPr>
        <w:t>Final Project: Research on Laws and Policies Regarding Occupational Health and Safety (OHS) and Workers' Rights in the Philippines</w:t>
      </w:r>
    </w:p>
    <w:p w14:paraId="03D33046" w14:textId="77777777" w:rsidR="0068052D" w:rsidRPr="0068052D" w:rsidRDefault="0068052D" w:rsidP="0068052D">
      <w:pPr>
        <w:spacing w:line="240" w:lineRule="auto"/>
        <w:jc w:val="center"/>
        <w:rPr>
          <w:b/>
          <w:bCs/>
          <w:sz w:val="28"/>
          <w:szCs w:val="28"/>
        </w:rPr>
      </w:pPr>
    </w:p>
    <w:p w14:paraId="2C0CBC0A" w14:textId="77777777" w:rsidR="0068052D" w:rsidRPr="0068052D" w:rsidRDefault="0068052D" w:rsidP="0068052D">
      <w:pPr>
        <w:spacing w:line="240" w:lineRule="auto"/>
        <w:rPr>
          <w:b/>
          <w:bCs/>
          <w:sz w:val="28"/>
          <w:szCs w:val="28"/>
        </w:rPr>
      </w:pPr>
      <w:r w:rsidRPr="0068052D">
        <w:rPr>
          <w:b/>
          <w:bCs/>
          <w:sz w:val="28"/>
          <w:szCs w:val="28"/>
        </w:rPr>
        <w:t>1. Introduction</w:t>
      </w:r>
    </w:p>
    <w:p w14:paraId="7F9686E6" w14:textId="77777777" w:rsidR="0068052D" w:rsidRPr="0068052D" w:rsidRDefault="0068052D" w:rsidP="0068052D">
      <w:pPr>
        <w:spacing w:line="240" w:lineRule="auto"/>
        <w:rPr>
          <w:sz w:val="28"/>
          <w:szCs w:val="28"/>
        </w:rPr>
      </w:pPr>
      <w:r w:rsidRPr="0068052D">
        <w:rPr>
          <w:sz w:val="28"/>
          <w:szCs w:val="28"/>
        </w:rPr>
        <w:t>Occupational Health and Safety (OHS) is crucial to ensuring that workers are protected from physical, mental, and environmental risks at the workplace. In the Philippines, the government has enacted various laws and policies to safeguard workers' health, well-being, and rights. These laws not only focus on creating a safe work environment but also aim to promote fair compensation, protect against exploitation, and provide essential benefits to workers.</w:t>
      </w:r>
    </w:p>
    <w:p w14:paraId="1D16EBD0" w14:textId="77777777" w:rsidR="0068052D" w:rsidRPr="0068052D" w:rsidRDefault="0068052D" w:rsidP="0068052D">
      <w:pPr>
        <w:spacing w:line="240" w:lineRule="auto"/>
        <w:rPr>
          <w:sz w:val="28"/>
          <w:szCs w:val="28"/>
          <w:lang w:val="en-US"/>
        </w:rPr>
      </w:pPr>
    </w:p>
    <w:p w14:paraId="2233E5E1" w14:textId="6C1E64EA" w:rsidR="0068052D" w:rsidRPr="0068052D" w:rsidRDefault="0068052D" w:rsidP="0068052D">
      <w:pPr>
        <w:spacing w:line="240" w:lineRule="auto"/>
        <w:rPr>
          <w:b/>
          <w:bCs/>
          <w:sz w:val="28"/>
          <w:szCs w:val="28"/>
        </w:rPr>
      </w:pPr>
      <w:r w:rsidRPr="0068052D">
        <w:rPr>
          <w:b/>
          <w:bCs/>
          <w:sz w:val="28"/>
          <w:szCs w:val="28"/>
        </w:rPr>
        <w:t>2. Occupational Health and Safety (OHS) Laws and Policies</w:t>
      </w:r>
    </w:p>
    <w:p w14:paraId="3C06BE15" w14:textId="77777777" w:rsidR="0068052D" w:rsidRPr="0068052D" w:rsidRDefault="0068052D" w:rsidP="0068052D">
      <w:pPr>
        <w:spacing w:line="240" w:lineRule="auto"/>
        <w:rPr>
          <w:b/>
          <w:bCs/>
          <w:sz w:val="28"/>
          <w:szCs w:val="28"/>
        </w:rPr>
      </w:pPr>
      <w:r w:rsidRPr="0068052D">
        <w:rPr>
          <w:b/>
          <w:bCs/>
          <w:sz w:val="28"/>
          <w:szCs w:val="28"/>
        </w:rPr>
        <w:t>2.1 Occupational Safety and Health Standards (OSHS)</w:t>
      </w:r>
    </w:p>
    <w:p w14:paraId="69B70132" w14:textId="77777777" w:rsidR="0068052D" w:rsidRPr="0068052D" w:rsidRDefault="0068052D" w:rsidP="0068052D">
      <w:pPr>
        <w:spacing w:line="240" w:lineRule="auto"/>
        <w:rPr>
          <w:sz w:val="28"/>
          <w:szCs w:val="28"/>
        </w:rPr>
      </w:pPr>
      <w:r w:rsidRPr="0068052D">
        <w:rPr>
          <w:sz w:val="28"/>
          <w:szCs w:val="28"/>
        </w:rPr>
        <w:t xml:space="preserve">The </w:t>
      </w:r>
      <w:r w:rsidRPr="0068052D">
        <w:rPr>
          <w:b/>
          <w:bCs/>
          <w:sz w:val="28"/>
          <w:szCs w:val="28"/>
        </w:rPr>
        <w:t>Occupational Safety and Health Standards</w:t>
      </w:r>
      <w:r w:rsidRPr="0068052D">
        <w:rPr>
          <w:sz w:val="28"/>
          <w:szCs w:val="28"/>
        </w:rPr>
        <w:t xml:space="preserve"> (OSHS), enforced by the Department of Labor and Employment (DOLE), mandates employers to provide a safe working environment, regular risk assessments, personal protective equipment (PPE), and proper waste management to mitigate health hazards. These standards aim to prevent accidents, illnesses, and injuries in various workplaces across industries (DOLE, n.d.).</w:t>
      </w:r>
    </w:p>
    <w:p w14:paraId="2CB5C5A3" w14:textId="77777777" w:rsidR="0068052D" w:rsidRPr="0068052D" w:rsidRDefault="0068052D" w:rsidP="0068052D">
      <w:pPr>
        <w:spacing w:line="240" w:lineRule="auto"/>
        <w:rPr>
          <w:b/>
          <w:bCs/>
          <w:sz w:val="28"/>
          <w:szCs w:val="28"/>
        </w:rPr>
      </w:pPr>
      <w:r w:rsidRPr="0068052D">
        <w:rPr>
          <w:b/>
          <w:bCs/>
          <w:sz w:val="28"/>
          <w:szCs w:val="28"/>
        </w:rPr>
        <w:t>2.2 Republic Act No. 11058 (Strengthening Compliance with Occupational Safety and Health Standards Act)</w:t>
      </w:r>
    </w:p>
    <w:p w14:paraId="546BDC53" w14:textId="77777777" w:rsidR="0068052D" w:rsidRPr="0068052D" w:rsidRDefault="0068052D" w:rsidP="0068052D">
      <w:pPr>
        <w:spacing w:line="240" w:lineRule="auto"/>
        <w:rPr>
          <w:sz w:val="28"/>
          <w:szCs w:val="28"/>
        </w:rPr>
      </w:pPr>
      <w:r w:rsidRPr="0068052D">
        <w:rPr>
          <w:sz w:val="28"/>
          <w:szCs w:val="28"/>
        </w:rPr>
        <w:t xml:space="preserve">Republic Act No. 11058, also known as the </w:t>
      </w:r>
      <w:r w:rsidRPr="0068052D">
        <w:rPr>
          <w:b/>
          <w:bCs/>
          <w:sz w:val="28"/>
          <w:szCs w:val="28"/>
        </w:rPr>
        <w:t>Strengthening Compliance with OHS Standards Act</w:t>
      </w:r>
      <w:r w:rsidRPr="0068052D">
        <w:rPr>
          <w:sz w:val="28"/>
          <w:szCs w:val="28"/>
        </w:rPr>
        <w:t>, reinforces the requirement for employers to implement comprehensive safety programs, conduct safety training, and promptly report workplace accidents. This law is a vital tool in addressing the gaps in compliance with OHS standards across industries, especially in high-risk sectors such as construction and manufacturing (Official Gazette, 2018).</w:t>
      </w:r>
    </w:p>
    <w:p w14:paraId="1965A958" w14:textId="77777777" w:rsidR="0068052D" w:rsidRPr="0068052D" w:rsidRDefault="0068052D" w:rsidP="0068052D">
      <w:pPr>
        <w:spacing w:line="240" w:lineRule="auto"/>
        <w:rPr>
          <w:b/>
          <w:bCs/>
          <w:sz w:val="28"/>
          <w:szCs w:val="28"/>
        </w:rPr>
      </w:pPr>
    </w:p>
    <w:p w14:paraId="48FD41E1" w14:textId="7D935D0D" w:rsidR="0068052D" w:rsidRPr="0068052D" w:rsidRDefault="0068052D" w:rsidP="0068052D">
      <w:pPr>
        <w:spacing w:line="240" w:lineRule="auto"/>
        <w:rPr>
          <w:b/>
          <w:bCs/>
          <w:sz w:val="28"/>
          <w:szCs w:val="28"/>
        </w:rPr>
      </w:pPr>
      <w:r w:rsidRPr="0068052D">
        <w:rPr>
          <w:b/>
          <w:bCs/>
          <w:sz w:val="28"/>
          <w:szCs w:val="28"/>
        </w:rPr>
        <w:t>3. Rights of Workers in the Philippines</w:t>
      </w:r>
    </w:p>
    <w:p w14:paraId="36D53399" w14:textId="77777777" w:rsidR="0068052D" w:rsidRPr="0068052D" w:rsidRDefault="0068052D" w:rsidP="0068052D">
      <w:pPr>
        <w:spacing w:line="240" w:lineRule="auto"/>
        <w:rPr>
          <w:b/>
          <w:bCs/>
          <w:sz w:val="28"/>
          <w:szCs w:val="28"/>
        </w:rPr>
      </w:pPr>
      <w:r w:rsidRPr="0068052D">
        <w:rPr>
          <w:b/>
          <w:bCs/>
          <w:sz w:val="28"/>
          <w:szCs w:val="28"/>
        </w:rPr>
        <w:t>3.1 Republic Act No. 6727 (Wage Rationalization Act)</w:t>
      </w:r>
    </w:p>
    <w:p w14:paraId="2C294CC6" w14:textId="77777777" w:rsidR="0068052D" w:rsidRPr="0068052D" w:rsidRDefault="0068052D" w:rsidP="0068052D">
      <w:pPr>
        <w:spacing w:line="240" w:lineRule="auto"/>
        <w:rPr>
          <w:sz w:val="28"/>
          <w:szCs w:val="28"/>
        </w:rPr>
      </w:pPr>
      <w:r w:rsidRPr="0068052D">
        <w:rPr>
          <w:sz w:val="28"/>
          <w:szCs w:val="28"/>
        </w:rPr>
        <w:t>Republic Act No. 6727 ensures that workers receive fair compensation by setting up mechanisms for determining and adjusting minimum wages based on economic factors such as inflation. This law protects workers from exploitation by ensuring they are paid according to the legal wage rate (DOLE, n.d.).</w:t>
      </w:r>
    </w:p>
    <w:p w14:paraId="477319C0" w14:textId="77777777" w:rsidR="0068052D" w:rsidRPr="0068052D" w:rsidRDefault="0068052D" w:rsidP="0068052D">
      <w:pPr>
        <w:spacing w:line="240" w:lineRule="auto"/>
        <w:rPr>
          <w:b/>
          <w:bCs/>
          <w:sz w:val="28"/>
          <w:szCs w:val="28"/>
        </w:rPr>
      </w:pPr>
      <w:r w:rsidRPr="0068052D">
        <w:rPr>
          <w:b/>
          <w:bCs/>
          <w:sz w:val="28"/>
          <w:szCs w:val="28"/>
        </w:rPr>
        <w:t>3.2 Republic Act No. 7610 (Special Protection of Children Against Abuse, Exploitation, and Discrimination Act)</w:t>
      </w:r>
    </w:p>
    <w:p w14:paraId="25AFC214" w14:textId="77777777" w:rsidR="0068052D" w:rsidRPr="0068052D" w:rsidRDefault="0068052D" w:rsidP="0068052D">
      <w:pPr>
        <w:spacing w:line="240" w:lineRule="auto"/>
        <w:rPr>
          <w:sz w:val="28"/>
          <w:szCs w:val="28"/>
        </w:rPr>
      </w:pPr>
      <w:r w:rsidRPr="0068052D">
        <w:rPr>
          <w:sz w:val="28"/>
          <w:szCs w:val="28"/>
        </w:rPr>
        <w:t>This law provides special protection to children against exploitation in the workplace, ensuring that minors are not exposed to hazardous work environments. It also prohibits children from being involved in jobs that could harm their physical or mental development (Official Gazette, 2020).</w:t>
      </w:r>
    </w:p>
    <w:p w14:paraId="62B53F3F" w14:textId="77777777" w:rsidR="0068052D" w:rsidRPr="0068052D" w:rsidRDefault="0068052D" w:rsidP="0068052D">
      <w:pPr>
        <w:spacing w:line="240" w:lineRule="auto"/>
        <w:rPr>
          <w:b/>
          <w:bCs/>
          <w:sz w:val="28"/>
          <w:szCs w:val="28"/>
        </w:rPr>
      </w:pPr>
      <w:r w:rsidRPr="0068052D">
        <w:rPr>
          <w:b/>
          <w:bCs/>
          <w:sz w:val="28"/>
          <w:szCs w:val="28"/>
        </w:rPr>
        <w:t>3.3 Republic Act No. 11360 (Service Charge Law)</w:t>
      </w:r>
    </w:p>
    <w:p w14:paraId="5E4846C0" w14:textId="77777777" w:rsidR="0068052D" w:rsidRPr="0068052D" w:rsidRDefault="0068052D" w:rsidP="0068052D">
      <w:pPr>
        <w:spacing w:line="240" w:lineRule="auto"/>
        <w:rPr>
          <w:sz w:val="28"/>
          <w:szCs w:val="28"/>
        </w:rPr>
      </w:pPr>
      <w:r w:rsidRPr="0068052D">
        <w:rPr>
          <w:sz w:val="28"/>
          <w:szCs w:val="28"/>
        </w:rPr>
        <w:t>Republic Act No. 11360 requires employers in service-oriented industries (such as hotels and restaurants) to fairly distribute service charges among their employees. This helps improve the financial well-being of workers, particularly those in the service sector, who rely heavily on tips and service charges for their income (Official Gazette, 2020).</w:t>
      </w:r>
    </w:p>
    <w:p w14:paraId="15CF1F0D" w14:textId="77777777" w:rsidR="0068052D" w:rsidRPr="0068052D" w:rsidRDefault="0068052D" w:rsidP="0068052D">
      <w:pPr>
        <w:spacing w:line="240" w:lineRule="auto"/>
        <w:rPr>
          <w:b/>
          <w:bCs/>
          <w:sz w:val="28"/>
          <w:szCs w:val="28"/>
        </w:rPr>
      </w:pPr>
      <w:r w:rsidRPr="0068052D">
        <w:rPr>
          <w:b/>
          <w:bCs/>
          <w:sz w:val="28"/>
          <w:szCs w:val="28"/>
        </w:rPr>
        <w:t xml:space="preserve">3.4 Republic Act No. 10361 (Batas </w:t>
      </w:r>
      <w:proofErr w:type="spellStart"/>
      <w:r w:rsidRPr="0068052D">
        <w:rPr>
          <w:b/>
          <w:bCs/>
          <w:sz w:val="28"/>
          <w:szCs w:val="28"/>
        </w:rPr>
        <w:t>Kasambahay</w:t>
      </w:r>
      <w:proofErr w:type="spellEnd"/>
      <w:r w:rsidRPr="0068052D">
        <w:rPr>
          <w:b/>
          <w:bCs/>
          <w:sz w:val="28"/>
          <w:szCs w:val="28"/>
        </w:rPr>
        <w:t>)</w:t>
      </w:r>
    </w:p>
    <w:p w14:paraId="45E6ED65" w14:textId="77777777" w:rsidR="0068052D" w:rsidRPr="0068052D" w:rsidRDefault="0068052D" w:rsidP="0068052D">
      <w:pPr>
        <w:spacing w:line="240" w:lineRule="auto"/>
        <w:rPr>
          <w:sz w:val="28"/>
          <w:szCs w:val="28"/>
        </w:rPr>
      </w:pPr>
      <w:r w:rsidRPr="0068052D">
        <w:rPr>
          <w:sz w:val="28"/>
          <w:szCs w:val="28"/>
        </w:rPr>
        <w:t xml:space="preserve">The Batas </w:t>
      </w:r>
      <w:proofErr w:type="spellStart"/>
      <w:r w:rsidRPr="0068052D">
        <w:rPr>
          <w:sz w:val="28"/>
          <w:szCs w:val="28"/>
        </w:rPr>
        <w:t>Kasambahay</w:t>
      </w:r>
      <w:proofErr w:type="spellEnd"/>
      <w:r w:rsidRPr="0068052D">
        <w:rPr>
          <w:sz w:val="28"/>
          <w:szCs w:val="28"/>
        </w:rPr>
        <w:t xml:space="preserve"> or Domestic Workers Act (Republic Act No. 10361) ensures that domestic workers receive the same basic rights as other workers, such as fair wages, adequate rest, and protection against abuse. It also mandates employers to provide benefits like Social Security System (SSS), PhilHealth, and Pag-IBIG coverage (DOLE, n.d.).</w:t>
      </w:r>
    </w:p>
    <w:p w14:paraId="472E13F5" w14:textId="77777777" w:rsidR="0068052D" w:rsidRPr="0068052D" w:rsidRDefault="0068052D" w:rsidP="0068052D">
      <w:pPr>
        <w:spacing w:line="240" w:lineRule="auto"/>
        <w:rPr>
          <w:b/>
          <w:bCs/>
          <w:sz w:val="28"/>
          <w:szCs w:val="28"/>
        </w:rPr>
      </w:pPr>
      <w:r w:rsidRPr="0068052D">
        <w:rPr>
          <w:b/>
          <w:bCs/>
          <w:sz w:val="28"/>
          <w:szCs w:val="28"/>
        </w:rPr>
        <w:t>3.5 Republic Act No. 8282 (Social Security Act of 1997)</w:t>
      </w:r>
    </w:p>
    <w:p w14:paraId="4DC076CB" w14:textId="77777777" w:rsidR="0068052D" w:rsidRPr="0068052D" w:rsidRDefault="0068052D" w:rsidP="0068052D">
      <w:pPr>
        <w:spacing w:line="240" w:lineRule="auto"/>
        <w:rPr>
          <w:sz w:val="28"/>
          <w:szCs w:val="28"/>
        </w:rPr>
      </w:pPr>
      <w:r w:rsidRPr="0068052D">
        <w:rPr>
          <w:sz w:val="28"/>
          <w:szCs w:val="28"/>
        </w:rPr>
        <w:t>Republic Act No. 8282 provides workers with social security benefits such as sickness, maternity, disability, and retirement benefits. The law also ensures that employees and employers make contributions to the Social Security System (SSS) to guarantee workers' financial security in times of need (SSS, n.d.).</w:t>
      </w:r>
    </w:p>
    <w:p w14:paraId="7A933CE0" w14:textId="77777777" w:rsidR="0068052D" w:rsidRPr="0068052D" w:rsidRDefault="0068052D" w:rsidP="0068052D">
      <w:pPr>
        <w:spacing w:line="240" w:lineRule="auto"/>
        <w:rPr>
          <w:sz w:val="28"/>
          <w:szCs w:val="28"/>
        </w:rPr>
      </w:pPr>
    </w:p>
    <w:p w14:paraId="76EEBCD4" w14:textId="77777777" w:rsidR="0068052D" w:rsidRPr="0068052D" w:rsidRDefault="0068052D" w:rsidP="0068052D">
      <w:pPr>
        <w:spacing w:line="240" w:lineRule="auto"/>
        <w:rPr>
          <w:b/>
          <w:bCs/>
          <w:sz w:val="28"/>
          <w:szCs w:val="28"/>
        </w:rPr>
      </w:pPr>
      <w:r w:rsidRPr="0068052D">
        <w:rPr>
          <w:b/>
          <w:bCs/>
          <w:sz w:val="28"/>
          <w:szCs w:val="28"/>
        </w:rPr>
        <w:t>4. Conclusion</w:t>
      </w:r>
    </w:p>
    <w:p w14:paraId="3FCF0A7A" w14:textId="77777777" w:rsidR="0068052D" w:rsidRPr="0068052D" w:rsidRDefault="0068052D" w:rsidP="0068052D">
      <w:pPr>
        <w:spacing w:line="240" w:lineRule="auto"/>
        <w:rPr>
          <w:sz w:val="28"/>
          <w:szCs w:val="28"/>
        </w:rPr>
      </w:pPr>
      <w:r w:rsidRPr="0068052D">
        <w:rPr>
          <w:sz w:val="28"/>
          <w:szCs w:val="28"/>
        </w:rPr>
        <w:t xml:space="preserve">The laws and policies governing </w:t>
      </w:r>
      <w:r w:rsidRPr="0068052D">
        <w:rPr>
          <w:b/>
          <w:bCs/>
          <w:sz w:val="28"/>
          <w:szCs w:val="28"/>
        </w:rPr>
        <w:t>Occupational Health and Safety</w:t>
      </w:r>
      <w:r w:rsidRPr="0068052D">
        <w:rPr>
          <w:sz w:val="28"/>
          <w:szCs w:val="28"/>
        </w:rPr>
        <w:t xml:space="preserve"> in the Philippines are designed to promote worker well-being and safety, ensuring that employers are held accountable for the conditions under which their employees work. Additionally, labor laws such as the </w:t>
      </w:r>
      <w:r w:rsidRPr="0068052D">
        <w:rPr>
          <w:b/>
          <w:bCs/>
          <w:sz w:val="28"/>
          <w:szCs w:val="28"/>
        </w:rPr>
        <w:t>Wage Rationalization Act</w:t>
      </w:r>
      <w:r w:rsidRPr="0068052D">
        <w:rPr>
          <w:sz w:val="28"/>
          <w:szCs w:val="28"/>
        </w:rPr>
        <w:t xml:space="preserve"> and </w:t>
      </w:r>
      <w:r w:rsidRPr="0068052D">
        <w:rPr>
          <w:b/>
          <w:bCs/>
          <w:sz w:val="28"/>
          <w:szCs w:val="28"/>
        </w:rPr>
        <w:t>Republic Act No. 7610</w:t>
      </w:r>
      <w:r w:rsidRPr="0068052D">
        <w:rPr>
          <w:sz w:val="28"/>
          <w:szCs w:val="28"/>
        </w:rPr>
        <w:t xml:space="preserve"> reflect the government's ongoing commitment to protecting workers' rights, especially the vulnerable sectors such as minors and women workers. Further improvements in enforcement and awareness of these laws are necessary to ensure that every Filipino worker enjoys a safe and dignified work life.</w:t>
      </w:r>
    </w:p>
    <w:p w14:paraId="5F713A8C" w14:textId="77777777" w:rsidR="0068052D" w:rsidRPr="0068052D" w:rsidRDefault="0068052D" w:rsidP="0068052D">
      <w:pPr>
        <w:spacing w:line="240" w:lineRule="auto"/>
        <w:rPr>
          <w:b/>
          <w:bCs/>
          <w:sz w:val="28"/>
          <w:szCs w:val="28"/>
        </w:rPr>
      </w:pPr>
      <w:r w:rsidRPr="0068052D">
        <w:rPr>
          <w:b/>
          <w:bCs/>
          <w:sz w:val="28"/>
          <w:szCs w:val="28"/>
        </w:rPr>
        <w:t>5. References</w:t>
      </w:r>
    </w:p>
    <w:p w14:paraId="15DFFEFA" w14:textId="77777777" w:rsidR="0068052D" w:rsidRPr="0068052D" w:rsidRDefault="0068052D" w:rsidP="0068052D">
      <w:pPr>
        <w:numPr>
          <w:ilvl w:val="0"/>
          <w:numId w:val="2"/>
        </w:numPr>
        <w:spacing w:line="240" w:lineRule="auto"/>
        <w:rPr>
          <w:sz w:val="28"/>
          <w:szCs w:val="28"/>
        </w:rPr>
      </w:pPr>
      <w:r w:rsidRPr="0068052D">
        <w:rPr>
          <w:sz w:val="28"/>
          <w:szCs w:val="28"/>
        </w:rPr>
        <w:t xml:space="preserve">Department of Labor and Employment (DOLE). (n.d.). </w:t>
      </w:r>
      <w:r w:rsidRPr="0068052D">
        <w:rPr>
          <w:i/>
          <w:iCs/>
          <w:sz w:val="28"/>
          <w:szCs w:val="28"/>
        </w:rPr>
        <w:t>Occupational Safety and Health Standards (OSHS)</w:t>
      </w:r>
      <w:r w:rsidRPr="0068052D">
        <w:rPr>
          <w:sz w:val="28"/>
          <w:szCs w:val="28"/>
        </w:rPr>
        <w:t xml:space="preserve">. Retrieved from </w:t>
      </w:r>
      <w:hyperlink r:id="rId5" w:tgtFrame="_new" w:history="1">
        <w:r w:rsidRPr="0068052D">
          <w:rPr>
            <w:rStyle w:val="Hyperlink"/>
            <w:sz w:val="28"/>
            <w:szCs w:val="28"/>
          </w:rPr>
          <w:t>https://www.dole.gov.ph/oshs</w:t>
        </w:r>
      </w:hyperlink>
    </w:p>
    <w:p w14:paraId="4D4588CC" w14:textId="77777777" w:rsidR="0068052D" w:rsidRPr="0068052D" w:rsidRDefault="0068052D" w:rsidP="0068052D">
      <w:pPr>
        <w:numPr>
          <w:ilvl w:val="0"/>
          <w:numId w:val="2"/>
        </w:numPr>
        <w:spacing w:line="240" w:lineRule="auto"/>
        <w:rPr>
          <w:sz w:val="28"/>
          <w:szCs w:val="28"/>
        </w:rPr>
      </w:pPr>
      <w:r w:rsidRPr="0068052D">
        <w:rPr>
          <w:sz w:val="28"/>
          <w:szCs w:val="28"/>
        </w:rPr>
        <w:t xml:space="preserve">Official Gazette. (2018). </w:t>
      </w:r>
      <w:r w:rsidRPr="0068052D">
        <w:rPr>
          <w:i/>
          <w:iCs/>
          <w:sz w:val="28"/>
          <w:szCs w:val="28"/>
        </w:rPr>
        <w:t>Republic Act No. 11058: Strengthening Compliance with Occupational Safety and Health Standards Act</w:t>
      </w:r>
      <w:r w:rsidRPr="0068052D">
        <w:rPr>
          <w:sz w:val="28"/>
          <w:szCs w:val="28"/>
        </w:rPr>
        <w:t xml:space="preserve">. Retrieved from </w:t>
      </w:r>
      <w:hyperlink r:id="rId6" w:tgtFrame="_new" w:history="1">
        <w:r w:rsidRPr="0068052D">
          <w:rPr>
            <w:rStyle w:val="Hyperlink"/>
            <w:sz w:val="28"/>
            <w:szCs w:val="28"/>
          </w:rPr>
          <w:t>https://www.officialgazette.gov.ph/ra11058</w:t>
        </w:r>
      </w:hyperlink>
    </w:p>
    <w:p w14:paraId="7F9DDAFD" w14:textId="77777777" w:rsidR="0068052D" w:rsidRPr="0068052D" w:rsidRDefault="0068052D" w:rsidP="0068052D">
      <w:pPr>
        <w:numPr>
          <w:ilvl w:val="0"/>
          <w:numId w:val="2"/>
        </w:numPr>
        <w:spacing w:line="240" w:lineRule="auto"/>
        <w:rPr>
          <w:sz w:val="28"/>
          <w:szCs w:val="28"/>
        </w:rPr>
      </w:pPr>
      <w:r w:rsidRPr="0068052D">
        <w:rPr>
          <w:sz w:val="28"/>
          <w:szCs w:val="28"/>
        </w:rPr>
        <w:t xml:space="preserve">Environmental Management Bureau (EMB). (2017). </w:t>
      </w:r>
      <w:r w:rsidRPr="0068052D">
        <w:rPr>
          <w:i/>
          <w:iCs/>
          <w:sz w:val="28"/>
          <w:szCs w:val="28"/>
        </w:rPr>
        <w:t>Republic Act No. 8749: Clean Air Act of 1999</w:t>
      </w:r>
      <w:r w:rsidRPr="0068052D">
        <w:rPr>
          <w:sz w:val="28"/>
          <w:szCs w:val="28"/>
        </w:rPr>
        <w:t xml:space="preserve">. Retrieved from </w:t>
      </w:r>
      <w:hyperlink r:id="rId7" w:tgtFrame="_new" w:history="1">
        <w:r w:rsidRPr="0068052D">
          <w:rPr>
            <w:rStyle w:val="Hyperlink"/>
            <w:sz w:val="28"/>
            <w:szCs w:val="28"/>
          </w:rPr>
          <w:t>https://www.emb.gov.ph/clean-air-act</w:t>
        </w:r>
      </w:hyperlink>
    </w:p>
    <w:p w14:paraId="65E716CA" w14:textId="77777777" w:rsidR="0068052D" w:rsidRPr="0068052D" w:rsidRDefault="0068052D" w:rsidP="0068052D">
      <w:pPr>
        <w:numPr>
          <w:ilvl w:val="0"/>
          <w:numId w:val="2"/>
        </w:numPr>
        <w:spacing w:line="240" w:lineRule="auto"/>
        <w:rPr>
          <w:sz w:val="28"/>
          <w:szCs w:val="28"/>
        </w:rPr>
      </w:pPr>
      <w:r w:rsidRPr="0068052D">
        <w:rPr>
          <w:sz w:val="28"/>
          <w:szCs w:val="28"/>
        </w:rPr>
        <w:t xml:space="preserve">Official Gazette. (2001). </w:t>
      </w:r>
      <w:r w:rsidRPr="0068052D">
        <w:rPr>
          <w:i/>
          <w:iCs/>
          <w:sz w:val="28"/>
          <w:szCs w:val="28"/>
        </w:rPr>
        <w:t>Republic Act No. 9003: Ecological Solid Waste Management Act of 2000</w:t>
      </w:r>
      <w:r w:rsidRPr="0068052D">
        <w:rPr>
          <w:sz w:val="28"/>
          <w:szCs w:val="28"/>
        </w:rPr>
        <w:t xml:space="preserve">. Retrieved from </w:t>
      </w:r>
      <w:hyperlink r:id="rId8" w:tgtFrame="_new" w:history="1">
        <w:r w:rsidRPr="0068052D">
          <w:rPr>
            <w:rStyle w:val="Hyperlink"/>
            <w:sz w:val="28"/>
            <w:szCs w:val="28"/>
          </w:rPr>
          <w:t>https://www.officialgazette.gov.ph/ra9003</w:t>
        </w:r>
      </w:hyperlink>
    </w:p>
    <w:p w14:paraId="6D623F63" w14:textId="77777777" w:rsidR="0068052D" w:rsidRPr="0068052D" w:rsidRDefault="0068052D" w:rsidP="0068052D">
      <w:pPr>
        <w:numPr>
          <w:ilvl w:val="0"/>
          <w:numId w:val="2"/>
        </w:numPr>
        <w:spacing w:line="240" w:lineRule="auto"/>
        <w:rPr>
          <w:sz w:val="28"/>
          <w:szCs w:val="28"/>
        </w:rPr>
      </w:pPr>
      <w:r w:rsidRPr="0068052D">
        <w:rPr>
          <w:sz w:val="28"/>
          <w:szCs w:val="28"/>
        </w:rPr>
        <w:t xml:space="preserve">Department of Labor and Employment (DOLE). (n.d.). </w:t>
      </w:r>
      <w:r w:rsidRPr="0068052D">
        <w:rPr>
          <w:i/>
          <w:iCs/>
          <w:sz w:val="28"/>
          <w:szCs w:val="28"/>
        </w:rPr>
        <w:t>Republic Act No. 6727: Wage Rationalization Act</w:t>
      </w:r>
      <w:r w:rsidRPr="0068052D">
        <w:rPr>
          <w:sz w:val="28"/>
          <w:szCs w:val="28"/>
        </w:rPr>
        <w:t xml:space="preserve">. Retrieved from </w:t>
      </w:r>
      <w:hyperlink r:id="rId9" w:tgtFrame="_new" w:history="1">
        <w:r w:rsidRPr="0068052D">
          <w:rPr>
            <w:rStyle w:val="Hyperlink"/>
            <w:sz w:val="28"/>
            <w:szCs w:val="28"/>
          </w:rPr>
          <w:t>https://www.dole.gov.ph/ra6727</w:t>
        </w:r>
      </w:hyperlink>
    </w:p>
    <w:p w14:paraId="6D26AA67" w14:textId="77777777" w:rsidR="0068052D" w:rsidRPr="0068052D" w:rsidRDefault="0068052D" w:rsidP="0068052D">
      <w:pPr>
        <w:numPr>
          <w:ilvl w:val="0"/>
          <w:numId w:val="2"/>
        </w:numPr>
        <w:spacing w:line="240" w:lineRule="auto"/>
        <w:rPr>
          <w:sz w:val="28"/>
          <w:szCs w:val="28"/>
        </w:rPr>
      </w:pPr>
      <w:r w:rsidRPr="0068052D">
        <w:rPr>
          <w:sz w:val="28"/>
          <w:szCs w:val="28"/>
        </w:rPr>
        <w:t xml:space="preserve">Official Gazette. (2020). </w:t>
      </w:r>
      <w:r w:rsidRPr="0068052D">
        <w:rPr>
          <w:i/>
          <w:iCs/>
          <w:sz w:val="28"/>
          <w:szCs w:val="28"/>
        </w:rPr>
        <w:t>Republic Act No. 7610: Special Protection of Children Against Abuse, Exploitation, and Discrimination Act</w:t>
      </w:r>
      <w:r w:rsidRPr="0068052D">
        <w:rPr>
          <w:sz w:val="28"/>
          <w:szCs w:val="28"/>
        </w:rPr>
        <w:t xml:space="preserve">. Retrieved from </w:t>
      </w:r>
      <w:hyperlink r:id="rId10" w:tgtFrame="_new" w:history="1">
        <w:r w:rsidRPr="0068052D">
          <w:rPr>
            <w:rStyle w:val="Hyperlink"/>
            <w:sz w:val="28"/>
            <w:szCs w:val="28"/>
          </w:rPr>
          <w:t>https://www.officialgazette.gov.ph/ra7610</w:t>
        </w:r>
      </w:hyperlink>
    </w:p>
    <w:p w14:paraId="7F6431EB" w14:textId="77777777" w:rsidR="0068052D" w:rsidRPr="0068052D" w:rsidRDefault="0068052D" w:rsidP="0068052D">
      <w:pPr>
        <w:numPr>
          <w:ilvl w:val="0"/>
          <w:numId w:val="2"/>
        </w:numPr>
        <w:spacing w:line="240" w:lineRule="auto"/>
        <w:rPr>
          <w:sz w:val="28"/>
          <w:szCs w:val="28"/>
        </w:rPr>
      </w:pPr>
      <w:r w:rsidRPr="0068052D">
        <w:rPr>
          <w:sz w:val="28"/>
          <w:szCs w:val="28"/>
        </w:rPr>
        <w:t xml:space="preserve">Official Gazette. (2020). </w:t>
      </w:r>
      <w:r w:rsidRPr="0068052D">
        <w:rPr>
          <w:i/>
          <w:iCs/>
          <w:sz w:val="28"/>
          <w:szCs w:val="28"/>
        </w:rPr>
        <w:t>Republic Act No. 11360: Service Charge Law</w:t>
      </w:r>
      <w:r w:rsidRPr="0068052D">
        <w:rPr>
          <w:sz w:val="28"/>
          <w:szCs w:val="28"/>
        </w:rPr>
        <w:t xml:space="preserve">. Retrieved from </w:t>
      </w:r>
      <w:hyperlink r:id="rId11" w:tgtFrame="_new" w:history="1">
        <w:r w:rsidRPr="0068052D">
          <w:rPr>
            <w:rStyle w:val="Hyperlink"/>
            <w:sz w:val="28"/>
            <w:szCs w:val="28"/>
          </w:rPr>
          <w:t>https://www.officialgazette.gov.ph/ra11360</w:t>
        </w:r>
      </w:hyperlink>
    </w:p>
    <w:p w14:paraId="41DBF1FE" w14:textId="77777777" w:rsidR="0068052D" w:rsidRPr="0068052D" w:rsidRDefault="0068052D" w:rsidP="0068052D">
      <w:pPr>
        <w:numPr>
          <w:ilvl w:val="0"/>
          <w:numId w:val="2"/>
        </w:numPr>
        <w:spacing w:line="240" w:lineRule="auto"/>
        <w:rPr>
          <w:sz w:val="28"/>
          <w:szCs w:val="28"/>
        </w:rPr>
      </w:pPr>
      <w:r w:rsidRPr="0068052D">
        <w:rPr>
          <w:sz w:val="28"/>
          <w:szCs w:val="28"/>
        </w:rPr>
        <w:lastRenderedPageBreak/>
        <w:t xml:space="preserve">Department of Labor and Employment (DOLE). (n.d.). </w:t>
      </w:r>
      <w:r w:rsidRPr="0068052D">
        <w:rPr>
          <w:i/>
          <w:iCs/>
          <w:sz w:val="28"/>
          <w:szCs w:val="28"/>
        </w:rPr>
        <w:t xml:space="preserve">Republic Act No. 10361: Batas </w:t>
      </w:r>
      <w:proofErr w:type="spellStart"/>
      <w:r w:rsidRPr="0068052D">
        <w:rPr>
          <w:i/>
          <w:iCs/>
          <w:sz w:val="28"/>
          <w:szCs w:val="28"/>
        </w:rPr>
        <w:t>Kasambahay</w:t>
      </w:r>
      <w:proofErr w:type="spellEnd"/>
      <w:r w:rsidRPr="0068052D">
        <w:rPr>
          <w:i/>
          <w:iCs/>
          <w:sz w:val="28"/>
          <w:szCs w:val="28"/>
        </w:rPr>
        <w:t xml:space="preserve"> (Domestic Workers Act)</w:t>
      </w:r>
      <w:r w:rsidRPr="0068052D">
        <w:rPr>
          <w:sz w:val="28"/>
          <w:szCs w:val="28"/>
        </w:rPr>
        <w:t xml:space="preserve">. Retrieved from </w:t>
      </w:r>
      <w:hyperlink r:id="rId12" w:tgtFrame="_new" w:history="1">
        <w:r w:rsidRPr="0068052D">
          <w:rPr>
            <w:rStyle w:val="Hyperlink"/>
            <w:sz w:val="28"/>
            <w:szCs w:val="28"/>
          </w:rPr>
          <w:t>https://www.dole.gov.ph/ra10361</w:t>
        </w:r>
      </w:hyperlink>
    </w:p>
    <w:p w14:paraId="2DDF6D39" w14:textId="77777777" w:rsidR="0068052D" w:rsidRPr="0068052D" w:rsidRDefault="0068052D" w:rsidP="0068052D">
      <w:pPr>
        <w:numPr>
          <w:ilvl w:val="0"/>
          <w:numId w:val="2"/>
        </w:numPr>
        <w:spacing w:line="240" w:lineRule="auto"/>
        <w:rPr>
          <w:sz w:val="28"/>
          <w:szCs w:val="28"/>
        </w:rPr>
      </w:pPr>
      <w:r w:rsidRPr="0068052D">
        <w:rPr>
          <w:sz w:val="28"/>
          <w:szCs w:val="28"/>
        </w:rPr>
        <w:t xml:space="preserve">Social Security System (SSS). (n.d.). </w:t>
      </w:r>
      <w:r w:rsidRPr="0068052D">
        <w:rPr>
          <w:i/>
          <w:iCs/>
          <w:sz w:val="28"/>
          <w:szCs w:val="28"/>
        </w:rPr>
        <w:t>Republic Act No. 8282: Social Security Act of 1997</w:t>
      </w:r>
      <w:r w:rsidRPr="0068052D">
        <w:rPr>
          <w:sz w:val="28"/>
          <w:szCs w:val="28"/>
        </w:rPr>
        <w:t xml:space="preserve">. Retrieved from </w:t>
      </w:r>
      <w:hyperlink r:id="rId13" w:tgtFrame="_new" w:history="1">
        <w:r w:rsidRPr="0068052D">
          <w:rPr>
            <w:rStyle w:val="Hyperlink"/>
            <w:sz w:val="28"/>
            <w:szCs w:val="28"/>
          </w:rPr>
          <w:t>https://www.sss.gov.ph/social-security-act</w:t>
        </w:r>
      </w:hyperlink>
    </w:p>
    <w:p w14:paraId="5007F0C8" w14:textId="77777777" w:rsidR="0068052D" w:rsidRPr="0068052D" w:rsidRDefault="0068052D" w:rsidP="0068052D">
      <w:pPr>
        <w:spacing w:line="240" w:lineRule="auto"/>
        <w:rPr>
          <w:sz w:val="28"/>
          <w:szCs w:val="28"/>
          <w:lang w:val="en-US"/>
        </w:rPr>
      </w:pPr>
    </w:p>
    <w:sectPr w:rsidR="0068052D" w:rsidRPr="006805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85ABB"/>
    <w:multiLevelType w:val="multilevel"/>
    <w:tmpl w:val="F6D6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E7019E"/>
    <w:multiLevelType w:val="multilevel"/>
    <w:tmpl w:val="7060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450513">
    <w:abstractNumId w:val="0"/>
  </w:num>
  <w:num w:numId="2" w16cid:durableId="1830321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52D"/>
    <w:rsid w:val="002B128C"/>
    <w:rsid w:val="004C32C9"/>
    <w:rsid w:val="0068052D"/>
    <w:rsid w:val="00D768F3"/>
    <w:rsid w:val="00F24A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91E3A"/>
  <w15:chartTrackingRefBased/>
  <w15:docId w15:val="{E68CA67F-FA57-4C7E-80C4-C9302CFBF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5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05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05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05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05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05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5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5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5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5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05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05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05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05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05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5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5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52D"/>
    <w:rPr>
      <w:rFonts w:eastAsiaTheme="majorEastAsia" w:cstheme="majorBidi"/>
      <w:color w:val="272727" w:themeColor="text1" w:themeTint="D8"/>
    </w:rPr>
  </w:style>
  <w:style w:type="paragraph" w:styleId="Title">
    <w:name w:val="Title"/>
    <w:basedOn w:val="Normal"/>
    <w:next w:val="Normal"/>
    <w:link w:val="TitleChar"/>
    <w:uiPriority w:val="10"/>
    <w:qFormat/>
    <w:rsid w:val="006805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5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5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5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52D"/>
    <w:pPr>
      <w:spacing w:before="160"/>
      <w:jc w:val="center"/>
    </w:pPr>
    <w:rPr>
      <w:i/>
      <w:iCs/>
      <w:color w:val="404040" w:themeColor="text1" w:themeTint="BF"/>
    </w:rPr>
  </w:style>
  <w:style w:type="character" w:customStyle="1" w:styleId="QuoteChar">
    <w:name w:val="Quote Char"/>
    <w:basedOn w:val="DefaultParagraphFont"/>
    <w:link w:val="Quote"/>
    <w:uiPriority w:val="29"/>
    <w:rsid w:val="0068052D"/>
    <w:rPr>
      <w:i/>
      <w:iCs/>
      <w:color w:val="404040" w:themeColor="text1" w:themeTint="BF"/>
    </w:rPr>
  </w:style>
  <w:style w:type="paragraph" w:styleId="ListParagraph">
    <w:name w:val="List Paragraph"/>
    <w:basedOn w:val="Normal"/>
    <w:uiPriority w:val="34"/>
    <w:qFormat/>
    <w:rsid w:val="0068052D"/>
    <w:pPr>
      <w:ind w:left="720"/>
      <w:contextualSpacing/>
    </w:pPr>
  </w:style>
  <w:style w:type="character" w:styleId="IntenseEmphasis">
    <w:name w:val="Intense Emphasis"/>
    <w:basedOn w:val="DefaultParagraphFont"/>
    <w:uiPriority w:val="21"/>
    <w:qFormat/>
    <w:rsid w:val="0068052D"/>
    <w:rPr>
      <w:i/>
      <w:iCs/>
      <w:color w:val="0F4761" w:themeColor="accent1" w:themeShade="BF"/>
    </w:rPr>
  </w:style>
  <w:style w:type="paragraph" w:styleId="IntenseQuote">
    <w:name w:val="Intense Quote"/>
    <w:basedOn w:val="Normal"/>
    <w:next w:val="Normal"/>
    <w:link w:val="IntenseQuoteChar"/>
    <w:uiPriority w:val="30"/>
    <w:qFormat/>
    <w:rsid w:val="006805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052D"/>
    <w:rPr>
      <w:i/>
      <w:iCs/>
      <w:color w:val="0F4761" w:themeColor="accent1" w:themeShade="BF"/>
    </w:rPr>
  </w:style>
  <w:style w:type="character" w:styleId="IntenseReference">
    <w:name w:val="Intense Reference"/>
    <w:basedOn w:val="DefaultParagraphFont"/>
    <w:uiPriority w:val="32"/>
    <w:qFormat/>
    <w:rsid w:val="0068052D"/>
    <w:rPr>
      <w:b/>
      <w:bCs/>
      <w:smallCaps/>
      <w:color w:val="0F4761" w:themeColor="accent1" w:themeShade="BF"/>
      <w:spacing w:val="5"/>
    </w:rPr>
  </w:style>
  <w:style w:type="character" w:styleId="Hyperlink">
    <w:name w:val="Hyperlink"/>
    <w:basedOn w:val="DefaultParagraphFont"/>
    <w:uiPriority w:val="99"/>
    <w:unhideWhenUsed/>
    <w:rsid w:val="0068052D"/>
    <w:rPr>
      <w:color w:val="467886" w:themeColor="hyperlink"/>
      <w:u w:val="single"/>
    </w:rPr>
  </w:style>
  <w:style w:type="character" w:styleId="UnresolvedMention">
    <w:name w:val="Unresolved Mention"/>
    <w:basedOn w:val="DefaultParagraphFont"/>
    <w:uiPriority w:val="99"/>
    <w:semiHidden/>
    <w:unhideWhenUsed/>
    <w:rsid w:val="006805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89274">
      <w:bodyDiv w:val="1"/>
      <w:marLeft w:val="0"/>
      <w:marRight w:val="0"/>
      <w:marTop w:val="0"/>
      <w:marBottom w:val="0"/>
      <w:divBdr>
        <w:top w:val="none" w:sz="0" w:space="0" w:color="auto"/>
        <w:left w:val="none" w:sz="0" w:space="0" w:color="auto"/>
        <w:bottom w:val="none" w:sz="0" w:space="0" w:color="auto"/>
        <w:right w:val="none" w:sz="0" w:space="0" w:color="auto"/>
      </w:divBdr>
    </w:div>
    <w:div w:id="183205859">
      <w:bodyDiv w:val="1"/>
      <w:marLeft w:val="0"/>
      <w:marRight w:val="0"/>
      <w:marTop w:val="0"/>
      <w:marBottom w:val="0"/>
      <w:divBdr>
        <w:top w:val="none" w:sz="0" w:space="0" w:color="auto"/>
        <w:left w:val="none" w:sz="0" w:space="0" w:color="auto"/>
        <w:bottom w:val="none" w:sz="0" w:space="0" w:color="auto"/>
        <w:right w:val="none" w:sz="0" w:space="0" w:color="auto"/>
      </w:divBdr>
    </w:div>
    <w:div w:id="331686473">
      <w:bodyDiv w:val="1"/>
      <w:marLeft w:val="0"/>
      <w:marRight w:val="0"/>
      <w:marTop w:val="0"/>
      <w:marBottom w:val="0"/>
      <w:divBdr>
        <w:top w:val="none" w:sz="0" w:space="0" w:color="auto"/>
        <w:left w:val="none" w:sz="0" w:space="0" w:color="auto"/>
        <w:bottom w:val="none" w:sz="0" w:space="0" w:color="auto"/>
        <w:right w:val="none" w:sz="0" w:space="0" w:color="auto"/>
      </w:divBdr>
    </w:div>
    <w:div w:id="545069834">
      <w:bodyDiv w:val="1"/>
      <w:marLeft w:val="0"/>
      <w:marRight w:val="0"/>
      <w:marTop w:val="0"/>
      <w:marBottom w:val="0"/>
      <w:divBdr>
        <w:top w:val="none" w:sz="0" w:space="0" w:color="auto"/>
        <w:left w:val="none" w:sz="0" w:space="0" w:color="auto"/>
        <w:bottom w:val="none" w:sz="0" w:space="0" w:color="auto"/>
        <w:right w:val="none" w:sz="0" w:space="0" w:color="auto"/>
      </w:divBdr>
    </w:div>
    <w:div w:id="751505895">
      <w:bodyDiv w:val="1"/>
      <w:marLeft w:val="0"/>
      <w:marRight w:val="0"/>
      <w:marTop w:val="0"/>
      <w:marBottom w:val="0"/>
      <w:divBdr>
        <w:top w:val="none" w:sz="0" w:space="0" w:color="auto"/>
        <w:left w:val="none" w:sz="0" w:space="0" w:color="auto"/>
        <w:bottom w:val="none" w:sz="0" w:space="0" w:color="auto"/>
        <w:right w:val="none" w:sz="0" w:space="0" w:color="auto"/>
      </w:divBdr>
    </w:div>
    <w:div w:id="871958044">
      <w:bodyDiv w:val="1"/>
      <w:marLeft w:val="0"/>
      <w:marRight w:val="0"/>
      <w:marTop w:val="0"/>
      <w:marBottom w:val="0"/>
      <w:divBdr>
        <w:top w:val="none" w:sz="0" w:space="0" w:color="auto"/>
        <w:left w:val="none" w:sz="0" w:space="0" w:color="auto"/>
        <w:bottom w:val="none" w:sz="0" w:space="0" w:color="auto"/>
        <w:right w:val="none" w:sz="0" w:space="0" w:color="auto"/>
      </w:divBdr>
    </w:div>
    <w:div w:id="1230459326">
      <w:bodyDiv w:val="1"/>
      <w:marLeft w:val="0"/>
      <w:marRight w:val="0"/>
      <w:marTop w:val="0"/>
      <w:marBottom w:val="0"/>
      <w:divBdr>
        <w:top w:val="none" w:sz="0" w:space="0" w:color="auto"/>
        <w:left w:val="none" w:sz="0" w:space="0" w:color="auto"/>
        <w:bottom w:val="none" w:sz="0" w:space="0" w:color="auto"/>
        <w:right w:val="none" w:sz="0" w:space="0" w:color="auto"/>
      </w:divBdr>
    </w:div>
    <w:div w:id="1259681239">
      <w:bodyDiv w:val="1"/>
      <w:marLeft w:val="0"/>
      <w:marRight w:val="0"/>
      <w:marTop w:val="0"/>
      <w:marBottom w:val="0"/>
      <w:divBdr>
        <w:top w:val="none" w:sz="0" w:space="0" w:color="auto"/>
        <w:left w:val="none" w:sz="0" w:space="0" w:color="auto"/>
        <w:bottom w:val="none" w:sz="0" w:space="0" w:color="auto"/>
        <w:right w:val="none" w:sz="0" w:space="0" w:color="auto"/>
      </w:divBdr>
    </w:div>
    <w:div w:id="1383869862">
      <w:bodyDiv w:val="1"/>
      <w:marLeft w:val="0"/>
      <w:marRight w:val="0"/>
      <w:marTop w:val="0"/>
      <w:marBottom w:val="0"/>
      <w:divBdr>
        <w:top w:val="none" w:sz="0" w:space="0" w:color="auto"/>
        <w:left w:val="none" w:sz="0" w:space="0" w:color="auto"/>
        <w:bottom w:val="none" w:sz="0" w:space="0" w:color="auto"/>
        <w:right w:val="none" w:sz="0" w:space="0" w:color="auto"/>
      </w:divBdr>
    </w:div>
    <w:div w:id="1605530026">
      <w:bodyDiv w:val="1"/>
      <w:marLeft w:val="0"/>
      <w:marRight w:val="0"/>
      <w:marTop w:val="0"/>
      <w:marBottom w:val="0"/>
      <w:divBdr>
        <w:top w:val="none" w:sz="0" w:space="0" w:color="auto"/>
        <w:left w:val="none" w:sz="0" w:space="0" w:color="auto"/>
        <w:bottom w:val="none" w:sz="0" w:space="0" w:color="auto"/>
        <w:right w:val="none" w:sz="0" w:space="0" w:color="auto"/>
      </w:divBdr>
    </w:div>
    <w:div w:id="1709601682">
      <w:bodyDiv w:val="1"/>
      <w:marLeft w:val="0"/>
      <w:marRight w:val="0"/>
      <w:marTop w:val="0"/>
      <w:marBottom w:val="0"/>
      <w:divBdr>
        <w:top w:val="none" w:sz="0" w:space="0" w:color="auto"/>
        <w:left w:val="none" w:sz="0" w:space="0" w:color="auto"/>
        <w:bottom w:val="none" w:sz="0" w:space="0" w:color="auto"/>
        <w:right w:val="none" w:sz="0" w:space="0" w:color="auto"/>
      </w:divBdr>
    </w:div>
    <w:div w:id="1747149625">
      <w:bodyDiv w:val="1"/>
      <w:marLeft w:val="0"/>
      <w:marRight w:val="0"/>
      <w:marTop w:val="0"/>
      <w:marBottom w:val="0"/>
      <w:divBdr>
        <w:top w:val="none" w:sz="0" w:space="0" w:color="auto"/>
        <w:left w:val="none" w:sz="0" w:space="0" w:color="auto"/>
        <w:bottom w:val="none" w:sz="0" w:space="0" w:color="auto"/>
        <w:right w:val="none" w:sz="0" w:space="0" w:color="auto"/>
      </w:divBdr>
    </w:div>
    <w:div w:id="1817451684">
      <w:bodyDiv w:val="1"/>
      <w:marLeft w:val="0"/>
      <w:marRight w:val="0"/>
      <w:marTop w:val="0"/>
      <w:marBottom w:val="0"/>
      <w:divBdr>
        <w:top w:val="none" w:sz="0" w:space="0" w:color="auto"/>
        <w:left w:val="none" w:sz="0" w:space="0" w:color="auto"/>
        <w:bottom w:val="none" w:sz="0" w:space="0" w:color="auto"/>
        <w:right w:val="none" w:sz="0" w:space="0" w:color="auto"/>
      </w:divBdr>
    </w:div>
    <w:div w:id="1834948233">
      <w:bodyDiv w:val="1"/>
      <w:marLeft w:val="0"/>
      <w:marRight w:val="0"/>
      <w:marTop w:val="0"/>
      <w:marBottom w:val="0"/>
      <w:divBdr>
        <w:top w:val="none" w:sz="0" w:space="0" w:color="auto"/>
        <w:left w:val="none" w:sz="0" w:space="0" w:color="auto"/>
        <w:bottom w:val="none" w:sz="0" w:space="0" w:color="auto"/>
        <w:right w:val="none" w:sz="0" w:space="0" w:color="auto"/>
      </w:divBdr>
    </w:div>
    <w:div w:id="1860854525">
      <w:bodyDiv w:val="1"/>
      <w:marLeft w:val="0"/>
      <w:marRight w:val="0"/>
      <w:marTop w:val="0"/>
      <w:marBottom w:val="0"/>
      <w:divBdr>
        <w:top w:val="none" w:sz="0" w:space="0" w:color="auto"/>
        <w:left w:val="none" w:sz="0" w:space="0" w:color="auto"/>
        <w:bottom w:val="none" w:sz="0" w:space="0" w:color="auto"/>
        <w:right w:val="none" w:sz="0" w:space="0" w:color="auto"/>
      </w:divBdr>
    </w:div>
    <w:div w:id="192873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fficialgazette.gov.ph/ra9003" TargetMode="External"/><Relationship Id="rId13" Type="http://schemas.openxmlformats.org/officeDocument/2006/relationships/hyperlink" Target="https://www.sss.gov.ph/social-security-act" TargetMode="External"/><Relationship Id="rId3" Type="http://schemas.openxmlformats.org/officeDocument/2006/relationships/settings" Target="settings.xml"/><Relationship Id="rId7" Type="http://schemas.openxmlformats.org/officeDocument/2006/relationships/hyperlink" Target="https://www.emb.gov.ph/clean-air-act" TargetMode="External"/><Relationship Id="rId12" Type="http://schemas.openxmlformats.org/officeDocument/2006/relationships/hyperlink" Target="https://www.dole.gov.ph/ra103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fficialgazette.gov.ph/ra11058" TargetMode="External"/><Relationship Id="rId11" Type="http://schemas.openxmlformats.org/officeDocument/2006/relationships/hyperlink" Target="https://www.officialgazette.gov.ph/ra11360" TargetMode="External"/><Relationship Id="rId5" Type="http://schemas.openxmlformats.org/officeDocument/2006/relationships/hyperlink" Target="https://www.dole.gov.ph/oshs" TargetMode="External"/><Relationship Id="rId15" Type="http://schemas.openxmlformats.org/officeDocument/2006/relationships/theme" Target="theme/theme1.xml"/><Relationship Id="rId10" Type="http://schemas.openxmlformats.org/officeDocument/2006/relationships/hyperlink" Target="https://www.officialgazette.gov.ph/ra7610" TargetMode="External"/><Relationship Id="rId4" Type="http://schemas.openxmlformats.org/officeDocument/2006/relationships/webSettings" Target="webSettings.xml"/><Relationship Id="rId9" Type="http://schemas.openxmlformats.org/officeDocument/2006/relationships/hyperlink" Target="https://www.dole.gov.ph/ra672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936</Words>
  <Characters>5336</Characters>
  <Application>Microsoft Office Word</Application>
  <DocSecurity>0</DocSecurity>
  <Lines>44</Lines>
  <Paragraphs>12</Paragraphs>
  <ScaleCrop>false</ScaleCrop>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Michael Guevarra</dc:creator>
  <cp:keywords/>
  <dc:description/>
  <cp:lastModifiedBy>John Michael Guevarra</cp:lastModifiedBy>
  <cp:revision>1</cp:revision>
  <dcterms:created xsi:type="dcterms:W3CDTF">2024-12-14T02:32:00Z</dcterms:created>
  <dcterms:modified xsi:type="dcterms:W3CDTF">2024-12-14T02:41:00Z</dcterms:modified>
</cp:coreProperties>
</file>