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9C3CD" w14:textId="77777777" w:rsidR="00F426F9" w:rsidRPr="00F426F9" w:rsidRDefault="00F426F9" w:rsidP="00F426F9">
      <w:pPr>
        <w:shd w:val="clear" w:color="auto" w:fill="FFFFFF"/>
        <w:spacing w:line="540" w:lineRule="atLeast"/>
        <w:outlineLvl w:val="0"/>
        <w:rPr>
          <w:rFonts w:ascii="Lora" w:eastAsia="Times New Roman" w:hAnsi="Lora" w:cs="Times New Roman"/>
          <w:b/>
          <w:bCs/>
          <w:color w:val="363737"/>
          <w:kern w:val="36"/>
          <w:sz w:val="48"/>
          <w:szCs w:val="48"/>
          <w14:ligatures w14:val="none"/>
        </w:rPr>
      </w:pPr>
      <w:r w:rsidRPr="00F426F9">
        <w:rPr>
          <w:rFonts w:ascii="Lora" w:eastAsia="Times New Roman" w:hAnsi="Lora" w:cs="Times New Roman"/>
          <w:b/>
          <w:bCs/>
          <w:color w:val="363737"/>
          <w:kern w:val="36"/>
          <w:sz w:val="48"/>
          <w:szCs w:val="48"/>
          <w14:ligatures w14:val="none"/>
        </w:rPr>
        <w:t>History of the Market Regime Model - Conclusion</w:t>
      </w:r>
    </w:p>
    <w:p w14:paraId="6A898ABA" w14:textId="77777777" w:rsidR="00F426F9" w:rsidRPr="00F426F9" w:rsidRDefault="00F426F9" w:rsidP="00F426F9">
      <w:pPr>
        <w:shd w:val="clear" w:color="auto" w:fill="FFFFFF"/>
        <w:spacing w:before="180" w:line="360" w:lineRule="atLeast"/>
        <w:outlineLvl w:val="2"/>
        <w:rPr>
          <w:rFonts w:ascii="Lora" w:eastAsia="Times New Roman" w:hAnsi="Lora" w:cs="Times New Roman"/>
          <w:color w:val="868787"/>
          <w:kern w:val="0"/>
          <w:sz w:val="27"/>
          <w:szCs w:val="27"/>
          <w14:ligatures w14:val="none"/>
        </w:rPr>
      </w:pPr>
      <w:r w:rsidRPr="00F426F9">
        <w:rPr>
          <w:rFonts w:ascii="Lora" w:eastAsia="Times New Roman" w:hAnsi="Lora" w:cs="Times New Roman"/>
          <w:color w:val="868787"/>
          <w:kern w:val="0"/>
          <w:sz w:val="27"/>
          <w:szCs w:val="27"/>
          <w14:ligatures w14:val="none"/>
        </w:rPr>
        <w:t>2010 - 2025: Summing up the Market Regime model performance over the past 15+ years</w:t>
      </w:r>
    </w:p>
    <w:p w14:paraId="399BFA21" w14:textId="77777777" w:rsidR="00F426F9" w:rsidRPr="00F426F9" w:rsidRDefault="00F426F9" w:rsidP="00F426F9">
      <w:pPr>
        <w:shd w:val="clear" w:color="auto" w:fill="FFFFFF"/>
        <w:spacing w:line="300" w:lineRule="atLeast"/>
        <w:rPr>
          <w:rFonts w:ascii="Segoe UI" w:eastAsia="Times New Roman" w:hAnsi="Segoe UI" w:cs="Segoe UI"/>
          <w:caps/>
          <w:color w:val="868787"/>
          <w:spacing w:val="3"/>
          <w:kern w:val="0"/>
          <w:sz w:val="17"/>
          <w:szCs w:val="17"/>
          <w14:ligatures w14:val="none"/>
        </w:rPr>
      </w:pPr>
      <w:r w:rsidRPr="00F426F9">
        <w:rPr>
          <w:rFonts w:ascii="Segoe UI" w:eastAsia="Times New Roman" w:hAnsi="Segoe UI" w:cs="Segoe UI"/>
          <w:caps/>
          <w:color w:val="868787"/>
          <w:spacing w:val="3"/>
          <w:kern w:val="0"/>
          <w:sz w:val="17"/>
          <w:szCs w:val="17"/>
          <w14:ligatures w14:val="none"/>
        </w:rPr>
        <w:t>Jan 27, 2026</w:t>
      </w:r>
    </w:p>
    <w:p w14:paraId="2FD7A7CB"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i/>
          <w:iCs/>
          <w:color w:val="363737"/>
          <w:kern w:val="0"/>
          <w:sz w:val="29"/>
          <w:szCs w:val="29"/>
          <w14:ligatures w14:val="none"/>
        </w:rPr>
        <w:t>History of the Market Regime Model: </w:t>
      </w:r>
      <w:hyperlink r:id="rId5" w:history="1">
        <w:r w:rsidRPr="00F426F9">
          <w:rPr>
            <w:rFonts w:ascii="Times New Roman" w:eastAsia="Times New Roman" w:hAnsi="Times New Roman" w:cs="Times New Roman"/>
            <w:i/>
            <w:iCs/>
            <w:color w:val="363737"/>
            <w:kern w:val="0"/>
            <w:sz w:val="29"/>
            <w:szCs w:val="29"/>
            <w:u w:val="single"/>
            <w14:ligatures w14:val="none"/>
          </w:rPr>
          <w:t>Part1</w:t>
        </w:r>
      </w:hyperlink>
      <w:r w:rsidRPr="00F426F9">
        <w:rPr>
          <w:rFonts w:ascii="Times New Roman" w:eastAsia="Times New Roman" w:hAnsi="Times New Roman" w:cs="Times New Roman"/>
          <w:i/>
          <w:iCs/>
          <w:color w:val="363737"/>
          <w:kern w:val="0"/>
          <w:sz w:val="29"/>
          <w:szCs w:val="29"/>
          <w14:ligatures w14:val="none"/>
        </w:rPr>
        <w:t>, </w:t>
      </w:r>
      <w:hyperlink r:id="rId6" w:history="1">
        <w:r w:rsidRPr="00F426F9">
          <w:rPr>
            <w:rFonts w:ascii="Times New Roman" w:eastAsia="Times New Roman" w:hAnsi="Times New Roman" w:cs="Times New Roman"/>
            <w:i/>
            <w:iCs/>
            <w:color w:val="363737"/>
            <w:kern w:val="0"/>
            <w:sz w:val="29"/>
            <w:szCs w:val="29"/>
            <w:u w:val="single"/>
            <w14:ligatures w14:val="none"/>
          </w:rPr>
          <w:t>Part 2</w:t>
        </w:r>
      </w:hyperlink>
      <w:r w:rsidRPr="00F426F9">
        <w:rPr>
          <w:rFonts w:ascii="Times New Roman" w:eastAsia="Times New Roman" w:hAnsi="Times New Roman" w:cs="Times New Roman"/>
          <w:i/>
          <w:iCs/>
          <w:color w:val="363737"/>
          <w:kern w:val="0"/>
          <w:sz w:val="29"/>
          <w:szCs w:val="29"/>
          <w14:ligatures w14:val="none"/>
        </w:rPr>
        <w:t>, </w:t>
      </w:r>
      <w:hyperlink r:id="rId7" w:history="1">
        <w:r w:rsidRPr="00F426F9">
          <w:rPr>
            <w:rFonts w:ascii="Times New Roman" w:eastAsia="Times New Roman" w:hAnsi="Times New Roman" w:cs="Times New Roman"/>
            <w:i/>
            <w:iCs/>
            <w:color w:val="363737"/>
            <w:kern w:val="0"/>
            <w:sz w:val="29"/>
            <w:szCs w:val="29"/>
            <w:u w:val="single"/>
            <w14:ligatures w14:val="none"/>
          </w:rPr>
          <w:t>Part 3</w:t>
        </w:r>
      </w:hyperlink>
      <w:r w:rsidRPr="00F426F9">
        <w:rPr>
          <w:rFonts w:ascii="Times New Roman" w:eastAsia="Times New Roman" w:hAnsi="Times New Roman" w:cs="Times New Roman"/>
          <w:i/>
          <w:iCs/>
          <w:color w:val="363737"/>
          <w:kern w:val="0"/>
          <w:sz w:val="29"/>
          <w:szCs w:val="29"/>
          <w14:ligatures w14:val="none"/>
        </w:rPr>
        <w:t>, </w:t>
      </w:r>
      <w:hyperlink r:id="rId8" w:history="1">
        <w:r w:rsidRPr="00F426F9">
          <w:rPr>
            <w:rFonts w:ascii="Times New Roman" w:eastAsia="Times New Roman" w:hAnsi="Times New Roman" w:cs="Times New Roman"/>
            <w:i/>
            <w:iCs/>
            <w:color w:val="363737"/>
            <w:kern w:val="0"/>
            <w:sz w:val="29"/>
            <w:szCs w:val="29"/>
            <w:u w:val="single"/>
            <w14:ligatures w14:val="none"/>
          </w:rPr>
          <w:t>Part 4</w:t>
        </w:r>
      </w:hyperlink>
      <w:r w:rsidRPr="00F426F9">
        <w:rPr>
          <w:rFonts w:ascii="Times New Roman" w:eastAsia="Times New Roman" w:hAnsi="Times New Roman" w:cs="Times New Roman"/>
          <w:i/>
          <w:iCs/>
          <w:color w:val="363737"/>
          <w:kern w:val="0"/>
          <w:sz w:val="29"/>
          <w:szCs w:val="29"/>
          <w14:ligatures w14:val="none"/>
        </w:rPr>
        <w:t>, </w:t>
      </w:r>
      <w:hyperlink r:id="rId9" w:history="1">
        <w:r w:rsidRPr="00F426F9">
          <w:rPr>
            <w:rFonts w:ascii="Times New Roman" w:eastAsia="Times New Roman" w:hAnsi="Times New Roman" w:cs="Times New Roman"/>
            <w:i/>
            <w:iCs/>
            <w:color w:val="363737"/>
            <w:kern w:val="0"/>
            <w:sz w:val="29"/>
            <w:szCs w:val="29"/>
            <w:u w:val="single"/>
            <w14:ligatures w14:val="none"/>
          </w:rPr>
          <w:t>Part 5</w:t>
        </w:r>
      </w:hyperlink>
      <w:r w:rsidRPr="00F426F9">
        <w:rPr>
          <w:rFonts w:ascii="Times New Roman" w:eastAsia="Times New Roman" w:hAnsi="Times New Roman" w:cs="Times New Roman"/>
          <w:i/>
          <w:iCs/>
          <w:color w:val="363737"/>
          <w:kern w:val="0"/>
          <w:sz w:val="29"/>
          <w:szCs w:val="29"/>
          <w14:ligatures w14:val="none"/>
        </w:rPr>
        <w:t>, </w:t>
      </w:r>
      <w:hyperlink r:id="rId10" w:history="1">
        <w:r w:rsidRPr="00F426F9">
          <w:rPr>
            <w:rFonts w:ascii="Times New Roman" w:eastAsia="Times New Roman" w:hAnsi="Times New Roman" w:cs="Times New Roman"/>
            <w:i/>
            <w:iCs/>
            <w:color w:val="363737"/>
            <w:kern w:val="0"/>
            <w:sz w:val="29"/>
            <w:szCs w:val="29"/>
            <w:u w:val="single"/>
            <w14:ligatures w14:val="none"/>
          </w:rPr>
          <w:t>Part 6</w:t>
        </w:r>
      </w:hyperlink>
    </w:p>
    <w:p w14:paraId="7F4CEE7C"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I hope this historical walkthrough of the Market Regime model was helpful. While past performance never guarantees future results—which is why </w:t>
      </w:r>
      <w:hyperlink r:id="rId11" w:history="1">
        <w:r w:rsidRPr="00F426F9">
          <w:rPr>
            <w:rFonts w:ascii="Times New Roman" w:eastAsia="Times New Roman" w:hAnsi="Times New Roman" w:cs="Times New Roman"/>
            <w:color w:val="363737"/>
            <w:kern w:val="0"/>
            <w:sz w:val="29"/>
            <w:szCs w:val="29"/>
            <w:u w:val="single"/>
            <w14:ligatures w14:val="none"/>
          </w:rPr>
          <w:t>live tracking</w:t>
        </w:r>
      </w:hyperlink>
      <w:r w:rsidRPr="00F426F9">
        <w:rPr>
          <w:rFonts w:ascii="Times New Roman" w:eastAsia="Times New Roman" w:hAnsi="Times New Roman" w:cs="Times New Roman"/>
          <w:color w:val="363737"/>
          <w:kern w:val="0"/>
          <w:sz w:val="29"/>
          <w:szCs w:val="29"/>
          <w14:ligatures w14:val="none"/>
        </w:rPr>
        <w:t> matters—examining how the model behaved across many distinct market environments helps illustrate its robustness and consistency over time.</w:t>
      </w:r>
    </w:p>
    <w:p w14:paraId="4565FFC9"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Let’s quickly recap the methodology.</w:t>
      </w:r>
    </w:p>
    <w:p w14:paraId="75129BDB"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When the model says we are in a Bullish regime we own TQQQ, a 3x leveraged ETF of the Nasdaq-100. We hold that position until the model says we are in a Bearish regime, at which time we would sell our TQQQ position and buy GLD, a gold ETF. We would keep flip flopping between TQQQ and GLD as the model goes from Bullish to Bearish over time.</w:t>
      </w:r>
    </w:p>
    <w:p w14:paraId="65F21897"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 xml:space="preserve">Using this simple, rules-based approach, from February 11, </w:t>
      </w:r>
      <w:proofErr w:type="gramStart"/>
      <w:r w:rsidRPr="00F426F9">
        <w:rPr>
          <w:rFonts w:ascii="Times New Roman" w:eastAsia="Times New Roman" w:hAnsi="Times New Roman" w:cs="Times New Roman"/>
          <w:color w:val="363737"/>
          <w:kern w:val="0"/>
          <w:sz w:val="29"/>
          <w:szCs w:val="29"/>
          <w14:ligatures w14:val="none"/>
        </w:rPr>
        <w:t>2010</w:t>
      </w:r>
      <w:proofErr w:type="gramEnd"/>
      <w:r w:rsidRPr="00F426F9">
        <w:rPr>
          <w:rFonts w:ascii="Times New Roman" w:eastAsia="Times New Roman" w:hAnsi="Times New Roman" w:cs="Times New Roman"/>
          <w:color w:val="363737"/>
          <w:kern w:val="0"/>
          <w:sz w:val="29"/>
          <w:szCs w:val="29"/>
          <w14:ligatures w14:val="none"/>
        </w:rPr>
        <w:t xml:space="preserve"> through December 31, 2025, the strategy turned $100,000 into roughly $22.6 million. That’s a total return of about 22,500%, which works out to an annualized return of 40.67% per year over nearly 16 years.</w:t>
      </w:r>
    </w:p>
    <w:p w14:paraId="13A658C3"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 xml:space="preserve">Those numbers alone are impressive—but numbers without context can be misleading. </w:t>
      </w:r>
      <w:proofErr w:type="gramStart"/>
      <w:r w:rsidRPr="00F426F9">
        <w:rPr>
          <w:rFonts w:ascii="Times New Roman" w:eastAsia="Times New Roman" w:hAnsi="Times New Roman" w:cs="Times New Roman"/>
          <w:color w:val="363737"/>
          <w:kern w:val="0"/>
          <w:sz w:val="29"/>
          <w:szCs w:val="29"/>
          <w14:ligatures w14:val="none"/>
        </w:rPr>
        <w:t>So</w:t>
      </w:r>
      <w:proofErr w:type="gramEnd"/>
      <w:r w:rsidRPr="00F426F9">
        <w:rPr>
          <w:rFonts w:ascii="Times New Roman" w:eastAsia="Times New Roman" w:hAnsi="Times New Roman" w:cs="Times New Roman"/>
          <w:color w:val="363737"/>
          <w:kern w:val="0"/>
          <w:sz w:val="29"/>
          <w:szCs w:val="29"/>
          <w14:ligatures w14:val="none"/>
        </w:rPr>
        <w:t xml:space="preserve"> let’s compare this strategy to two benchmarks most investors are familiar with: buy-and-hold TQQQ and buy-and-hold SPY.</w:t>
      </w:r>
    </w:p>
    <w:p w14:paraId="6FA7E6A3" w14:textId="77777777" w:rsidR="00F426F9" w:rsidRPr="00F426F9" w:rsidRDefault="00AA2188" w:rsidP="00F426F9">
      <w:pPr>
        <w:shd w:val="clear" w:color="auto" w:fill="FFFFFF"/>
        <w:spacing w:before="480" w:after="480"/>
        <w:rPr>
          <w:rFonts w:ascii="Times New Roman" w:eastAsia="Times New Roman" w:hAnsi="Times New Roman" w:cs="Times New Roman"/>
          <w:color w:val="363737"/>
          <w:kern w:val="0"/>
          <w:sz w:val="29"/>
          <w:szCs w:val="29"/>
          <w14:ligatures w14:val="none"/>
        </w:rPr>
      </w:pPr>
      <w:r w:rsidRPr="00AA2188">
        <w:rPr>
          <w:rFonts w:ascii="Times New Roman" w:eastAsia="Times New Roman" w:hAnsi="Times New Roman" w:cs="Times New Roman"/>
          <w:noProof/>
          <w:color w:val="363737"/>
          <w:kern w:val="0"/>
          <w:sz w:val="29"/>
          <w:szCs w:val="29"/>
        </w:rPr>
        <w:pict w14:anchorId="2378FA23">
          <v:rect id="_x0000_i1029" alt="" style="width:468pt;height:.05pt;mso-width-percent:0;mso-height-percent:0;mso-width-percent:0;mso-height-percent:0" o:hralign="center" o:hrstd="t" o:hr="t" fillcolor="#a0a0a0" stroked="f"/>
        </w:pict>
      </w:r>
    </w:p>
    <w:p w14:paraId="1747E517" w14:textId="77777777" w:rsidR="00F426F9" w:rsidRPr="00F426F9" w:rsidRDefault="00F426F9" w:rsidP="00F426F9">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F426F9">
        <w:rPr>
          <w:rFonts w:ascii="Lora" w:eastAsia="Times New Roman" w:hAnsi="Lora" w:cs="Times New Roman"/>
          <w:b/>
          <w:bCs/>
          <w:color w:val="363737"/>
          <w:kern w:val="0"/>
          <w:sz w:val="47"/>
          <w:szCs w:val="47"/>
          <w14:ligatures w14:val="none"/>
        </w:rPr>
        <w:lastRenderedPageBreak/>
        <w:t>Comparing Apples to Apples</w:t>
      </w:r>
    </w:p>
    <w:p w14:paraId="3C2C7028"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Over the same timeframe:</w:t>
      </w:r>
    </w:p>
    <w:p w14:paraId="0FD78F58" w14:textId="77777777" w:rsidR="00F426F9" w:rsidRPr="00F426F9" w:rsidRDefault="00F426F9" w:rsidP="00F426F9">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b/>
          <w:bCs/>
          <w:color w:val="363737"/>
          <w:kern w:val="0"/>
          <w:sz w:val="29"/>
          <w:szCs w:val="29"/>
          <w14:ligatures w14:val="none"/>
        </w:rPr>
        <w:t>Buy &amp; Hold TQQQ</w:t>
      </w:r>
    </w:p>
    <w:p w14:paraId="5BA2CA28" w14:textId="77777777" w:rsidR="00F426F9" w:rsidRPr="00F426F9" w:rsidRDefault="00F426F9" w:rsidP="00F426F9">
      <w:pPr>
        <w:numPr>
          <w:ilvl w:val="1"/>
          <w:numId w:val="1"/>
        </w:numPr>
        <w:shd w:val="clear" w:color="auto" w:fill="FFFFFF"/>
        <w:spacing w:line="384" w:lineRule="atLeast"/>
        <w:ind w:left="24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CAGR: 41.34%</w:t>
      </w:r>
    </w:p>
    <w:p w14:paraId="0F323A4C" w14:textId="77777777" w:rsidR="00F426F9" w:rsidRPr="00F426F9" w:rsidRDefault="00F426F9" w:rsidP="00F426F9">
      <w:pPr>
        <w:numPr>
          <w:ilvl w:val="1"/>
          <w:numId w:val="1"/>
        </w:numPr>
        <w:shd w:val="clear" w:color="auto" w:fill="FFFFFF"/>
        <w:spacing w:line="384" w:lineRule="atLeast"/>
        <w:ind w:left="24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Max drawdown: -81.75%</w:t>
      </w:r>
    </w:p>
    <w:p w14:paraId="14F34051" w14:textId="77777777" w:rsidR="00F426F9" w:rsidRPr="00F426F9" w:rsidRDefault="00F426F9" w:rsidP="00F426F9">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b/>
          <w:bCs/>
          <w:color w:val="363737"/>
          <w:kern w:val="0"/>
          <w:sz w:val="29"/>
          <w:szCs w:val="29"/>
          <w14:ligatures w14:val="none"/>
        </w:rPr>
        <w:t>Buy &amp; Hold SPY</w:t>
      </w:r>
    </w:p>
    <w:p w14:paraId="52F71A92" w14:textId="77777777" w:rsidR="00F426F9" w:rsidRPr="00F426F9" w:rsidRDefault="00F426F9" w:rsidP="00F426F9">
      <w:pPr>
        <w:numPr>
          <w:ilvl w:val="1"/>
          <w:numId w:val="1"/>
        </w:numPr>
        <w:shd w:val="clear" w:color="auto" w:fill="FFFFFF"/>
        <w:spacing w:line="384" w:lineRule="atLeast"/>
        <w:ind w:left="24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CAGR: 12.29%</w:t>
      </w:r>
    </w:p>
    <w:p w14:paraId="6CC34740" w14:textId="77777777" w:rsidR="00F426F9" w:rsidRPr="00F426F9" w:rsidRDefault="00F426F9" w:rsidP="00F426F9">
      <w:pPr>
        <w:numPr>
          <w:ilvl w:val="1"/>
          <w:numId w:val="1"/>
        </w:numPr>
        <w:shd w:val="clear" w:color="auto" w:fill="FFFFFF"/>
        <w:spacing w:line="384" w:lineRule="atLeast"/>
        <w:ind w:left="24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Max drawdown: -34.10%</w:t>
      </w:r>
    </w:p>
    <w:p w14:paraId="1A9157E4" w14:textId="77777777" w:rsidR="00F426F9" w:rsidRPr="00F426F9" w:rsidRDefault="00F426F9" w:rsidP="00F426F9">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b/>
          <w:bCs/>
          <w:color w:val="363737"/>
          <w:kern w:val="0"/>
          <w:sz w:val="29"/>
          <w:szCs w:val="29"/>
          <w14:ligatures w14:val="none"/>
        </w:rPr>
        <w:t>Market Regime Strategy</w:t>
      </w:r>
    </w:p>
    <w:p w14:paraId="54E58032" w14:textId="77777777" w:rsidR="00F426F9" w:rsidRPr="00F426F9" w:rsidRDefault="00F426F9" w:rsidP="00F426F9">
      <w:pPr>
        <w:numPr>
          <w:ilvl w:val="1"/>
          <w:numId w:val="1"/>
        </w:numPr>
        <w:shd w:val="clear" w:color="auto" w:fill="FFFFFF"/>
        <w:spacing w:line="384" w:lineRule="atLeast"/>
        <w:ind w:left="24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CAGR: 40.67%</w:t>
      </w:r>
    </w:p>
    <w:p w14:paraId="0373EB1D" w14:textId="77777777" w:rsidR="00F426F9" w:rsidRPr="00F426F9" w:rsidRDefault="00F426F9" w:rsidP="00F426F9">
      <w:pPr>
        <w:numPr>
          <w:ilvl w:val="1"/>
          <w:numId w:val="1"/>
        </w:numPr>
        <w:shd w:val="clear" w:color="auto" w:fill="FFFFFF"/>
        <w:spacing w:line="384" w:lineRule="atLeast"/>
        <w:ind w:left="24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Max drawdown: -38.62%</w:t>
      </w:r>
    </w:p>
    <w:p w14:paraId="110F6F0F" w14:textId="77777777" w:rsidR="00F426F9" w:rsidRPr="00F426F9" w:rsidRDefault="00F426F9" w:rsidP="00F426F9">
      <w:pPr>
        <w:shd w:val="clear" w:color="auto" w:fill="FFFFFF"/>
        <w:rPr>
          <w:rFonts w:ascii="Times New Roman" w:eastAsia="Times New Roman" w:hAnsi="Times New Roman" w:cs="Times New Roman"/>
          <w:color w:val="363737"/>
          <w:kern w:val="0"/>
          <w:bdr w:val="none" w:sz="0" w:space="0" w:color="auto" w:frame="1"/>
          <w14:ligatures w14:val="none"/>
        </w:rPr>
      </w:pPr>
      <w:r w:rsidRPr="00F426F9">
        <w:rPr>
          <w:rFonts w:ascii="Times New Roman" w:eastAsia="Times New Roman" w:hAnsi="Times New Roman" w:cs="Times New Roman"/>
          <w:color w:val="363737"/>
          <w:kern w:val="0"/>
          <w:sz w:val="29"/>
          <w:szCs w:val="29"/>
          <w14:ligatures w14:val="none"/>
        </w:rPr>
        <w:fldChar w:fldCharType="begin"/>
      </w:r>
      <w:r w:rsidRPr="00F426F9">
        <w:rPr>
          <w:rFonts w:ascii="Times New Roman" w:eastAsia="Times New Roman" w:hAnsi="Times New Roman" w:cs="Times New Roman"/>
          <w:color w:val="363737"/>
          <w:kern w:val="0"/>
          <w:sz w:val="29"/>
          <w:szCs w:val="29"/>
          <w14:ligatures w14:val="none"/>
        </w:rPr>
        <w:instrText>HYPERLINK "https://substackcdn.com/image/fetch/$s_!0eSv!,f_auto,q_auto:good,fl_progressive:steep/https%3A%2F%2Fsubstack-post-media.s3.amazonaws.com%2Fpublic%2Fimages%2Fe014b7c2-f09f-48b9-82ce-c7b07cf819d5_4800x3000.png" \t "_blank"</w:instrText>
      </w:r>
      <w:r w:rsidRPr="00F426F9">
        <w:rPr>
          <w:rFonts w:ascii="Times New Roman" w:eastAsia="Times New Roman" w:hAnsi="Times New Roman" w:cs="Times New Roman"/>
          <w:color w:val="363737"/>
          <w:kern w:val="0"/>
          <w:sz w:val="29"/>
          <w:szCs w:val="29"/>
          <w14:ligatures w14:val="none"/>
        </w:rPr>
      </w:r>
      <w:r w:rsidRPr="00F426F9">
        <w:rPr>
          <w:rFonts w:ascii="Times New Roman" w:eastAsia="Times New Roman" w:hAnsi="Times New Roman" w:cs="Times New Roman"/>
          <w:color w:val="363737"/>
          <w:kern w:val="0"/>
          <w:sz w:val="29"/>
          <w:szCs w:val="29"/>
          <w14:ligatures w14:val="none"/>
        </w:rPr>
        <w:fldChar w:fldCharType="separate"/>
      </w:r>
    </w:p>
    <w:p w14:paraId="18245CC8" w14:textId="438E04CE" w:rsidR="00F426F9" w:rsidRPr="00F426F9" w:rsidRDefault="00F426F9" w:rsidP="00F426F9">
      <w:pPr>
        <w:shd w:val="clear" w:color="auto" w:fill="FFFFFF"/>
        <w:rPr>
          <w:rFonts w:ascii="Times New Roman" w:eastAsia="Times New Roman" w:hAnsi="Times New Roman" w:cs="Times New Roman"/>
          <w:kern w:val="0"/>
          <w14:ligatures w14:val="none"/>
        </w:rPr>
      </w:pPr>
      <w:r w:rsidRPr="00F426F9">
        <w:rPr>
          <w:rFonts w:ascii="Times New Roman" w:eastAsia="Times New Roman" w:hAnsi="Times New Roman" w:cs="Times New Roman"/>
          <w:color w:val="363737"/>
          <w:kern w:val="0"/>
          <w:sz w:val="29"/>
          <w:szCs w:val="29"/>
          <w:bdr w:val="none" w:sz="0" w:space="0" w:color="auto" w:frame="1"/>
          <w14:ligatures w14:val="none"/>
        </w:rPr>
        <w:fldChar w:fldCharType="begin"/>
      </w:r>
      <w:r w:rsidRPr="00F426F9">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"https://substackcdn.com/image/fetch/$s_!0eSv!,w_1456,c_limit,f_auto,q_auto:good,fl_progressive:steep/https%3A%2F%2Fsubstack-post-media.s3.amazonaws.com%2Fpublic%2Fimages%2Fe014b7c2-f09f-48b9-82ce-c7b07cf819d5_4800x3000.png" \* MERGEFORMATINET </w:instrText>
      </w:r>
      <w:r w:rsidRPr="00F426F9">
        <w:rPr>
          <w:rFonts w:ascii="Times New Roman" w:eastAsia="Times New Roman" w:hAnsi="Times New Roman" w:cs="Times New Roman"/>
          <w:color w:val="363737"/>
          <w:kern w:val="0"/>
          <w:sz w:val="29"/>
          <w:szCs w:val="29"/>
          <w:bdr w:val="none" w:sz="0" w:space="0" w:color="auto" w:frame="1"/>
          <w14:ligatures w14:val="none"/>
        </w:rPr>
        <w:fldChar w:fldCharType="separate"/>
      </w:r>
      <w:r w:rsidRPr="00F426F9">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7320E35C" wp14:editId="0A178676">
            <wp:extent cx="5943600" cy="3715385"/>
            <wp:effectExtent l="0" t="0" r="0" b="0"/>
            <wp:docPr id="1642866403" name="Picture 2" descr="A graph of stock market growth&#10;&#10;Description automatically generated with medium confidenc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66403" name="Picture 2" descr="A graph of stock market growth&#10;&#10;Description automatically generated with medium confidence">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5385"/>
                    </a:xfrm>
                    <a:prstGeom prst="rect">
                      <a:avLst/>
                    </a:prstGeom>
                    <a:noFill/>
                    <a:ln>
                      <a:noFill/>
                    </a:ln>
                  </pic:spPr>
                </pic:pic>
              </a:graphicData>
            </a:graphic>
          </wp:inline>
        </w:drawing>
      </w:r>
      <w:r w:rsidRPr="00F426F9">
        <w:rPr>
          <w:rFonts w:ascii="Times New Roman" w:eastAsia="Times New Roman" w:hAnsi="Times New Roman" w:cs="Times New Roman"/>
          <w:color w:val="363737"/>
          <w:kern w:val="0"/>
          <w:sz w:val="29"/>
          <w:szCs w:val="29"/>
          <w:bdr w:val="none" w:sz="0" w:space="0" w:color="auto" w:frame="1"/>
          <w14:ligatures w14:val="none"/>
        </w:rPr>
        <w:fldChar w:fldCharType="end"/>
      </w:r>
    </w:p>
    <w:p w14:paraId="46081F53" w14:textId="77777777" w:rsidR="00F426F9" w:rsidRPr="00F426F9" w:rsidRDefault="00F426F9" w:rsidP="00F426F9">
      <w:pPr>
        <w:shd w:val="clear" w:color="auto" w:fill="FFFFFF"/>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fldChar w:fldCharType="end"/>
      </w:r>
    </w:p>
    <w:p w14:paraId="40A6959C"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This is where things get interesting.</w:t>
      </w:r>
    </w:p>
    <w:p w14:paraId="51C64F12"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From a </w:t>
      </w:r>
      <w:proofErr w:type="gramStart"/>
      <w:r w:rsidRPr="00F426F9">
        <w:rPr>
          <w:rFonts w:ascii="Times New Roman" w:eastAsia="Times New Roman" w:hAnsi="Times New Roman" w:cs="Times New Roman"/>
          <w:b/>
          <w:bCs/>
          <w:i/>
          <w:iCs/>
          <w:color w:val="363737"/>
          <w:kern w:val="0"/>
          <w:sz w:val="29"/>
          <w:szCs w:val="29"/>
          <w14:ligatures w14:val="none"/>
        </w:rPr>
        <w:t>returns</w:t>
      </w:r>
      <w:proofErr w:type="gramEnd"/>
      <w:r w:rsidRPr="00F426F9">
        <w:rPr>
          <w:rFonts w:ascii="Times New Roman" w:eastAsia="Times New Roman" w:hAnsi="Times New Roman" w:cs="Times New Roman"/>
          <w:color w:val="363737"/>
          <w:kern w:val="0"/>
          <w:sz w:val="29"/>
          <w:szCs w:val="29"/>
          <w14:ligatures w14:val="none"/>
        </w:rPr>
        <w:t xml:space="preserve"> perspective, the Market Regime strategy performed almost identically to simply holding TQQQ. The equity curves track each other </w:t>
      </w:r>
      <w:r w:rsidRPr="00F426F9">
        <w:rPr>
          <w:rFonts w:ascii="Times New Roman" w:eastAsia="Times New Roman" w:hAnsi="Times New Roman" w:cs="Times New Roman"/>
          <w:color w:val="363737"/>
          <w:kern w:val="0"/>
          <w:sz w:val="29"/>
          <w:szCs w:val="29"/>
          <w14:ligatures w14:val="none"/>
        </w:rPr>
        <w:lastRenderedPageBreak/>
        <w:t xml:space="preserve">remarkably closely over 15+ years. In other words, the strategy captured nearly </w:t>
      </w:r>
      <w:proofErr w:type="gramStart"/>
      <w:r w:rsidRPr="00F426F9">
        <w:rPr>
          <w:rFonts w:ascii="Times New Roman" w:eastAsia="Times New Roman" w:hAnsi="Times New Roman" w:cs="Times New Roman"/>
          <w:color w:val="363737"/>
          <w:kern w:val="0"/>
          <w:sz w:val="29"/>
          <w:szCs w:val="29"/>
          <w14:ligatures w14:val="none"/>
        </w:rPr>
        <w:t>all of</w:t>
      </w:r>
      <w:proofErr w:type="gramEnd"/>
      <w:r w:rsidRPr="00F426F9">
        <w:rPr>
          <w:rFonts w:ascii="Times New Roman" w:eastAsia="Times New Roman" w:hAnsi="Times New Roman" w:cs="Times New Roman"/>
          <w:color w:val="363737"/>
          <w:kern w:val="0"/>
          <w:sz w:val="29"/>
          <w:szCs w:val="29"/>
          <w14:ligatures w14:val="none"/>
        </w:rPr>
        <w:t xml:space="preserve"> the upside of a 3x leveraged Nasdaq ETF.</w:t>
      </w:r>
    </w:p>
    <w:p w14:paraId="3FD457BB"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But from a </w:t>
      </w:r>
      <w:r w:rsidRPr="00F426F9">
        <w:rPr>
          <w:rFonts w:ascii="Times New Roman" w:eastAsia="Times New Roman" w:hAnsi="Times New Roman" w:cs="Times New Roman"/>
          <w:b/>
          <w:bCs/>
          <w:i/>
          <w:iCs/>
          <w:color w:val="363737"/>
          <w:kern w:val="0"/>
          <w:sz w:val="29"/>
          <w:szCs w:val="29"/>
          <w14:ligatures w14:val="none"/>
        </w:rPr>
        <w:t>risk</w:t>
      </w:r>
      <w:r w:rsidRPr="00F426F9">
        <w:rPr>
          <w:rFonts w:ascii="Times New Roman" w:eastAsia="Times New Roman" w:hAnsi="Times New Roman" w:cs="Times New Roman"/>
          <w:color w:val="363737"/>
          <w:kern w:val="0"/>
          <w:sz w:val="29"/>
          <w:szCs w:val="29"/>
          <w14:ligatures w14:val="none"/>
        </w:rPr>
        <w:t> perspective, the experience was dramatically different.</w:t>
      </w:r>
    </w:p>
    <w:p w14:paraId="503673E1" w14:textId="77777777" w:rsidR="00F426F9" w:rsidRPr="00F426F9" w:rsidRDefault="00AA2188" w:rsidP="00F426F9">
      <w:pPr>
        <w:shd w:val="clear" w:color="auto" w:fill="FFFFFF"/>
        <w:spacing w:before="480" w:after="480"/>
        <w:rPr>
          <w:rFonts w:ascii="Times New Roman" w:eastAsia="Times New Roman" w:hAnsi="Times New Roman" w:cs="Times New Roman"/>
          <w:color w:val="363737"/>
          <w:kern w:val="0"/>
          <w:sz w:val="29"/>
          <w:szCs w:val="29"/>
          <w14:ligatures w14:val="none"/>
        </w:rPr>
      </w:pPr>
      <w:r w:rsidRPr="00AA2188">
        <w:rPr>
          <w:rFonts w:ascii="Times New Roman" w:eastAsia="Times New Roman" w:hAnsi="Times New Roman" w:cs="Times New Roman"/>
          <w:noProof/>
          <w:color w:val="363737"/>
          <w:kern w:val="0"/>
          <w:sz w:val="29"/>
          <w:szCs w:val="29"/>
        </w:rPr>
        <w:pict w14:anchorId="4FBF27AC">
          <v:rect id="_x0000_i1028" alt="" style="width:468pt;height:.05pt;mso-width-percent:0;mso-height-percent:0;mso-width-percent:0;mso-height-percent:0" o:hralign="center" o:hrstd="t" o:hr="t" fillcolor="#a0a0a0" stroked="f"/>
        </w:pict>
      </w:r>
    </w:p>
    <w:p w14:paraId="54085B80" w14:textId="77777777" w:rsidR="00F426F9" w:rsidRPr="00F426F9" w:rsidRDefault="00F426F9" w:rsidP="00F426F9">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F426F9">
        <w:rPr>
          <w:rFonts w:ascii="Lora" w:eastAsia="Times New Roman" w:hAnsi="Lora" w:cs="Times New Roman"/>
          <w:b/>
          <w:bCs/>
          <w:color w:val="363737"/>
          <w:kern w:val="0"/>
          <w:sz w:val="47"/>
          <w:szCs w:val="47"/>
          <w14:ligatures w14:val="none"/>
        </w:rPr>
        <w:t>Why Drawdowns Matter (More Than Most People Think)</w:t>
      </w:r>
    </w:p>
    <w:p w14:paraId="5FAB1264"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Holding TQQQ through the full period required enduring an 81.75% drawdown. That means at one point, your portfolio would have lost more than four-fifths of its value.</w:t>
      </w:r>
    </w:p>
    <w:p w14:paraId="40ED7ED0"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 xml:space="preserve">Very few investors—professional or retail—can </w:t>
      </w:r>
      <w:proofErr w:type="gramStart"/>
      <w:r w:rsidRPr="00F426F9">
        <w:rPr>
          <w:rFonts w:ascii="Times New Roman" w:eastAsia="Times New Roman" w:hAnsi="Times New Roman" w:cs="Times New Roman"/>
          <w:color w:val="363737"/>
          <w:kern w:val="0"/>
          <w:sz w:val="29"/>
          <w:szCs w:val="29"/>
          <w14:ligatures w14:val="none"/>
        </w:rPr>
        <w:t>actually stick</w:t>
      </w:r>
      <w:proofErr w:type="gramEnd"/>
      <w:r w:rsidRPr="00F426F9">
        <w:rPr>
          <w:rFonts w:ascii="Times New Roman" w:eastAsia="Times New Roman" w:hAnsi="Times New Roman" w:cs="Times New Roman"/>
          <w:color w:val="363737"/>
          <w:kern w:val="0"/>
          <w:sz w:val="29"/>
          <w:szCs w:val="29"/>
          <w14:ligatures w14:val="none"/>
        </w:rPr>
        <w:t xml:space="preserve"> with a strategy through that kind of loss. Even if the math says it eventually recovers, human psychology usually taps out long before the rebound.</w:t>
      </w:r>
    </w:p>
    <w:p w14:paraId="7226CE65"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By contrast, the Market Regime strategy’s worst drawdown was -38.62%.</w:t>
      </w:r>
    </w:p>
    <w:p w14:paraId="55C8FAEA"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That’s still uncomfortable. Drawdowns always are. But it’s much closer to the risk profile of SPY, a broad, non-leveraged market ETF, which experienced a -34.1% maximum drawdown over the same period.</w:t>
      </w:r>
    </w:p>
    <w:p w14:paraId="1A4ED786"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Let that sink in:</w:t>
      </w:r>
    </w:p>
    <w:p w14:paraId="5DAEF476" w14:textId="77777777" w:rsidR="00F426F9" w:rsidRPr="00F426F9" w:rsidRDefault="00F426F9" w:rsidP="00F426F9">
      <w:pPr>
        <w:shd w:val="clear" w:color="auto" w:fill="FFFFFF"/>
        <w:spacing w:line="384" w:lineRule="atLeast"/>
        <w:ind w:left="3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b/>
          <w:bCs/>
          <w:color w:val="363737"/>
          <w:kern w:val="0"/>
          <w:sz w:val="29"/>
          <w:szCs w:val="29"/>
          <w14:ligatures w14:val="none"/>
        </w:rPr>
        <w:t xml:space="preserve">The strategy delivered returns </w:t>
      </w:r>
      <w:proofErr w:type="gramStart"/>
      <w:r w:rsidRPr="00F426F9">
        <w:rPr>
          <w:rFonts w:ascii="Times New Roman" w:eastAsia="Times New Roman" w:hAnsi="Times New Roman" w:cs="Times New Roman"/>
          <w:b/>
          <w:bCs/>
          <w:color w:val="363737"/>
          <w:kern w:val="0"/>
          <w:sz w:val="29"/>
          <w:szCs w:val="29"/>
          <w14:ligatures w14:val="none"/>
        </w:rPr>
        <w:t>similar to</w:t>
      </w:r>
      <w:proofErr w:type="gramEnd"/>
      <w:r w:rsidRPr="00F426F9">
        <w:rPr>
          <w:rFonts w:ascii="Times New Roman" w:eastAsia="Times New Roman" w:hAnsi="Times New Roman" w:cs="Times New Roman"/>
          <w:b/>
          <w:bCs/>
          <w:color w:val="363737"/>
          <w:kern w:val="0"/>
          <w:sz w:val="29"/>
          <w:szCs w:val="29"/>
          <w14:ligatures w14:val="none"/>
        </w:rPr>
        <w:t xml:space="preserve"> holding a 3x leveraged ETF,</w:t>
      </w:r>
      <w:r w:rsidRPr="00F426F9">
        <w:rPr>
          <w:rFonts w:ascii="Times New Roman" w:eastAsia="Times New Roman" w:hAnsi="Times New Roman" w:cs="Times New Roman"/>
          <w:b/>
          <w:bCs/>
          <w:color w:val="363737"/>
          <w:kern w:val="0"/>
          <w:sz w:val="29"/>
          <w:szCs w:val="29"/>
          <w14:ligatures w14:val="none"/>
        </w:rPr>
        <w:br/>
        <w:t>but with drawdowns similar to holding a traditional stock market ETF.</w:t>
      </w:r>
    </w:p>
    <w:p w14:paraId="1BE54955"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That is the core insight of this entire series.</w:t>
      </w:r>
    </w:p>
    <w:p w14:paraId="463AFC06" w14:textId="77777777" w:rsidR="00F426F9" w:rsidRPr="00F426F9" w:rsidRDefault="00AA2188" w:rsidP="00F426F9">
      <w:pPr>
        <w:shd w:val="clear" w:color="auto" w:fill="FFFFFF"/>
        <w:spacing w:before="480" w:after="480"/>
        <w:rPr>
          <w:rFonts w:ascii="Times New Roman" w:eastAsia="Times New Roman" w:hAnsi="Times New Roman" w:cs="Times New Roman"/>
          <w:color w:val="363737"/>
          <w:kern w:val="0"/>
          <w:sz w:val="29"/>
          <w:szCs w:val="29"/>
          <w14:ligatures w14:val="none"/>
        </w:rPr>
      </w:pPr>
      <w:r w:rsidRPr="00AA2188">
        <w:rPr>
          <w:rFonts w:ascii="Times New Roman" w:eastAsia="Times New Roman" w:hAnsi="Times New Roman" w:cs="Times New Roman"/>
          <w:noProof/>
          <w:color w:val="363737"/>
          <w:kern w:val="0"/>
          <w:sz w:val="29"/>
          <w:szCs w:val="29"/>
        </w:rPr>
        <w:pict w14:anchorId="7361D702">
          <v:rect id="_x0000_i1027" alt="" style="width:468pt;height:.05pt;mso-width-percent:0;mso-height-percent:0;mso-width-percent:0;mso-height-percent:0" o:hralign="center" o:hrstd="t" o:hr="t" fillcolor="#a0a0a0" stroked="f"/>
        </w:pict>
      </w:r>
    </w:p>
    <w:p w14:paraId="5FE34A38" w14:textId="77777777" w:rsidR="00F426F9" w:rsidRPr="00F426F9" w:rsidRDefault="00F426F9" w:rsidP="00F426F9">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F426F9">
        <w:rPr>
          <w:rFonts w:ascii="Lora" w:eastAsia="Times New Roman" w:hAnsi="Lora" w:cs="Times New Roman"/>
          <w:b/>
          <w:bCs/>
          <w:color w:val="363737"/>
          <w:kern w:val="0"/>
          <w:sz w:val="47"/>
          <w:szCs w:val="47"/>
          <w14:ligatures w14:val="none"/>
        </w:rPr>
        <w:t>Why This Matters in the Real World</w:t>
      </w:r>
    </w:p>
    <w:p w14:paraId="2DA33098"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lastRenderedPageBreak/>
        <w:t xml:space="preserve">Most </w:t>
      </w:r>
      <w:proofErr w:type="spellStart"/>
      <w:r w:rsidRPr="00F426F9">
        <w:rPr>
          <w:rFonts w:ascii="Times New Roman" w:eastAsia="Times New Roman" w:hAnsi="Times New Roman" w:cs="Times New Roman"/>
          <w:color w:val="363737"/>
          <w:kern w:val="0"/>
          <w:sz w:val="29"/>
          <w:szCs w:val="29"/>
          <w14:ligatures w14:val="none"/>
        </w:rPr>
        <w:t>backtests</w:t>
      </w:r>
      <w:proofErr w:type="spellEnd"/>
      <w:r w:rsidRPr="00F426F9">
        <w:rPr>
          <w:rFonts w:ascii="Times New Roman" w:eastAsia="Times New Roman" w:hAnsi="Times New Roman" w:cs="Times New Roman"/>
          <w:color w:val="363737"/>
          <w:kern w:val="0"/>
          <w:sz w:val="29"/>
          <w:szCs w:val="29"/>
          <w14:ligatures w14:val="none"/>
        </w:rPr>
        <w:t xml:space="preserve"> look great on paper. What matters is whether a strategy is livable.</w:t>
      </w:r>
    </w:p>
    <w:p w14:paraId="688C006C"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Can you:</w:t>
      </w:r>
    </w:p>
    <w:p w14:paraId="5DF91AD4" w14:textId="77777777" w:rsidR="00F426F9" w:rsidRPr="00F426F9" w:rsidRDefault="00F426F9" w:rsidP="00F426F9">
      <w:pPr>
        <w:numPr>
          <w:ilvl w:val="0"/>
          <w:numId w:val="2"/>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Stick with it during drawdowns?</w:t>
      </w:r>
    </w:p>
    <w:p w14:paraId="388730ED" w14:textId="77777777" w:rsidR="00F426F9" w:rsidRPr="00F426F9" w:rsidRDefault="00F426F9" w:rsidP="00F426F9">
      <w:pPr>
        <w:numPr>
          <w:ilvl w:val="0"/>
          <w:numId w:val="2"/>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Avoid panic selling?</w:t>
      </w:r>
    </w:p>
    <w:p w14:paraId="356CBBE1" w14:textId="77777777" w:rsidR="00F426F9" w:rsidRPr="00F426F9" w:rsidRDefault="00F426F9" w:rsidP="00F426F9">
      <w:pPr>
        <w:numPr>
          <w:ilvl w:val="0"/>
          <w:numId w:val="2"/>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Keep executing the rules when the headlines are scary?</w:t>
      </w:r>
    </w:p>
    <w:p w14:paraId="27708107" w14:textId="77777777" w:rsidR="00F426F9" w:rsidRPr="00F426F9" w:rsidRDefault="00F426F9" w:rsidP="00F426F9">
      <w:pPr>
        <w:numPr>
          <w:ilvl w:val="0"/>
          <w:numId w:val="2"/>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Stay invested long enough for the math to work?</w:t>
      </w:r>
    </w:p>
    <w:p w14:paraId="2212BEAA"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This is where regime-based investing shines.</w:t>
      </w:r>
    </w:p>
    <w:p w14:paraId="4429406C"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Instead of riding leveraged exposure straight through every crash, the model systematically steps aside during hostile market conditions and allocates to a defensive asset. It doesn’t eliminate drawdowns—but it compresses them, making the strategy far more survivable.</w:t>
      </w:r>
    </w:p>
    <w:p w14:paraId="7D993FB4"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That survivability is what allows compounding to do its job.</w:t>
      </w:r>
    </w:p>
    <w:p w14:paraId="7B2DDFBD" w14:textId="77777777" w:rsidR="00F426F9" w:rsidRPr="00F426F9" w:rsidRDefault="00AA2188" w:rsidP="00F426F9">
      <w:pPr>
        <w:shd w:val="clear" w:color="auto" w:fill="FFFFFF"/>
        <w:spacing w:before="480" w:after="480"/>
        <w:rPr>
          <w:rFonts w:ascii="Times New Roman" w:eastAsia="Times New Roman" w:hAnsi="Times New Roman" w:cs="Times New Roman"/>
          <w:color w:val="363737"/>
          <w:kern w:val="0"/>
          <w:sz w:val="29"/>
          <w:szCs w:val="29"/>
          <w14:ligatures w14:val="none"/>
        </w:rPr>
      </w:pPr>
      <w:r w:rsidRPr="00AA2188">
        <w:rPr>
          <w:rFonts w:ascii="Times New Roman" w:eastAsia="Times New Roman" w:hAnsi="Times New Roman" w:cs="Times New Roman"/>
          <w:noProof/>
          <w:color w:val="363737"/>
          <w:kern w:val="0"/>
          <w:sz w:val="29"/>
          <w:szCs w:val="29"/>
        </w:rPr>
        <w:pict w14:anchorId="0B826CA7">
          <v:rect id="_x0000_i1026" alt="" style="width:468pt;height:.05pt;mso-width-percent:0;mso-height-percent:0;mso-width-percent:0;mso-height-percent:0" o:hralign="center" o:hrstd="t" o:hr="t" fillcolor="#a0a0a0" stroked="f"/>
        </w:pict>
      </w:r>
    </w:p>
    <w:p w14:paraId="29ED3F89" w14:textId="77777777" w:rsidR="00F426F9" w:rsidRPr="00F426F9" w:rsidRDefault="00F426F9" w:rsidP="00F426F9">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F426F9">
        <w:rPr>
          <w:rFonts w:ascii="Lora" w:eastAsia="Times New Roman" w:hAnsi="Lora" w:cs="Times New Roman"/>
          <w:b/>
          <w:bCs/>
          <w:color w:val="363737"/>
          <w:kern w:val="0"/>
          <w:sz w:val="47"/>
          <w:szCs w:val="47"/>
          <w14:ligatures w14:val="none"/>
        </w:rPr>
        <w:t>What the Month-to-Month Experience Actually Looked Like</w:t>
      </w:r>
    </w:p>
    <w:p w14:paraId="0DAB3793"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So far, we’ve talked about long-term returns and worst-case drawdowns. But investors don’t live in 15-year charts — they live month to month.</w:t>
      </w:r>
    </w:p>
    <w:p w14:paraId="7C7FBCD8" w14:textId="77777777" w:rsidR="00F426F9" w:rsidRPr="00F426F9" w:rsidRDefault="00F426F9" w:rsidP="00F426F9">
      <w:pPr>
        <w:shd w:val="clear" w:color="auto" w:fill="FFFFFF"/>
        <w:rPr>
          <w:rFonts w:ascii="Times New Roman" w:eastAsia="Times New Roman" w:hAnsi="Times New Roman" w:cs="Times New Roman"/>
          <w:color w:val="363737"/>
          <w:kern w:val="0"/>
          <w:bdr w:val="none" w:sz="0" w:space="0" w:color="auto" w:frame="1"/>
          <w14:ligatures w14:val="none"/>
        </w:rPr>
      </w:pPr>
      <w:r w:rsidRPr="00F426F9">
        <w:rPr>
          <w:rFonts w:ascii="Times New Roman" w:eastAsia="Times New Roman" w:hAnsi="Times New Roman" w:cs="Times New Roman"/>
          <w:color w:val="363737"/>
          <w:kern w:val="0"/>
          <w:sz w:val="29"/>
          <w:szCs w:val="29"/>
          <w14:ligatures w14:val="none"/>
        </w:rPr>
        <w:fldChar w:fldCharType="begin"/>
      </w:r>
      <w:r w:rsidRPr="00F426F9">
        <w:rPr>
          <w:rFonts w:ascii="Times New Roman" w:eastAsia="Times New Roman" w:hAnsi="Times New Roman" w:cs="Times New Roman"/>
          <w:color w:val="363737"/>
          <w:kern w:val="0"/>
          <w:sz w:val="29"/>
          <w:szCs w:val="29"/>
          <w14:ligatures w14:val="none"/>
        </w:rPr>
        <w:instrText>HYPERLINK "https://substackcdn.com/image/fetch/$s_!VNta!,f_auto,q_auto:good,fl_progressive:steep/https%3A%2F%2Fsubstack-post-media.s3.amazonaws.com%2Fpublic%2Fimages%2F66d4b251-0101-4ce8-b1dd-fae54ec3a400_4500x2400.png" \t "_blank"</w:instrText>
      </w:r>
      <w:r w:rsidRPr="00F426F9">
        <w:rPr>
          <w:rFonts w:ascii="Times New Roman" w:eastAsia="Times New Roman" w:hAnsi="Times New Roman" w:cs="Times New Roman"/>
          <w:color w:val="363737"/>
          <w:kern w:val="0"/>
          <w:sz w:val="29"/>
          <w:szCs w:val="29"/>
          <w14:ligatures w14:val="none"/>
        </w:rPr>
      </w:r>
      <w:r w:rsidRPr="00F426F9">
        <w:rPr>
          <w:rFonts w:ascii="Times New Roman" w:eastAsia="Times New Roman" w:hAnsi="Times New Roman" w:cs="Times New Roman"/>
          <w:color w:val="363737"/>
          <w:kern w:val="0"/>
          <w:sz w:val="29"/>
          <w:szCs w:val="29"/>
          <w14:ligatures w14:val="none"/>
        </w:rPr>
        <w:fldChar w:fldCharType="separate"/>
      </w:r>
    </w:p>
    <w:p w14:paraId="4B7C9E62" w14:textId="0FD7C18D" w:rsidR="00F426F9" w:rsidRPr="00F426F9" w:rsidRDefault="00F426F9" w:rsidP="00F426F9">
      <w:pPr>
        <w:shd w:val="clear" w:color="auto" w:fill="FFFFFF"/>
        <w:rPr>
          <w:rFonts w:ascii="Times New Roman" w:eastAsia="Times New Roman" w:hAnsi="Times New Roman" w:cs="Times New Roman"/>
          <w:kern w:val="0"/>
          <w14:ligatures w14:val="none"/>
        </w:rPr>
      </w:pPr>
      <w:r w:rsidRPr="00F426F9">
        <w:rPr>
          <w:rFonts w:ascii="Times New Roman" w:eastAsia="Times New Roman" w:hAnsi="Times New Roman" w:cs="Times New Roman"/>
          <w:color w:val="363737"/>
          <w:kern w:val="0"/>
          <w:sz w:val="29"/>
          <w:szCs w:val="29"/>
          <w:bdr w:val="none" w:sz="0" w:space="0" w:color="auto" w:frame="1"/>
          <w14:ligatures w14:val="none"/>
        </w:rPr>
        <w:lastRenderedPageBreak/>
        <w:fldChar w:fldCharType="begin"/>
      </w:r>
      <w:r w:rsidRPr="00F426F9">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"https://substackcdn.com/image/fetch/$s_!VNta!,w_1456,c_limit,f_auto,q_auto:good,fl_progressive:steep/https%3A%2F%2Fsubstack-post-media.s3.amazonaws.com%2Fpublic%2Fimages%2F66d4b251-0101-4ce8-b1dd-fae54ec3a400_4500x2400.png" \* MERGEFORMATINET </w:instrText>
      </w:r>
      <w:r w:rsidRPr="00F426F9">
        <w:rPr>
          <w:rFonts w:ascii="Times New Roman" w:eastAsia="Times New Roman" w:hAnsi="Times New Roman" w:cs="Times New Roman"/>
          <w:color w:val="363737"/>
          <w:kern w:val="0"/>
          <w:sz w:val="29"/>
          <w:szCs w:val="29"/>
          <w:bdr w:val="none" w:sz="0" w:space="0" w:color="auto" w:frame="1"/>
          <w14:ligatures w14:val="none"/>
        </w:rPr>
        <w:fldChar w:fldCharType="separate"/>
      </w:r>
      <w:r w:rsidRPr="00F426F9">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258EFF23" wp14:editId="50A97419">
            <wp:extent cx="5943600" cy="3171190"/>
            <wp:effectExtent l="0" t="0" r="0" b="0"/>
            <wp:docPr id="1357133479" name="Picture 1" descr="A screenshot of a graph&#10;&#10;Description automatically generated">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33479" name="Picture 1" descr="A screenshot of a graph&#10;&#10;Description automatically generated">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71190"/>
                    </a:xfrm>
                    <a:prstGeom prst="rect">
                      <a:avLst/>
                    </a:prstGeom>
                    <a:noFill/>
                    <a:ln>
                      <a:noFill/>
                    </a:ln>
                  </pic:spPr>
                </pic:pic>
              </a:graphicData>
            </a:graphic>
          </wp:inline>
        </w:drawing>
      </w:r>
      <w:r w:rsidRPr="00F426F9">
        <w:rPr>
          <w:rFonts w:ascii="Times New Roman" w:eastAsia="Times New Roman" w:hAnsi="Times New Roman" w:cs="Times New Roman"/>
          <w:color w:val="363737"/>
          <w:kern w:val="0"/>
          <w:sz w:val="29"/>
          <w:szCs w:val="29"/>
          <w:bdr w:val="none" w:sz="0" w:space="0" w:color="auto" w:frame="1"/>
          <w14:ligatures w14:val="none"/>
        </w:rPr>
        <w:fldChar w:fldCharType="end"/>
      </w:r>
    </w:p>
    <w:p w14:paraId="06D4EF72" w14:textId="77777777" w:rsidR="00F426F9" w:rsidRPr="00F426F9" w:rsidRDefault="00F426F9" w:rsidP="00F426F9">
      <w:pPr>
        <w:shd w:val="clear" w:color="auto" w:fill="FFFFFF"/>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fldChar w:fldCharType="end"/>
      </w:r>
    </w:p>
    <w:p w14:paraId="31F293B9"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The chart above shows the monthly returns of the Market Regime strategy from 2010–2025, with green months representing gains and red months representing losses. Each row is a calendar year, and each column is a month.</w:t>
      </w:r>
    </w:p>
    <w:p w14:paraId="4219F999"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A few important things stand out immediately:</w:t>
      </w:r>
    </w:p>
    <w:p w14:paraId="798930CE" w14:textId="77777777" w:rsidR="00F426F9" w:rsidRPr="00F426F9" w:rsidRDefault="00F426F9" w:rsidP="00F426F9">
      <w:pPr>
        <w:numPr>
          <w:ilvl w:val="0"/>
          <w:numId w:val="3"/>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 xml:space="preserve">Most years are dominated by many small to moderate green months, not a handful of lucky blow-off </w:t>
      </w:r>
      <w:proofErr w:type="gramStart"/>
      <w:r w:rsidRPr="00F426F9">
        <w:rPr>
          <w:rFonts w:ascii="Times New Roman" w:eastAsia="Times New Roman" w:hAnsi="Times New Roman" w:cs="Times New Roman"/>
          <w:color w:val="363737"/>
          <w:kern w:val="0"/>
          <w:sz w:val="29"/>
          <w:szCs w:val="29"/>
          <w14:ligatures w14:val="none"/>
        </w:rPr>
        <w:t>gains</w:t>
      </w:r>
      <w:proofErr w:type="gramEnd"/>
    </w:p>
    <w:p w14:paraId="1F2240F4" w14:textId="77777777" w:rsidR="00F426F9" w:rsidRPr="00F426F9" w:rsidRDefault="00F426F9" w:rsidP="00F426F9">
      <w:pPr>
        <w:numPr>
          <w:ilvl w:val="0"/>
          <w:numId w:val="3"/>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63% of months are profitable with the average winning month at +8.8% and average losing month at -6.1%</w:t>
      </w:r>
    </w:p>
    <w:p w14:paraId="00229CB2" w14:textId="77777777" w:rsidR="00F426F9" w:rsidRPr="00F426F9" w:rsidRDefault="00F426F9" w:rsidP="00F426F9">
      <w:pPr>
        <w:numPr>
          <w:ilvl w:val="0"/>
          <w:numId w:val="3"/>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 xml:space="preserve">Losing months do occur — that’s unavoidable — but they tend to be contained, rather than clustered into long, crushing </w:t>
      </w:r>
      <w:proofErr w:type="gramStart"/>
      <w:r w:rsidRPr="00F426F9">
        <w:rPr>
          <w:rFonts w:ascii="Times New Roman" w:eastAsia="Times New Roman" w:hAnsi="Times New Roman" w:cs="Times New Roman"/>
          <w:color w:val="363737"/>
          <w:kern w:val="0"/>
          <w:sz w:val="29"/>
          <w:szCs w:val="29"/>
          <w14:ligatures w14:val="none"/>
        </w:rPr>
        <w:t>stretches</w:t>
      </w:r>
      <w:proofErr w:type="gramEnd"/>
    </w:p>
    <w:p w14:paraId="4AE21A27" w14:textId="77777777" w:rsidR="00F426F9" w:rsidRPr="00F426F9" w:rsidRDefault="00F426F9" w:rsidP="00F426F9">
      <w:pPr>
        <w:numPr>
          <w:ilvl w:val="0"/>
          <w:numId w:val="3"/>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 xml:space="preserve">Big negative months are relatively rare compared to what you would experience holding a leveraged ETF through bear </w:t>
      </w:r>
      <w:proofErr w:type="gramStart"/>
      <w:r w:rsidRPr="00F426F9">
        <w:rPr>
          <w:rFonts w:ascii="Times New Roman" w:eastAsia="Times New Roman" w:hAnsi="Times New Roman" w:cs="Times New Roman"/>
          <w:color w:val="363737"/>
          <w:kern w:val="0"/>
          <w:sz w:val="29"/>
          <w:szCs w:val="29"/>
          <w14:ligatures w14:val="none"/>
        </w:rPr>
        <w:t>markets</w:t>
      </w:r>
      <w:proofErr w:type="gramEnd"/>
    </w:p>
    <w:p w14:paraId="5F121A91"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This is what risk management looks like in practice.</w:t>
      </w:r>
    </w:p>
    <w:p w14:paraId="54921114"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Instead of enduring prolonged periods of deep losses and waiting for a recovery, the regime approach aims to limit damage during hostile environments, allowing capital to compound more consistently over time.</w:t>
      </w:r>
    </w:p>
    <w:p w14:paraId="02A61565"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lastRenderedPageBreak/>
        <w:t>The result is not perfection — there will always be red squares — but a return profile that is far easier to stick with psychologically.</w:t>
      </w:r>
    </w:p>
    <w:p w14:paraId="388F7119"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And that’s the hidden edge most investors overlook:</w:t>
      </w:r>
      <w:r w:rsidRPr="00F426F9">
        <w:rPr>
          <w:rFonts w:ascii="Times New Roman" w:eastAsia="Times New Roman" w:hAnsi="Times New Roman" w:cs="Times New Roman"/>
          <w:color w:val="363737"/>
          <w:kern w:val="0"/>
          <w:sz w:val="29"/>
          <w:szCs w:val="29"/>
          <w14:ligatures w14:val="none"/>
        </w:rPr>
        <w:br/>
      </w:r>
      <w:r w:rsidRPr="00F426F9">
        <w:rPr>
          <w:rFonts w:ascii="Times New Roman" w:eastAsia="Times New Roman" w:hAnsi="Times New Roman" w:cs="Times New Roman"/>
          <w:i/>
          <w:iCs/>
          <w:color w:val="363737"/>
          <w:kern w:val="0"/>
          <w:sz w:val="29"/>
          <w:szCs w:val="29"/>
          <w14:ligatures w14:val="none"/>
        </w:rPr>
        <w:t xml:space="preserve">the best strategy is the one you can </w:t>
      </w:r>
      <w:proofErr w:type="gramStart"/>
      <w:r w:rsidRPr="00F426F9">
        <w:rPr>
          <w:rFonts w:ascii="Times New Roman" w:eastAsia="Times New Roman" w:hAnsi="Times New Roman" w:cs="Times New Roman"/>
          <w:i/>
          <w:iCs/>
          <w:color w:val="363737"/>
          <w:kern w:val="0"/>
          <w:sz w:val="29"/>
          <w:szCs w:val="29"/>
          <w14:ligatures w14:val="none"/>
        </w:rPr>
        <w:t>actually stay</w:t>
      </w:r>
      <w:proofErr w:type="gramEnd"/>
      <w:r w:rsidRPr="00F426F9">
        <w:rPr>
          <w:rFonts w:ascii="Times New Roman" w:eastAsia="Times New Roman" w:hAnsi="Times New Roman" w:cs="Times New Roman"/>
          <w:i/>
          <w:iCs/>
          <w:color w:val="363737"/>
          <w:kern w:val="0"/>
          <w:sz w:val="29"/>
          <w:szCs w:val="29"/>
          <w14:ligatures w14:val="none"/>
        </w:rPr>
        <w:t xml:space="preserve"> invested in.</w:t>
      </w:r>
    </w:p>
    <w:p w14:paraId="71F2A8C5" w14:textId="77777777" w:rsidR="00F426F9" w:rsidRPr="00F426F9" w:rsidRDefault="00AA2188" w:rsidP="00F426F9">
      <w:pPr>
        <w:shd w:val="clear" w:color="auto" w:fill="FFFFFF"/>
        <w:spacing w:before="480" w:after="480"/>
        <w:rPr>
          <w:rFonts w:ascii="Times New Roman" w:eastAsia="Times New Roman" w:hAnsi="Times New Roman" w:cs="Times New Roman"/>
          <w:color w:val="363737"/>
          <w:kern w:val="0"/>
          <w:sz w:val="29"/>
          <w:szCs w:val="29"/>
          <w14:ligatures w14:val="none"/>
        </w:rPr>
      </w:pPr>
      <w:r w:rsidRPr="00AA2188">
        <w:rPr>
          <w:rFonts w:ascii="Times New Roman" w:eastAsia="Times New Roman" w:hAnsi="Times New Roman" w:cs="Times New Roman"/>
          <w:noProof/>
          <w:color w:val="363737"/>
          <w:kern w:val="0"/>
          <w:sz w:val="29"/>
          <w:szCs w:val="29"/>
        </w:rPr>
        <w:pict w14:anchorId="79DEAB97">
          <v:rect id="_x0000_i1025" alt="" style="width:468pt;height:.05pt;mso-width-percent:0;mso-height-percent:0;mso-width-percent:0;mso-height-percent:0" o:hralign="center" o:hrstd="t" o:hr="t" fillcolor="#a0a0a0" stroked="f"/>
        </w:pict>
      </w:r>
    </w:p>
    <w:p w14:paraId="05417280" w14:textId="77777777" w:rsidR="00F426F9" w:rsidRPr="00F426F9" w:rsidRDefault="00F426F9" w:rsidP="00F426F9">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F426F9">
        <w:rPr>
          <w:rFonts w:ascii="Lora" w:eastAsia="Times New Roman" w:hAnsi="Lora" w:cs="Times New Roman"/>
          <w:b/>
          <w:bCs/>
          <w:color w:val="363737"/>
          <w:kern w:val="0"/>
          <w:sz w:val="47"/>
          <w:szCs w:val="47"/>
          <w14:ligatures w14:val="none"/>
        </w:rPr>
        <w:t>Final Thoughts</w:t>
      </w:r>
    </w:p>
    <w:p w14:paraId="3AD23F63"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This historical series wasn’t meant to cherry-pick a perfect period or claim the future will look exactly like the past. Markets change. Regimes evolve. That’s precisely why I trade this model live, </w:t>
      </w:r>
      <w:hyperlink r:id="rId16" w:history="1">
        <w:r w:rsidRPr="00F426F9">
          <w:rPr>
            <w:rFonts w:ascii="Times New Roman" w:eastAsia="Times New Roman" w:hAnsi="Times New Roman" w:cs="Times New Roman"/>
            <w:color w:val="363737"/>
            <w:kern w:val="0"/>
            <w:sz w:val="29"/>
            <w:szCs w:val="29"/>
            <w:u w:val="single"/>
            <w14:ligatures w14:val="none"/>
          </w:rPr>
          <w:t>track it transparently</w:t>
        </w:r>
      </w:hyperlink>
      <w:r w:rsidRPr="00F426F9">
        <w:rPr>
          <w:rFonts w:ascii="Times New Roman" w:eastAsia="Times New Roman" w:hAnsi="Times New Roman" w:cs="Times New Roman"/>
          <w:color w:val="363737"/>
          <w:kern w:val="0"/>
          <w:sz w:val="29"/>
          <w:szCs w:val="29"/>
          <w14:ligatures w14:val="none"/>
        </w:rPr>
        <w:t>, and focus obsessively on risk.</w:t>
      </w:r>
    </w:p>
    <w:p w14:paraId="2ED69D38"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What this history does show is that:</w:t>
      </w:r>
    </w:p>
    <w:p w14:paraId="7A5A4887" w14:textId="77777777" w:rsidR="00F426F9" w:rsidRPr="00F426F9" w:rsidRDefault="00F426F9" w:rsidP="00F426F9">
      <w:pPr>
        <w:numPr>
          <w:ilvl w:val="0"/>
          <w:numId w:val="4"/>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 xml:space="preserve">Simple rules can outperform complex </w:t>
      </w:r>
      <w:proofErr w:type="gramStart"/>
      <w:r w:rsidRPr="00F426F9">
        <w:rPr>
          <w:rFonts w:ascii="Times New Roman" w:eastAsia="Times New Roman" w:hAnsi="Times New Roman" w:cs="Times New Roman"/>
          <w:color w:val="363737"/>
          <w:kern w:val="0"/>
          <w:sz w:val="29"/>
          <w:szCs w:val="29"/>
          <w14:ligatures w14:val="none"/>
        </w:rPr>
        <w:t>predictions</w:t>
      </w:r>
      <w:proofErr w:type="gramEnd"/>
    </w:p>
    <w:p w14:paraId="749D656A" w14:textId="77777777" w:rsidR="00F426F9" w:rsidRPr="00F426F9" w:rsidRDefault="00F426F9" w:rsidP="00F426F9">
      <w:pPr>
        <w:numPr>
          <w:ilvl w:val="0"/>
          <w:numId w:val="4"/>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 xml:space="preserve">Risk management matters more than being </w:t>
      </w:r>
      <w:proofErr w:type="gramStart"/>
      <w:r w:rsidRPr="00F426F9">
        <w:rPr>
          <w:rFonts w:ascii="Times New Roman" w:eastAsia="Times New Roman" w:hAnsi="Times New Roman" w:cs="Times New Roman"/>
          <w:color w:val="363737"/>
          <w:kern w:val="0"/>
          <w:sz w:val="29"/>
          <w:szCs w:val="29"/>
          <w14:ligatures w14:val="none"/>
        </w:rPr>
        <w:t>right</w:t>
      </w:r>
      <w:proofErr w:type="gramEnd"/>
    </w:p>
    <w:p w14:paraId="554895CF" w14:textId="77777777" w:rsidR="00F426F9" w:rsidRPr="00F426F9" w:rsidRDefault="00F426F9" w:rsidP="00F426F9">
      <w:pPr>
        <w:numPr>
          <w:ilvl w:val="0"/>
          <w:numId w:val="4"/>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 xml:space="preserve">And the path you take to returns is just as important as the returns </w:t>
      </w:r>
      <w:proofErr w:type="gramStart"/>
      <w:r w:rsidRPr="00F426F9">
        <w:rPr>
          <w:rFonts w:ascii="Times New Roman" w:eastAsia="Times New Roman" w:hAnsi="Times New Roman" w:cs="Times New Roman"/>
          <w:color w:val="363737"/>
          <w:kern w:val="0"/>
          <w:sz w:val="29"/>
          <w:szCs w:val="29"/>
          <w14:ligatures w14:val="none"/>
        </w:rPr>
        <w:t>themselves</w:t>
      </w:r>
      <w:proofErr w:type="gramEnd"/>
    </w:p>
    <w:p w14:paraId="5CA7FB3E"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If you can achieve TQQQ-like returns while experiencing SPY-like drawdowns, you dramatically improve your odds of staying invested—and staying disciplined—over the long run.</w:t>
      </w:r>
    </w:p>
    <w:p w14:paraId="335E5995"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That, more than any single number on a chart, is what makes the Market Regime approach so powerful.</w:t>
      </w:r>
    </w:p>
    <w:p w14:paraId="459F7DB9"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Thanks for following along through the full 2010–2025 history.</w:t>
      </w:r>
    </w:p>
    <w:p w14:paraId="12A6FED2" w14:textId="77777777" w:rsidR="00F426F9" w:rsidRPr="00F426F9" w:rsidRDefault="00F426F9" w:rsidP="00F426F9">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F426F9">
        <w:rPr>
          <w:rFonts w:ascii="Times New Roman" w:eastAsia="Times New Roman" w:hAnsi="Times New Roman" w:cs="Times New Roman"/>
          <w:color w:val="363737"/>
          <w:kern w:val="0"/>
          <w:sz w:val="29"/>
          <w:szCs w:val="29"/>
          <w14:ligatures w14:val="none"/>
        </w:rPr>
        <w:t>If you want to follow this strategy in real time, with full transparency, live signals, and ongoing performance tracking—not just hindsight—subscribe and see how the Market Regime model navigates the next cycle as it happens.</w:t>
      </w:r>
    </w:p>
    <w:p w14:paraId="36549D89"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057EE"/>
    <w:multiLevelType w:val="multilevel"/>
    <w:tmpl w:val="02B0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1A1158"/>
    <w:multiLevelType w:val="multilevel"/>
    <w:tmpl w:val="261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F160AD"/>
    <w:multiLevelType w:val="multilevel"/>
    <w:tmpl w:val="142C4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37662B"/>
    <w:multiLevelType w:val="multilevel"/>
    <w:tmpl w:val="B16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496037">
    <w:abstractNumId w:val="2"/>
  </w:num>
  <w:num w:numId="2" w16cid:durableId="1883514575">
    <w:abstractNumId w:val="0"/>
  </w:num>
  <w:num w:numId="3" w16cid:durableId="368993647">
    <w:abstractNumId w:val="3"/>
  </w:num>
  <w:num w:numId="4" w16cid:durableId="641741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6F9"/>
    <w:rsid w:val="00496E3F"/>
    <w:rsid w:val="006B1723"/>
    <w:rsid w:val="00AA2188"/>
    <w:rsid w:val="00F42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1AE2"/>
  <w15:chartTrackingRefBased/>
  <w15:docId w15:val="{D4F6CD67-66F0-B546-B683-A42B6CB92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26F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426F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426F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6F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426F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426F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426F9"/>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426F9"/>
    <w:rPr>
      <w:i/>
      <w:iCs/>
    </w:rPr>
  </w:style>
  <w:style w:type="character" w:styleId="Hyperlink">
    <w:name w:val="Hyperlink"/>
    <w:basedOn w:val="DefaultParagraphFont"/>
    <w:uiPriority w:val="99"/>
    <w:semiHidden/>
    <w:unhideWhenUsed/>
    <w:rsid w:val="00F426F9"/>
    <w:rPr>
      <w:color w:val="0000FF"/>
      <w:u w:val="single"/>
    </w:rPr>
  </w:style>
  <w:style w:type="character" w:styleId="Strong">
    <w:name w:val="Strong"/>
    <w:basedOn w:val="DefaultParagraphFont"/>
    <w:uiPriority w:val="22"/>
    <w:qFormat/>
    <w:rsid w:val="00F426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10481">
      <w:bodyDiv w:val="1"/>
      <w:marLeft w:val="0"/>
      <w:marRight w:val="0"/>
      <w:marTop w:val="0"/>
      <w:marBottom w:val="0"/>
      <w:divBdr>
        <w:top w:val="none" w:sz="0" w:space="0" w:color="auto"/>
        <w:left w:val="none" w:sz="0" w:space="0" w:color="auto"/>
        <w:bottom w:val="none" w:sz="0" w:space="0" w:color="auto"/>
        <w:right w:val="none" w:sz="0" w:space="0" w:color="auto"/>
      </w:divBdr>
      <w:divsChild>
        <w:div w:id="349911995">
          <w:marLeft w:val="0"/>
          <w:marRight w:val="0"/>
          <w:marTop w:val="0"/>
          <w:marBottom w:val="0"/>
          <w:divBdr>
            <w:top w:val="none" w:sz="0" w:space="0" w:color="auto"/>
            <w:left w:val="none" w:sz="0" w:space="0" w:color="auto"/>
            <w:bottom w:val="none" w:sz="0" w:space="0" w:color="auto"/>
            <w:right w:val="none" w:sz="0" w:space="0" w:color="auto"/>
          </w:divBdr>
          <w:divsChild>
            <w:div w:id="713390819">
              <w:marLeft w:val="0"/>
              <w:marRight w:val="0"/>
              <w:marTop w:val="0"/>
              <w:marBottom w:val="0"/>
              <w:divBdr>
                <w:top w:val="none" w:sz="0" w:space="0" w:color="auto"/>
                <w:left w:val="none" w:sz="0" w:space="0" w:color="auto"/>
                <w:bottom w:val="none" w:sz="0" w:space="0" w:color="auto"/>
                <w:right w:val="none" w:sz="0" w:space="0" w:color="auto"/>
              </w:divBdr>
              <w:divsChild>
                <w:div w:id="430856479">
                  <w:marLeft w:val="0"/>
                  <w:marRight w:val="0"/>
                  <w:marTop w:val="0"/>
                  <w:marBottom w:val="0"/>
                  <w:divBdr>
                    <w:top w:val="none" w:sz="0" w:space="0" w:color="auto"/>
                    <w:left w:val="none" w:sz="0" w:space="0" w:color="auto"/>
                    <w:bottom w:val="none" w:sz="0" w:space="0" w:color="auto"/>
                    <w:right w:val="none" w:sz="0" w:space="0" w:color="auto"/>
                  </w:divBdr>
                  <w:divsChild>
                    <w:div w:id="99224314">
                      <w:marLeft w:val="0"/>
                      <w:marRight w:val="0"/>
                      <w:marTop w:val="0"/>
                      <w:marBottom w:val="0"/>
                      <w:divBdr>
                        <w:top w:val="none" w:sz="0" w:space="0" w:color="auto"/>
                        <w:left w:val="none" w:sz="0" w:space="0" w:color="auto"/>
                        <w:bottom w:val="none" w:sz="0" w:space="0" w:color="auto"/>
                        <w:right w:val="none" w:sz="0" w:space="0" w:color="auto"/>
                      </w:divBdr>
                      <w:divsChild>
                        <w:div w:id="1661302259">
                          <w:marLeft w:val="0"/>
                          <w:marRight w:val="0"/>
                          <w:marTop w:val="0"/>
                          <w:marBottom w:val="0"/>
                          <w:divBdr>
                            <w:top w:val="none" w:sz="0" w:space="0" w:color="auto"/>
                            <w:left w:val="none" w:sz="0" w:space="0" w:color="auto"/>
                            <w:bottom w:val="none" w:sz="0" w:space="0" w:color="auto"/>
                            <w:right w:val="none" w:sz="0" w:space="0" w:color="auto"/>
                          </w:divBdr>
                          <w:divsChild>
                            <w:div w:id="1118531387">
                              <w:marLeft w:val="0"/>
                              <w:marRight w:val="0"/>
                              <w:marTop w:val="0"/>
                              <w:marBottom w:val="0"/>
                              <w:divBdr>
                                <w:top w:val="none" w:sz="0" w:space="0" w:color="auto"/>
                                <w:left w:val="none" w:sz="0" w:space="0" w:color="auto"/>
                                <w:bottom w:val="none" w:sz="0" w:space="0" w:color="auto"/>
                                <w:right w:val="none" w:sz="0" w:space="0" w:color="auto"/>
                              </w:divBdr>
                              <w:divsChild>
                                <w:div w:id="115345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556831">
          <w:marLeft w:val="0"/>
          <w:marRight w:val="0"/>
          <w:marTop w:val="0"/>
          <w:marBottom w:val="0"/>
          <w:divBdr>
            <w:top w:val="none" w:sz="0" w:space="0" w:color="auto"/>
            <w:left w:val="none" w:sz="0" w:space="0" w:color="auto"/>
            <w:bottom w:val="none" w:sz="0" w:space="0" w:color="auto"/>
            <w:right w:val="none" w:sz="0" w:space="0" w:color="auto"/>
          </w:divBdr>
          <w:divsChild>
            <w:div w:id="1931044887">
              <w:marLeft w:val="0"/>
              <w:marRight w:val="0"/>
              <w:marTop w:val="0"/>
              <w:marBottom w:val="0"/>
              <w:divBdr>
                <w:top w:val="none" w:sz="0" w:space="0" w:color="auto"/>
                <w:left w:val="none" w:sz="0" w:space="0" w:color="auto"/>
                <w:bottom w:val="none" w:sz="0" w:space="0" w:color="auto"/>
                <w:right w:val="none" w:sz="0" w:space="0" w:color="auto"/>
              </w:divBdr>
              <w:divsChild>
                <w:div w:id="762993957">
                  <w:marLeft w:val="0"/>
                  <w:marRight w:val="0"/>
                  <w:marTop w:val="0"/>
                  <w:marBottom w:val="240"/>
                  <w:divBdr>
                    <w:top w:val="none" w:sz="0" w:space="0" w:color="auto"/>
                    <w:left w:val="none" w:sz="0" w:space="0" w:color="auto"/>
                    <w:bottom w:val="none" w:sz="0" w:space="0" w:color="auto"/>
                    <w:right w:val="none" w:sz="0" w:space="0" w:color="auto"/>
                  </w:divBdr>
                  <w:divsChild>
                    <w:div w:id="48386456">
                      <w:marLeft w:val="0"/>
                      <w:marRight w:val="0"/>
                      <w:marTop w:val="0"/>
                      <w:marBottom w:val="0"/>
                      <w:divBdr>
                        <w:top w:val="none" w:sz="0" w:space="0" w:color="auto"/>
                        <w:left w:val="none" w:sz="0" w:space="0" w:color="auto"/>
                        <w:bottom w:val="none" w:sz="0" w:space="0" w:color="auto"/>
                        <w:right w:val="none" w:sz="0" w:space="0" w:color="auto"/>
                      </w:divBdr>
                    </w:div>
                    <w:div w:id="1087457986">
                      <w:marLeft w:val="0"/>
                      <w:marRight w:val="0"/>
                      <w:marTop w:val="480"/>
                      <w:marBottom w:val="480"/>
                      <w:divBdr>
                        <w:top w:val="none" w:sz="0" w:space="0" w:color="auto"/>
                        <w:left w:val="none" w:sz="0" w:space="0" w:color="auto"/>
                        <w:bottom w:val="none" w:sz="0" w:space="0" w:color="auto"/>
                        <w:right w:val="none" w:sz="0" w:space="0" w:color="auto"/>
                      </w:divBdr>
                      <w:divsChild>
                        <w:div w:id="2081054171">
                          <w:marLeft w:val="0"/>
                          <w:marRight w:val="0"/>
                          <w:marTop w:val="0"/>
                          <w:marBottom w:val="0"/>
                          <w:divBdr>
                            <w:top w:val="none" w:sz="0" w:space="0" w:color="auto"/>
                            <w:left w:val="none" w:sz="0" w:space="0" w:color="auto"/>
                            <w:bottom w:val="none" w:sz="0" w:space="0" w:color="auto"/>
                            <w:right w:val="none" w:sz="0" w:space="0" w:color="auto"/>
                          </w:divBdr>
                        </w:div>
                      </w:divsChild>
                    </w:div>
                    <w:div w:id="191235836">
                      <w:marLeft w:val="0"/>
                      <w:marRight w:val="0"/>
                      <w:marTop w:val="0"/>
                      <w:marBottom w:val="0"/>
                      <w:divBdr>
                        <w:top w:val="none" w:sz="0" w:space="0" w:color="auto"/>
                        <w:left w:val="none" w:sz="0" w:space="0" w:color="auto"/>
                        <w:bottom w:val="none" w:sz="0" w:space="0" w:color="auto"/>
                        <w:right w:val="none" w:sz="0" w:space="0" w:color="auto"/>
                      </w:divBdr>
                    </w:div>
                    <w:div w:id="2117871223">
                      <w:blockQuote w:val="1"/>
                      <w:marLeft w:val="0"/>
                      <w:marRight w:val="0"/>
                      <w:marTop w:val="300"/>
                      <w:marBottom w:val="300"/>
                      <w:divBdr>
                        <w:top w:val="none" w:sz="0" w:space="0" w:color="auto"/>
                        <w:left w:val="single" w:sz="24" w:space="0" w:color="FF6719"/>
                        <w:bottom w:val="none" w:sz="0" w:space="0" w:color="auto"/>
                        <w:right w:val="none" w:sz="0" w:space="0" w:color="auto"/>
                      </w:divBdr>
                    </w:div>
                    <w:div w:id="964775268">
                      <w:marLeft w:val="0"/>
                      <w:marRight w:val="0"/>
                      <w:marTop w:val="0"/>
                      <w:marBottom w:val="0"/>
                      <w:divBdr>
                        <w:top w:val="none" w:sz="0" w:space="0" w:color="auto"/>
                        <w:left w:val="none" w:sz="0" w:space="0" w:color="auto"/>
                        <w:bottom w:val="none" w:sz="0" w:space="0" w:color="auto"/>
                        <w:right w:val="none" w:sz="0" w:space="0" w:color="auto"/>
                      </w:divBdr>
                    </w:div>
                    <w:div w:id="1737821565">
                      <w:marLeft w:val="0"/>
                      <w:marRight w:val="0"/>
                      <w:marTop w:val="0"/>
                      <w:marBottom w:val="0"/>
                      <w:divBdr>
                        <w:top w:val="none" w:sz="0" w:space="0" w:color="auto"/>
                        <w:left w:val="none" w:sz="0" w:space="0" w:color="auto"/>
                        <w:bottom w:val="none" w:sz="0" w:space="0" w:color="auto"/>
                        <w:right w:val="none" w:sz="0" w:space="0" w:color="auto"/>
                      </w:divBdr>
                    </w:div>
                    <w:div w:id="1917205991">
                      <w:marLeft w:val="0"/>
                      <w:marRight w:val="0"/>
                      <w:marTop w:val="480"/>
                      <w:marBottom w:val="480"/>
                      <w:divBdr>
                        <w:top w:val="none" w:sz="0" w:space="0" w:color="auto"/>
                        <w:left w:val="none" w:sz="0" w:space="0" w:color="auto"/>
                        <w:bottom w:val="none" w:sz="0" w:space="0" w:color="auto"/>
                        <w:right w:val="none" w:sz="0" w:space="0" w:color="auto"/>
                      </w:divBdr>
                      <w:divsChild>
                        <w:div w:id="461848099">
                          <w:marLeft w:val="0"/>
                          <w:marRight w:val="0"/>
                          <w:marTop w:val="0"/>
                          <w:marBottom w:val="0"/>
                          <w:divBdr>
                            <w:top w:val="none" w:sz="0" w:space="0" w:color="auto"/>
                            <w:left w:val="none" w:sz="0" w:space="0" w:color="auto"/>
                            <w:bottom w:val="none" w:sz="0" w:space="0" w:color="auto"/>
                            <w:right w:val="none" w:sz="0" w:space="0" w:color="auto"/>
                          </w:divBdr>
                        </w:div>
                      </w:divsChild>
                    </w:div>
                    <w:div w:id="16515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regimes.com/p/history-of-the-market-regime-model-e7f"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arketregimes.com/p/history-of-the-market-regime-model-09d" TargetMode="External"/><Relationship Id="rId12" Type="http://schemas.openxmlformats.org/officeDocument/2006/relationships/hyperlink" Target="https://substackcdn.com/image/fetch/$s_!0eSv!,f_auto,q_auto:good,fl_progressive:steep/https%3A%2F%2Fsubstack-post-media.s3.amazonaws.com%2Fpublic%2Fimages%2Fe014b7c2-f09f-48b9-82ce-c7b07cf819d5_4800x3000.p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arketregimes.com/p/track-record" TargetMode="External"/><Relationship Id="rId1" Type="http://schemas.openxmlformats.org/officeDocument/2006/relationships/numbering" Target="numbering.xml"/><Relationship Id="rId6" Type="http://schemas.openxmlformats.org/officeDocument/2006/relationships/hyperlink" Target="https://www.marketregimes.com/p/history-of-the-market-regime-model-d75" TargetMode="External"/><Relationship Id="rId11" Type="http://schemas.openxmlformats.org/officeDocument/2006/relationships/hyperlink" Target="https://www.marketregimes.com/p/track-record" TargetMode="External"/><Relationship Id="rId5" Type="http://schemas.openxmlformats.org/officeDocument/2006/relationships/hyperlink" Target="https://www.marketregimes.com/p/history-of-the-market-regime-model" TargetMode="External"/><Relationship Id="rId15" Type="http://schemas.openxmlformats.org/officeDocument/2006/relationships/image" Target="media/image2.png"/><Relationship Id="rId10" Type="http://schemas.openxmlformats.org/officeDocument/2006/relationships/hyperlink" Target="https://www.marketregimes.com/p/history-of-the-market-regime-model-71e" TargetMode="External"/><Relationship Id="rId4" Type="http://schemas.openxmlformats.org/officeDocument/2006/relationships/webSettings" Target="webSettings.xml"/><Relationship Id="rId9" Type="http://schemas.openxmlformats.org/officeDocument/2006/relationships/hyperlink" Target="https://www.marketregimes.com/p/history-of-the-market-regime-model-df7" TargetMode="External"/><Relationship Id="rId14" Type="http://schemas.openxmlformats.org/officeDocument/2006/relationships/hyperlink" Target="https://substackcdn.com/image/fetch/$s_!VNta!,f_auto,q_auto:good,fl_progressive:steep/https%3A%2F%2Fsubstack-post-media.s3.amazonaws.com%2Fpublic%2Fimages%2F66d4b251-0101-4ce8-b1dd-fae54ec3a400_4500x240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2026-03-03T20:14:00Z</dcterms:created>
  <dcterms:modified xsi:type="dcterms:W3CDTF">2026-03-03T20:15:00Z</dcterms:modified>
</cp:coreProperties>
</file>