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2DD7" w:rsidRPr="008D632F" w:rsidRDefault="00212DD7" w:rsidP="00AD6FB2">
      <w:pPr>
        <w:pStyle w:val="MainHead"/>
        <w:spacing w:before="0"/>
        <w:rPr>
          <w:rFonts w:asciiTheme="majorHAnsi" w:hAnsiTheme="majorHAnsi" w:cstheme="majorHAnsi"/>
          <w:sz w:val="28"/>
          <w:szCs w:val="22"/>
        </w:rPr>
      </w:pPr>
      <w:r w:rsidRPr="008D632F">
        <w:rPr>
          <w:rFonts w:asciiTheme="majorHAnsi" w:hAnsiTheme="majorHAnsi" w:cstheme="majorHAnsi"/>
          <w:sz w:val="28"/>
          <w:szCs w:val="22"/>
        </w:rPr>
        <w:t>EARTHQUAKE EXTENSION CLAUSE</w:t>
      </w:r>
    </w:p>
    <w:p w:rsidR="008D632F" w:rsidRPr="00AD6FB2" w:rsidRDefault="008D632F" w:rsidP="00AD6FB2">
      <w:pPr>
        <w:pStyle w:val="MainHead"/>
        <w:spacing w:before="0"/>
        <w:rPr>
          <w:rFonts w:asciiTheme="majorHAnsi" w:hAnsiTheme="majorHAnsi" w:cstheme="majorHAnsi"/>
          <w:sz w:val="36"/>
          <w:szCs w:val="22"/>
          <w:u w:val="single"/>
        </w:rPr>
      </w:pPr>
      <w:r w:rsidRPr="00AD6FB2">
        <w:rPr>
          <w:rFonts w:asciiTheme="majorHAnsi" w:hAnsiTheme="majorHAnsi" w:cstheme="majorHAnsi"/>
          <w:sz w:val="36"/>
          <w:szCs w:val="22"/>
          <w:u w:val="single"/>
        </w:rPr>
        <w:t>EQ</w:t>
      </w:r>
    </w:p>
    <w:p w:rsidR="00212DD7" w:rsidRPr="00212DD7" w:rsidRDefault="00212DD7" w:rsidP="00212DD7">
      <w:pPr>
        <w:spacing w:before="480"/>
        <w:rPr>
          <w:rFonts w:asciiTheme="majorHAnsi" w:hAnsiTheme="majorHAnsi" w:cstheme="majorHAnsi"/>
        </w:rPr>
      </w:pPr>
      <w:r w:rsidRPr="00212DD7">
        <w:rPr>
          <w:rFonts w:asciiTheme="majorHAnsi" w:hAnsiTheme="majorHAnsi" w:cstheme="majorHAnsi"/>
        </w:rPr>
        <w:t>In consideration of the premium paid hereon, and subject to the terms, conditions and exclusions of this Policy except as herein provided, this Policy is extended to cover loss of or damage to the property insured</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(a)  directly caused by Earthquake Shock</w:t>
      </w:r>
      <w:r w:rsidR="00B454C8">
        <w:rPr>
          <w:rFonts w:asciiTheme="majorHAnsi" w:hAnsiTheme="majorHAnsi" w:cstheme="majorHAnsi"/>
          <w:sz w:val="22"/>
          <w:szCs w:val="22"/>
        </w:rPr>
        <w:t>, or</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(b)  by Fire directly or indirectly caused by Earthquake.</w:t>
      </w:r>
    </w:p>
    <w:p w:rsidR="00212DD7" w:rsidRPr="00AD6FB2" w:rsidRDefault="00212DD7" w:rsidP="00212DD7">
      <w:pPr>
        <w:spacing w:before="240"/>
        <w:jc w:val="center"/>
        <w:rPr>
          <w:rFonts w:asciiTheme="majorHAnsi" w:hAnsiTheme="majorHAnsi" w:cstheme="majorHAnsi"/>
          <w:b/>
          <w:sz w:val="24"/>
        </w:rPr>
      </w:pPr>
      <w:r w:rsidRPr="00AD6FB2">
        <w:rPr>
          <w:rFonts w:asciiTheme="majorHAnsi" w:hAnsiTheme="majorHAnsi" w:cstheme="majorHAnsi"/>
          <w:b/>
          <w:sz w:val="24"/>
        </w:rPr>
        <w:t>CONDITIONS</w:t>
      </w:r>
    </w:p>
    <w:p w:rsidR="00212DD7" w:rsidRPr="00212DD7" w:rsidRDefault="00212DD7" w:rsidP="00212DD7">
      <w:pPr>
        <w:rPr>
          <w:rFonts w:asciiTheme="majorHAnsi" w:hAnsiTheme="majorHAnsi" w:cstheme="majorHAnsi"/>
          <w:b/>
          <w:bCs/>
        </w:rPr>
      </w:pPr>
      <w:r w:rsidRPr="00212DD7">
        <w:rPr>
          <w:rFonts w:asciiTheme="majorHAnsi" w:hAnsiTheme="majorHAnsi" w:cstheme="majorHAnsi"/>
          <w:b/>
          <w:bCs/>
        </w:rPr>
        <w:t>Excess</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 xml:space="preserve">1.    In respect of loss or damage directly caused by Earthquake Shock, the Underwriters shall only be liable for the amount by which such loss or damage during any one period of </w:t>
      </w:r>
      <w:r>
        <w:rPr>
          <w:rFonts w:asciiTheme="majorHAnsi" w:hAnsiTheme="majorHAnsi" w:cstheme="majorHAnsi"/>
          <w:sz w:val="22"/>
          <w:szCs w:val="22"/>
        </w:rPr>
        <w:t>seventy-two</w:t>
      </w:r>
      <w:r w:rsidRPr="00212DD7">
        <w:rPr>
          <w:rFonts w:asciiTheme="majorHAnsi" w:hAnsiTheme="majorHAnsi" w:cstheme="majorHAnsi"/>
          <w:sz w:val="22"/>
          <w:szCs w:val="22"/>
        </w:rPr>
        <w:t xml:space="preserve"> consecutive hours exceeds </w:t>
      </w:r>
      <w:r w:rsidRPr="00212DD7">
        <w:rPr>
          <w:rFonts w:asciiTheme="majorHAnsi" w:hAnsiTheme="majorHAnsi" w:cstheme="majorHAnsi"/>
          <w:color w:val="FF0000"/>
          <w:sz w:val="22"/>
          <w:szCs w:val="22"/>
        </w:rPr>
        <w:t>{Response}.</w:t>
      </w:r>
    </w:p>
    <w:p w:rsidR="00212DD7" w:rsidRPr="00212DD7" w:rsidRDefault="00212DD7" w:rsidP="00212DD7">
      <w:pPr>
        <w:spacing w:before="240"/>
        <w:rPr>
          <w:rFonts w:asciiTheme="majorHAnsi" w:hAnsiTheme="majorHAnsi" w:cstheme="majorHAnsi"/>
          <w:b/>
          <w:bCs/>
        </w:rPr>
      </w:pPr>
      <w:r w:rsidRPr="00212DD7">
        <w:rPr>
          <w:rFonts w:asciiTheme="majorHAnsi" w:hAnsiTheme="majorHAnsi" w:cstheme="majorHAnsi"/>
          <w:b/>
          <w:bCs/>
        </w:rPr>
        <w:t>Average</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2.   Any item of this Policy which is already subject to any condition of average for Fire or other hazards insured by this Policy shall be subject to the same condition of average for the purposes of this Extension Clause; each other item of this Policy shall be subject to the following condition of average for the purposes of this Extension Clause, that is to say, if the property to which such item relates shall at the time of any loss or damage be of greater value than the Sum Insured hereby in respect thereof, the Assured shall only be entitled to recover hereunder such proportion of the said loss or damage as the said Sum Insured hereby bears to the total value of the said property.</w:t>
      </w:r>
    </w:p>
    <w:p w:rsidR="00212DD7" w:rsidRPr="00212DD7" w:rsidRDefault="00B454C8" w:rsidP="00212DD7">
      <w:pPr>
        <w:spacing w:before="240"/>
        <w:rPr>
          <w:rFonts w:asciiTheme="majorHAnsi" w:hAnsiTheme="majorHAnsi" w:cstheme="majorHAnsi"/>
          <w:b/>
          <w:bCs/>
        </w:rPr>
      </w:pPr>
      <w:r>
        <w:rPr>
          <w:rFonts w:asciiTheme="majorHAnsi" w:hAnsiTheme="majorHAnsi" w:cstheme="majorHAnsi"/>
          <w:b/>
          <w:bCs/>
        </w:rPr>
        <w:t>Double Insurance</w:t>
      </w:r>
    </w:p>
    <w:p w:rsidR="00B454C8" w:rsidRPr="00B454C8" w:rsidRDefault="00212DD7" w:rsidP="00AD6FB2">
      <w:pPr>
        <w:keepNext/>
        <w:spacing w:before="480"/>
        <w:ind w:left="284" w:hanging="284"/>
        <w:rPr>
          <w:rFonts w:asciiTheme="majorHAnsi" w:hAnsiTheme="majorHAnsi" w:cstheme="majorHAnsi"/>
        </w:rPr>
      </w:pPr>
      <w:r w:rsidRPr="00B454C8">
        <w:rPr>
          <w:rFonts w:asciiTheme="majorHAnsi" w:hAnsiTheme="majorHAnsi" w:cstheme="majorHAnsi"/>
        </w:rPr>
        <w:t>3.  </w:t>
      </w:r>
      <w:r w:rsidR="00B454C8">
        <w:rPr>
          <w:rFonts w:asciiTheme="majorHAnsi" w:hAnsiTheme="majorHAnsi" w:cstheme="majorHAnsi"/>
        </w:rPr>
        <w:tab/>
      </w:r>
      <w:r w:rsidRPr="00B454C8">
        <w:rPr>
          <w:rFonts w:asciiTheme="majorHAnsi" w:hAnsiTheme="majorHAnsi" w:cstheme="majorHAnsi"/>
        </w:rPr>
        <w:t xml:space="preserve"> </w:t>
      </w:r>
      <w:r w:rsidR="00B454C8" w:rsidRPr="00B454C8">
        <w:rPr>
          <w:rFonts w:asciiTheme="majorHAnsi" w:hAnsiTheme="majorHAnsi" w:cstheme="majorHAnsi"/>
        </w:rPr>
        <w:t>In the case of double insurance the Underwriters are liable for the damage in the same proportion in which the sum insured by them stands to the total of all sums insured.</w:t>
      </w:r>
    </w:p>
    <w:p w:rsidR="00212DD7" w:rsidRDefault="00212DD7" w:rsidP="00212DD7">
      <w:pPr>
        <w:pStyle w:val="Indent"/>
        <w:rPr>
          <w:rFonts w:asciiTheme="majorHAnsi" w:hAnsiTheme="majorHAnsi" w:cstheme="majorHAnsi"/>
        </w:rPr>
      </w:pPr>
    </w:p>
    <w:p w:rsidR="00212DD7" w:rsidRDefault="00212DD7" w:rsidP="00212DD7">
      <w:pPr>
        <w:jc w:val="center"/>
        <w:rPr>
          <w:rFonts w:asciiTheme="majorHAnsi" w:hAnsiTheme="majorHAnsi" w:cstheme="majorHAnsi"/>
          <w:b/>
          <w:u w:val="single"/>
        </w:rPr>
      </w:pPr>
      <w:r w:rsidRPr="00212DD7">
        <w:rPr>
          <w:rFonts w:asciiTheme="majorHAnsi" w:hAnsiTheme="majorHAnsi" w:cstheme="majorHAnsi"/>
          <w:b/>
          <w:u w:val="single"/>
        </w:rPr>
        <w:t>DEFINITION</w:t>
      </w:r>
    </w:p>
    <w:p w:rsidR="00AD6FB2" w:rsidRPr="00212DD7" w:rsidRDefault="00AD6FB2" w:rsidP="00212DD7">
      <w:pPr>
        <w:jc w:val="center"/>
        <w:rPr>
          <w:rFonts w:asciiTheme="majorHAnsi" w:hAnsiTheme="majorHAnsi" w:cstheme="majorHAnsi"/>
          <w:b/>
          <w:u w:val="single"/>
        </w:rPr>
      </w:pPr>
    </w:p>
    <w:p w:rsidR="00212DD7" w:rsidRPr="00212DD7" w:rsidRDefault="00212DD7" w:rsidP="00212DD7">
      <w:pPr>
        <w:jc w:val="both"/>
        <w:rPr>
          <w:rFonts w:asciiTheme="majorHAnsi" w:hAnsiTheme="majorHAnsi" w:cstheme="majorHAnsi"/>
          <w:u w:val="single"/>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Physical damage or destruction directly caused by Earthquake Shock, solely for the purpose of this </w:t>
      </w:r>
      <w:r w:rsidR="00B454C8">
        <w:rPr>
          <w:rFonts w:asciiTheme="majorHAnsi" w:hAnsiTheme="majorHAnsi" w:cstheme="majorHAnsi"/>
        </w:rPr>
        <w:t>Extension</w:t>
      </w:r>
      <w:r w:rsidRPr="00212DD7">
        <w:rPr>
          <w:rFonts w:asciiTheme="majorHAnsi" w:hAnsiTheme="majorHAnsi" w:cstheme="majorHAnsi"/>
        </w:rPr>
        <w:t>, shall mean only the collapse, falling, cracking, rupturing, shifting, crushing, breaking, bursting, fracturing, or shattering, of property insured hereunder, resulting from a shock, shaking, tremor, or convulsion of the earth’s surface caused by natural seismic forces.  Except Fire directly or indirectly caused by Earthquake, all loss, damage or destruction resulting directly or indirectly from any resulting peril shall not be insured hereunder.</w:t>
      </w:r>
    </w:p>
    <w:p w:rsidR="00212DD7" w:rsidRPr="00212DD7" w:rsidRDefault="00212DD7"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If more than one such shock, shaking, tremor or convulsion shall occur within any period of seventy two hours, all insured damage or destruction arising therefrom shall be deemed to be a single loss for the purpose of this </w:t>
      </w:r>
      <w:r w:rsidR="00B454C8">
        <w:rPr>
          <w:rFonts w:asciiTheme="majorHAnsi" w:hAnsiTheme="majorHAnsi" w:cstheme="majorHAnsi"/>
        </w:rPr>
        <w:t>Extension</w:t>
      </w:r>
      <w:r w:rsidRPr="00212DD7">
        <w:rPr>
          <w:rFonts w:asciiTheme="majorHAnsi" w:hAnsiTheme="majorHAnsi" w:cstheme="majorHAnsi"/>
        </w:rPr>
        <w:t>.</w:t>
      </w:r>
    </w:p>
    <w:p w:rsidR="00212DD7" w:rsidRDefault="00212DD7"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Pr="00212DD7" w:rsidRDefault="00AD6FB2"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The Insured may select the time from which any such seventy two hour period shall commence but:-</w:t>
      </w:r>
    </w:p>
    <w:p w:rsidR="00212DD7" w:rsidRPr="00212DD7" w:rsidRDefault="00212DD7" w:rsidP="00212DD7">
      <w:pPr>
        <w:spacing w:before="240"/>
        <w:jc w:val="both"/>
        <w:rPr>
          <w:rFonts w:asciiTheme="majorHAnsi" w:hAnsiTheme="majorHAnsi" w:cstheme="majorHAnsi"/>
        </w:rPr>
      </w:pPr>
      <w:proofErr w:type="spellStart"/>
      <w:r w:rsidRPr="00212DD7">
        <w:rPr>
          <w:rFonts w:asciiTheme="majorHAnsi" w:hAnsiTheme="majorHAnsi" w:cstheme="majorHAnsi"/>
        </w:rPr>
        <w:t>i</w:t>
      </w:r>
      <w:proofErr w:type="spellEnd"/>
      <w:r w:rsidRPr="00212DD7">
        <w:rPr>
          <w:rFonts w:asciiTheme="majorHAnsi" w:hAnsiTheme="majorHAnsi" w:cstheme="majorHAnsi"/>
        </w:rPr>
        <w:t>)</w:t>
      </w:r>
      <w:r w:rsidRPr="00212DD7">
        <w:rPr>
          <w:rFonts w:asciiTheme="majorHAnsi" w:hAnsiTheme="majorHAnsi" w:cstheme="majorHAnsi"/>
        </w:rPr>
        <w:tab/>
        <w:t>no two such periods may overlap</w:t>
      </w:r>
    </w:p>
    <w:p w:rsidR="00212DD7" w:rsidRPr="00212DD7" w:rsidRDefault="00212DD7" w:rsidP="00212DD7">
      <w:pPr>
        <w:spacing w:before="240"/>
        <w:jc w:val="both"/>
        <w:rPr>
          <w:rFonts w:asciiTheme="majorHAnsi" w:hAnsiTheme="majorHAnsi" w:cstheme="majorHAnsi"/>
        </w:rPr>
      </w:pPr>
      <w:r w:rsidRPr="00212DD7">
        <w:rPr>
          <w:rFonts w:asciiTheme="majorHAnsi" w:hAnsiTheme="majorHAnsi" w:cstheme="majorHAnsi"/>
        </w:rPr>
        <w:t>ii)</w:t>
      </w:r>
      <w:r w:rsidRPr="00212DD7">
        <w:rPr>
          <w:rFonts w:asciiTheme="majorHAnsi" w:hAnsiTheme="majorHAnsi" w:cstheme="majorHAnsi"/>
        </w:rPr>
        <w:tab/>
        <w:t>no such period may commence prior to inception of this Policy.</w:t>
      </w:r>
    </w:p>
    <w:p w:rsidR="00212DD7" w:rsidRPr="00212DD7" w:rsidRDefault="00212DD7" w:rsidP="00212DD7">
      <w:pPr>
        <w:spacing w:before="240"/>
        <w:ind w:left="720" w:hanging="720"/>
        <w:jc w:val="both"/>
        <w:rPr>
          <w:rFonts w:asciiTheme="majorHAnsi" w:hAnsiTheme="majorHAnsi" w:cstheme="majorHAnsi"/>
        </w:rPr>
      </w:pPr>
      <w:r w:rsidRPr="00212DD7">
        <w:rPr>
          <w:rFonts w:asciiTheme="majorHAnsi" w:hAnsiTheme="majorHAnsi" w:cstheme="majorHAnsi"/>
        </w:rPr>
        <w:t>iii)</w:t>
      </w:r>
      <w:r w:rsidRPr="00212DD7">
        <w:rPr>
          <w:rFonts w:asciiTheme="majorHAnsi" w:hAnsiTheme="majorHAnsi" w:cstheme="majorHAnsi"/>
        </w:rPr>
        <w:tab/>
        <w:t>no such period may commence prior to the first recorded damage or destruction of property insured hereunder within any such period.</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iv)</w:t>
      </w:r>
      <w:r w:rsidRPr="00212DD7">
        <w:rPr>
          <w:rFonts w:asciiTheme="majorHAnsi" w:hAnsiTheme="majorHAnsi" w:cstheme="majorHAnsi"/>
        </w:rPr>
        <w:tab/>
        <w:t>any such period which commences prior to expiry of this Policy shall not be limited by that expiry provided that no recovery is made for the same loss under any other policy.</w:t>
      </w:r>
    </w:p>
    <w:p w:rsidR="00212DD7" w:rsidRPr="00212DD7" w:rsidRDefault="00212DD7" w:rsidP="00212DD7">
      <w:pPr>
        <w:jc w:val="both"/>
        <w:rPr>
          <w:rFonts w:asciiTheme="majorHAnsi" w:hAnsiTheme="majorHAnsi" w:cstheme="majorHAnsi"/>
        </w:rPr>
      </w:pPr>
    </w:p>
    <w:p w:rsidR="00212DD7" w:rsidRPr="00212DD7" w:rsidRDefault="00212DD7" w:rsidP="00212DD7">
      <w:pPr>
        <w:spacing w:after="200" w:line="276" w:lineRule="auto"/>
        <w:rPr>
          <w:rFonts w:asciiTheme="majorHAnsi" w:hAnsiTheme="majorHAnsi" w:cstheme="majorHAnsi"/>
          <w:b/>
          <w:u w:val="single"/>
        </w:rPr>
      </w:pPr>
    </w:p>
    <w:p w:rsidR="00212DD7" w:rsidRPr="00212DD7" w:rsidRDefault="00212DD7" w:rsidP="00212DD7">
      <w:pPr>
        <w:ind w:left="720" w:hanging="720"/>
        <w:jc w:val="center"/>
        <w:rPr>
          <w:rFonts w:asciiTheme="majorHAnsi" w:hAnsiTheme="majorHAnsi" w:cstheme="majorHAnsi"/>
          <w:b/>
          <w:u w:val="single"/>
        </w:rPr>
      </w:pPr>
      <w:r w:rsidRPr="00212DD7">
        <w:rPr>
          <w:rFonts w:asciiTheme="majorHAnsi" w:hAnsiTheme="majorHAnsi" w:cstheme="majorHAnsi"/>
          <w:b/>
          <w:u w:val="single"/>
        </w:rPr>
        <w:t>PROPERTY NOT INSURED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 xml:space="preserve">THIS </w:t>
      </w:r>
      <w:r w:rsidR="00B454C8">
        <w:rPr>
          <w:rFonts w:asciiTheme="majorHAnsi" w:hAnsiTheme="majorHAnsi" w:cstheme="majorHAnsi"/>
        </w:rPr>
        <w:t>EXTENSION</w:t>
      </w:r>
      <w:r w:rsidRPr="00212DD7">
        <w:rPr>
          <w:rFonts w:asciiTheme="majorHAnsi" w:hAnsiTheme="majorHAnsi" w:cstheme="majorHAnsi"/>
        </w:rPr>
        <w:t xml:space="preserve"> DOES NOT INSURE:</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1.</w:t>
      </w:r>
      <w:r w:rsidRPr="00212DD7">
        <w:rPr>
          <w:rFonts w:asciiTheme="majorHAnsi" w:hAnsiTheme="majorHAnsi" w:cstheme="majorHAnsi"/>
        </w:rPr>
        <w:tab/>
        <w:t xml:space="preserve">Land (including but not limited to land on which the insured property is located), nor any other naturally occurring substance, nor any interest or right therein howsoever and </w:t>
      </w:r>
      <w:proofErr w:type="spellStart"/>
      <w:r w:rsidRPr="00212DD7">
        <w:rPr>
          <w:rFonts w:asciiTheme="majorHAnsi" w:hAnsiTheme="majorHAnsi" w:cstheme="majorHAnsi"/>
        </w:rPr>
        <w:t>wheresoever</w:t>
      </w:r>
      <w:proofErr w:type="spellEnd"/>
      <w:r w:rsidRPr="00212DD7">
        <w:rPr>
          <w:rFonts w:asciiTheme="majorHAnsi" w:hAnsiTheme="majorHAnsi" w:cstheme="majorHAnsi"/>
        </w:rPr>
        <w:t xml:space="preserve"> occurring, nor the removal of any foundations except where made necessary by an insured replacement.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2.</w:t>
      </w:r>
      <w:r w:rsidRPr="00212DD7">
        <w:rPr>
          <w:rFonts w:asciiTheme="majorHAnsi" w:hAnsiTheme="majorHAnsi" w:cstheme="majorHAnsi"/>
        </w:rPr>
        <w:tab/>
        <w:t>Buildings or structures in process of construction, including materials and supplies therefor.</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3.</w:t>
      </w:r>
      <w:r w:rsidRPr="00212DD7">
        <w:rPr>
          <w:rFonts w:asciiTheme="majorHAnsi" w:hAnsiTheme="majorHAnsi" w:cstheme="majorHAnsi"/>
        </w:rPr>
        <w:tab/>
        <w:t>Driveways, Pavements, Curbing, Culverts, and Sidewalks.</w:t>
      </w:r>
    </w:p>
    <w:p w:rsidR="00212DD7" w:rsidRPr="00212DD7" w:rsidRDefault="00212DD7" w:rsidP="00212DD7">
      <w:pPr>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4</w:t>
      </w:r>
      <w:r w:rsidRPr="00212DD7">
        <w:rPr>
          <w:rFonts w:asciiTheme="majorHAnsi" w:hAnsiTheme="majorHAnsi" w:cstheme="majorHAnsi"/>
        </w:rPr>
        <w:tab/>
        <w:t>Accounts, bills, currency, money, notes, securities, deeds, evidence of debt, or valuable papers.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5</w:t>
      </w:r>
      <w:r w:rsidRPr="00212DD7">
        <w:rPr>
          <w:rFonts w:asciiTheme="majorHAnsi" w:hAnsiTheme="majorHAnsi" w:cstheme="majorHAnsi"/>
        </w:rPr>
        <w:tab/>
        <w:t>Animals, plants, and living things of all types.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6</w:t>
      </w:r>
      <w:r w:rsidRPr="00212DD7">
        <w:rPr>
          <w:rFonts w:asciiTheme="majorHAnsi" w:hAnsiTheme="majorHAnsi" w:cstheme="majorHAnsi"/>
        </w:rPr>
        <w:tab/>
        <w:t>Jewellery, precious stones, fine arts, furs and garments.</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center"/>
        <w:rPr>
          <w:rFonts w:asciiTheme="majorHAnsi" w:hAnsiTheme="majorHAnsi" w:cstheme="majorHAnsi"/>
          <w:u w:val="single"/>
        </w:rPr>
      </w:pPr>
      <w:r w:rsidRPr="00212DD7">
        <w:rPr>
          <w:rFonts w:asciiTheme="majorHAnsi" w:hAnsiTheme="majorHAnsi" w:cstheme="majorHAnsi"/>
          <w:b/>
          <w:u w:val="single"/>
        </w:rPr>
        <w:t>LOSSES EXCLUDED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 xml:space="preserve">THIS </w:t>
      </w:r>
      <w:r w:rsidR="00B454C8">
        <w:rPr>
          <w:rFonts w:asciiTheme="majorHAnsi" w:hAnsiTheme="majorHAnsi" w:cstheme="majorHAnsi"/>
        </w:rPr>
        <w:t>EXTENSION</w:t>
      </w:r>
      <w:r w:rsidRPr="00212DD7">
        <w:rPr>
          <w:rFonts w:asciiTheme="majorHAnsi" w:hAnsiTheme="majorHAnsi" w:cstheme="majorHAnsi"/>
        </w:rPr>
        <w:t xml:space="preserve"> DOES NOT INSURE AGAINST:-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A)  Damage or destruction, or any increase in the amount thereof, arising directly </w:t>
      </w:r>
      <w:r w:rsidRPr="00212DD7">
        <w:rPr>
          <w:rFonts w:asciiTheme="majorHAnsi" w:hAnsiTheme="majorHAnsi" w:cstheme="majorHAnsi"/>
        </w:rPr>
        <w:br/>
        <w:t xml:space="preserve">      </w:t>
      </w:r>
      <w:r w:rsidRPr="00212DD7">
        <w:rPr>
          <w:rFonts w:asciiTheme="majorHAnsi" w:hAnsiTheme="majorHAnsi" w:cstheme="majorHAnsi"/>
        </w:rPr>
        <w:tab/>
        <w:t>or indirectly from;</w:t>
      </w:r>
    </w:p>
    <w:p w:rsidR="00212DD7" w:rsidRPr="00212DD7" w:rsidRDefault="00212DD7" w:rsidP="00212DD7">
      <w:pPr>
        <w:ind w:left="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Nuclear reaction, nuclear radiation or radioactive contamination, however caused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The presence of, release of, creation of, or depositing of, any substance designated by any Government, public or other authority as being actually, allegedly or potentially harmful to persons or the environment,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War, invasion, hostilities, acts of foreign enemies, (all whether war be declared or not) civil war, rebellion, revolution, insurrection, military or usurped power, martial law, or warlike operations</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pStyle w:val="Paragrafoelenco"/>
        <w:numPr>
          <w:ilvl w:val="0"/>
          <w:numId w:val="1"/>
        </w:numPr>
        <w:rPr>
          <w:rFonts w:asciiTheme="majorHAnsi" w:hAnsiTheme="majorHAnsi" w:cstheme="majorHAnsi"/>
        </w:rPr>
      </w:pPr>
      <w:r w:rsidRPr="00212DD7">
        <w:rPr>
          <w:rFonts w:asciiTheme="majorHAnsi" w:hAnsiTheme="majorHAnsi" w:cstheme="majorHAnsi"/>
        </w:rPr>
        <w:lastRenderedPageBreak/>
        <w:t>Confiscation, Requisition, Detention, Legal or illegal occupation, Embargo, Quarantine, or any result of any order of Public or Government authority, which deprives the Insured of the use or value of its property, nor for damage or destruction arising from acts of Contraband or Illegal transportation or Illegal trade.</w:t>
      </w:r>
      <w:r w:rsidRPr="00212DD7">
        <w:rPr>
          <w:rFonts w:asciiTheme="majorHAnsi" w:hAnsiTheme="majorHAnsi" w:cstheme="majorHAnsi"/>
        </w:rPr>
        <w:br/>
      </w: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Any action or order of any Civil Authority including but not limited to the enforcement of any ordinance, law, by-law, regulation, or other order of any nature, controlling the use, reconstruction, repair or demolition of any property insured hereunder.</w:t>
      </w:r>
    </w:p>
    <w:p w:rsidR="00212DD7" w:rsidRPr="00212DD7" w:rsidRDefault="00212DD7" w:rsidP="00212DD7">
      <w:pPr>
        <w:ind w:left="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B)</w:t>
      </w:r>
      <w:r w:rsidRPr="00212DD7">
        <w:rPr>
          <w:rFonts w:asciiTheme="majorHAnsi" w:hAnsiTheme="majorHAnsi" w:cstheme="majorHAnsi"/>
        </w:rPr>
        <w:tab/>
        <w:t>Damage or destruction not discovered or, being discovered, not reported to Underwriters together with the amount thereof within one year of the commencement of the Earthquake which caused the damage or destruction.</w:t>
      </w:r>
    </w:p>
    <w:p w:rsidR="00212DD7" w:rsidRDefault="00212DD7" w:rsidP="00212DD7">
      <w:pPr>
        <w:jc w:val="both"/>
      </w:pPr>
    </w:p>
    <w:p w:rsidR="00212DD7" w:rsidRPr="00745F69" w:rsidRDefault="00AD6FB2" w:rsidP="00212DD7">
      <w:pPr>
        <w:pStyle w:val="Titolo1"/>
      </w:pPr>
      <w:r>
        <w:t>EQ 2013</w:t>
      </w:r>
    </w:p>
    <w:p w:rsidR="00212DD7" w:rsidRPr="00212DD7" w:rsidRDefault="00212DD7" w:rsidP="00212DD7">
      <w:pPr>
        <w:pStyle w:val="Indent"/>
        <w:rPr>
          <w:rFonts w:asciiTheme="majorHAnsi" w:hAnsiTheme="majorHAnsi" w:cstheme="majorHAnsi"/>
        </w:rPr>
      </w:pPr>
      <w:bookmarkStart w:id="0" w:name="_GoBack"/>
      <w:bookmarkEnd w:id="0"/>
    </w:p>
    <w:sectPr w:rsidR="00212DD7" w:rsidRPr="00212DD7" w:rsidSect="00FE1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ms Rmn">
    <w:panose1 w:val="020206030405050203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354226"/>
    <w:multiLevelType w:val="singleLevel"/>
    <w:tmpl w:val="D1D8CFA0"/>
    <w:lvl w:ilvl="0">
      <w:start w:val="1"/>
      <w:numFmt w:val="decimal"/>
      <w:lvlText w:val="%1."/>
      <w:legacy w:legacy="1" w:legacySpace="0" w:legacyIndent="720"/>
      <w:lvlJc w:val="left"/>
      <w:pPr>
        <w:ind w:left="144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283"/>
  <w:characterSpacingControl w:val="doNotCompress"/>
  <w:compat>
    <w:compatSetting w:name="compatibilityMode" w:uri="http://schemas.microsoft.com/office/word" w:val="12"/>
  </w:compat>
  <w:rsids>
    <w:rsidRoot w:val="00212DD7"/>
    <w:rsid w:val="001677CB"/>
    <w:rsid w:val="001F241D"/>
    <w:rsid w:val="00212DD7"/>
    <w:rsid w:val="00653DC3"/>
    <w:rsid w:val="00745F69"/>
    <w:rsid w:val="0083770A"/>
    <w:rsid w:val="008D632F"/>
    <w:rsid w:val="009E3142"/>
    <w:rsid w:val="00AA4D83"/>
    <w:rsid w:val="00AD6FB2"/>
    <w:rsid w:val="00B454C8"/>
    <w:rsid w:val="00BF337F"/>
    <w:rsid w:val="00D64E41"/>
    <w:rsid w:val="00FE1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12DD7"/>
    <w:pPr>
      <w:spacing w:after="0" w:line="240" w:lineRule="auto"/>
    </w:pPr>
    <w:rPr>
      <w:rFonts w:ascii="Calibri" w:hAnsi="Calibri" w:cs="Times New Roman"/>
      <w:lang w:eastAsia="en-GB"/>
    </w:rPr>
  </w:style>
  <w:style w:type="paragraph" w:styleId="Titolo1">
    <w:name w:val="heading 1"/>
    <w:basedOn w:val="Normale"/>
    <w:next w:val="Normale"/>
    <w:link w:val="Titolo1Carattere"/>
    <w:uiPriority w:val="9"/>
    <w:qFormat/>
    <w:rsid w:val="00745F69"/>
    <w:pPr>
      <w:keepNext/>
      <w:keepLines/>
      <w:spacing w:before="480"/>
      <w:outlineLvl w:val="0"/>
    </w:pPr>
    <w:rPr>
      <w:rFonts w:asciiTheme="majorHAnsi" w:eastAsiaTheme="majorEastAsia" w:hAnsiTheme="majorHAnsi" w:cstheme="majorBidi"/>
      <w:b/>
      <w:bCs/>
      <w:color w:val="8F305B"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5F69"/>
    <w:rPr>
      <w:rFonts w:asciiTheme="majorHAnsi" w:eastAsiaTheme="majorEastAsia" w:hAnsiTheme="majorHAnsi" w:cstheme="majorBidi"/>
      <w:b/>
      <w:bCs/>
      <w:color w:val="8F305B" w:themeColor="accent1" w:themeShade="BF"/>
      <w:sz w:val="28"/>
      <w:szCs w:val="28"/>
    </w:rPr>
  </w:style>
  <w:style w:type="paragraph" w:customStyle="1" w:styleId="MainHead">
    <w:name w:val="MainHead"/>
    <w:basedOn w:val="Normale"/>
    <w:uiPriority w:val="99"/>
    <w:rsid w:val="00212DD7"/>
    <w:pPr>
      <w:keepNext/>
      <w:autoSpaceDE w:val="0"/>
      <w:autoSpaceDN w:val="0"/>
      <w:spacing w:before="480"/>
      <w:jc w:val="center"/>
    </w:pPr>
    <w:rPr>
      <w:rFonts w:ascii="Tms Rmn" w:hAnsi="Tms Rmn"/>
      <w:b/>
      <w:bCs/>
      <w:sz w:val="20"/>
      <w:szCs w:val="20"/>
    </w:rPr>
  </w:style>
  <w:style w:type="paragraph" w:customStyle="1" w:styleId="Indent">
    <w:name w:val="Indent"/>
    <w:basedOn w:val="Normale"/>
    <w:uiPriority w:val="99"/>
    <w:rsid w:val="00212DD7"/>
    <w:pPr>
      <w:autoSpaceDE w:val="0"/>
      <w:autoSpaceDN w:val="0"/>
      <w:spacing w:before="240"/>
      <w:ind w:left="360" w:hanging="360"/>
    </w:pPr>
    <w:rPr>
      <w:rFonts w:ascii="Tms Rmn" w:hAnsi="Tms Rmn"/>
      <w:sz w:val="20"/>
      <w:szCs w:val="20"/>
    </w:rPr>
  </w:style>
  <w:style w:type="paragraph" w:styleId="Paragrafoelenco">
    <w:name w:val="List Paragraph"/>
    <w:basedOn w:val="Normale"/>
    <w:uiPriority w:val="34"/>
    <w:qFormat/>
    <w:rsid w:val="00212DD7"/>
    <w:pPr>
      <w:overflowPunct w:val="0"/>
      <w:autoSpaceDE w:val="0"/>
      <w:autoSpaceDN w:val="0"/>
      <w:adjustRightInd w:val="0"/>
      <w:ind w:left="720"/>
      <w:contextualSpacing/>
      <w:textAlignment w:val="baseline"/>
    </w:pPr>
    <w:rPr>
      <w:rFonts w:ascii="CG Times (W1)" w:eastAsia="Times New Roman" w:hAnsi="CG Times (W1)"/>
      <w:sz w:val="24"/>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64195">
      <w:bodyDiv w:val="1"/>
      <w:marLeft w:val="0"/>
      <w:marRight w:val="0"/>
      <w:marTop w:val="0"/>
      <w:marBottom w:val="0"/>
      <w:divBdr>
        <w:top w:val="none" w:sz="0" w:space="0" w:color="auto"/>
        <w:left w:val="none" w:sz="0" w:space="0" w:color="auto"/>
        <w:bottom w:val="none" w:sz="0" w:space="0" w:color="auto"/>
        <w:right w:val="none" w:sz="0" w:space="0" w:color="auto"/>
      </w:divBdr>
    </w:div>
    <w:div w:id="1734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Beazley">
  <a:themeElements>
    <a:clrScheme name="Beazley Colour Palette">
      <a:dk1>
        <a:srgbClr val="4E5052"/>
      </a:dk1>
      <a:lt1>
        <a:srgbClr val="FFFFFF"/>
      </a:lt1>
      <a:dk2>
        <a:srgbClr val="000000"/>
      </a:dk2>
      <a:lt2>
        <a:srgbClr val="E9E9E9"/>
      </a:lt2>
      <a:accent1>
        <a:srgbClr val="BF417B"/>
      </a:accent1>
      <a:accent2>
        <a:srgbClr val="5078B9"/>
      </a:accent2>
      <a:accent3>
        <a:srgbClr val="5E2C5E"/>
      </a:accent3>
      <a:accent4>
        <a:srgbClr val="DC96BE"/>
      </a:accent4>
      <a:accent5>
        <a:srgbClr val="A0BEE1"/>
      </a:accent5>
      <a:accent6>
        <a:srgbClr val="0F91AA"/>
      </a:accent6>
      <a:hlink>
        <a:srgbClr val="5E2C5E"/>
      </a:hlink>
      <a:folHlink>
        <a:srgbClr val="BF417B"/>
      </a:folHlink>
    </a:clrScheme>
    <a:fontScheme name="Beazley Fonts">
      <a:majorFont>
        <a:latin typeface="Times New Roman"/>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DD6F51-7C1C-42AC-85D7-9D6182DF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767</Words>
  <Characters>4372</Characters>
  <Application>Microsoft Office Word</Application>
  <DocSecurity>0</DocSecurity>
  <Lines>36</Lines>
  <Paragraphs>10</Paragraphs>
  <ScaleCrop>false</ScaleCrop>
  <Company>Beazley</Company>
  <LinksUpToDate>false</LinksUpToDate>
  <CharactersWithSpaces>5129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poorj</dc:creator>
  <cp:keywords/>
  <dc:description/>
  <cp:lastModifiedBy>Aldo Biasella</cp:lastModifiedBy>
  <cp:revision>4</cp:revision>
  <dcterms:created xsi:type="dcterms:W3CDTF">2013-01-14T16:30:00Z</dcterms:created>
  <dcterms:modified xsi:type="dcterms:W3CDTF">2013-01-16T07:55:00Z</dcterms:modified>
</cp:coreProperties>
</file>