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B71DF" w14:textId="77777777" w:rsidR="007E1F4F" w:rsidRDefault="007E1F4F">
      <w:pPr>
        <w:spacing w:line="240" w:lineRule="auto"/>
        <w:rPr>
          <w:sz w:val="24"/>
        </w:rPr>
      </w:pPr>
    </w:p>
    <w:p w14:paraId="769C6D32" w14:textId="77777777" w:rsidR="007E1F4F" w:rsidRDefault="007E1F4F">
      <w:pPr>
        <w:spacing w:line="240" w:lineRule="auto"/>
        <w:rPr>
          <w:sz w:val="24"/>
        </w:rPr>
      </w:pPr>
    </w:p>
    <w:p w14:paraId="6A161AA9" w14:textId="77777777" w:rsidR="007E1F4F" w:rsidRDefault="007E1F4F">
      <w:pPr>
        <w:spacing w:line="240" w:lineRule="auto"/>
        <w:rPr>
          <w:sz w:val="24"/>
        </w:rPr>
      </w:pPr>
    </w:p>
    <w:p w14:paraId="6D09BD34" w14:textId="77777777" w:rsidR="007E1F4F" w:rsidRDefault="007E1F4F">
      <w:pPr>
        <w:spacing w:line="240" w:lineRule="auto"/>
        <w:rPr>
          <w:sz w:val="24"/>
        </w:rPr>
      </w:pPr>
    </w:p>
    <w:p w14:paraId="29AC5EBD" w14:textId="77777777" w:rsidR="007E1F4F" w:rsidRDefault="007E1F4F">
      <w:pPr>
        <w:spacing w:line="240" w:lineRule="auto"/>
        <w:rPr>
          <w:sz w:val="24"/>
        </w:rPr>
      </w:pPr>
    </w:p>
    <w:p w14:paraId="54BB533F" w14:textId="77777777" w:rsidR="007E1F4F" w:rsidRDefault="007E1F4F">
      <w:pPr>
        <w:spacing w:line="240" w:lineRule="auto"/>
        <w:rPr>
          <w:sz w:val="24"/>
        </w:rPr>
      </w:pPr>
    </w:p>
    <w:p w14:paraId="317588E1" w14:textId="77777777" w:rsidR="007E1F4F" w:rsidRDefault="00000000">
      <w:pPr>
        <w:spacing w:line="360" w:lineRule="auto"/>
        <w:jc w:val="center"/>
      </w:pPr>
      <w:r>
        <w:rPr>
          <w:rFonts w:ascii="黑体" w:eastAsia="黑体" w:hAnsi="黑体"/>
          <w:b/>
          <w:sz w:val="52"/>
        </w:rPr>
        <w:t>自然光相对光谱预测与室内照明补偿</w:t>
      </w:r>
    </w:p>
    <w:p w14:paraId="0510F649" w14:textId="77777777" w:rsidR="007E1F4F" w:rsidRDefault="00000000">
      <w:pPr>
        <w:spacing w:line="360" w:lineRule="auto"/>
        <w:jc w:val="center"/>
      </w:pPr>
      <w:r>
        <w:rPr>
          <w:rFonts w:ascii="宋体" w:eastAsia="宋体" w:hAnsi="宋体"/>
          <w:sz w:val="36"/>
        </w:rPr>
        <w:t>Python 应用开发基础课程报告</w:t>
      </w:r>
    </w:p>
    <w:p w14:paraId="76C4FA20" w14:textId="77777777" w:rsidR="007E1F4F" w:rsidRDefault="007E1F4F">
      <w:pPr>
        <w:spacing w:line="240" w:lineRule="auto"/>
        <w:rPr>
          <w:sz w:val="24"/>
        </w:rPr>
      </w:pPr>
    </w:p>
    <w:p w14:paraId="7DBC92E2" w14:textId="77777777" w:rsidR="007E1F4F" w:rsidRDefault="007E1F4F">
      <w:pPr>
        <w:spacing w:line="240" w:lineRule="auto"/>
        <w:rPr>
          <w:sz w:val="24"/>
        </w:rPr>
      </w:pPr>
    </w:p>
    <w:p w14:paraId="465BF2A5" w14:textId="77777777" w:rsidR="007E1F4F" w:rsidRDefault="007E1F4F">
      <w:pPr>
        <w:spacing w:line="240" w:lineRule="auto"/>
        <w:rPr>
          <w:sz w:val="24"/>
        </w:rPr>
      </w:pPr>
    </w:p>
    <w:p w14:paraId="5078783C" w14:textId="77777777" w:rsidR="007E1F4F" w:rsidRDefault="007E1F4F">
      <w:pPr>
        <w:spacing w:line="240" w:lineRule="auto"/>
        <w:rPr>
          <w:sz w:val="24"/>
        </w:rPr>
      </w:pPr>
    </w:p>
    <w:p w14:paraId="38A97CE6" w14:textId="77777777" w:rsidR="007E1F4F" w:rsidRDefault="007E1F4F">
      <w:pPr>
        <w:spacing w:line="240" w:lineRule="auto"/>
        <w:rPr>
          <w:sz w:val="24"/>
        </w:rPr>
      </w:pPr>
    </w:p>
    <w:p w14:paraId="59295AFF" w14:textId="77777777" w:rsidR="007E1F4F" w:rsidRDefault="00000000">
      <w:pPr>
        <w:spacing w:line="480" w:lineRule="auto"/>
        <w:jc w:val="center"/>
      </w:pPr>
      <w:r>
        <w:rPr>
          <w:rFonts w:ascii="宋体" w:eastAsia="宋体" w:hAnsi="宋体"/>
          <w:sz w:val="28"/>
        </w:rPr>
        <w:t>小组成员：李安逸、黄奕滔</w:t>
      </w:r>
    </w:p>
    <w:p w14:paraId="2294C181" w14:textId="77777777" w:rsidR="007E1F4F" w:rsidRDefault="00000000">
      <w:pPr>
        <w:spacing w:line="480" w:lineRule="auto"/>
        <w:jc w:val="center"/>
      </w:pPr>
      <w:r>
        <w:rPr>
          <w:rFonts w:ascii="宋体" w:eastAsia="宋体" w:hAnsi="宋体"/>
          <w:sz w:val="28"/>
        </w:rPr>
        <w:t>任课教师：雷杰</w:t>
      </w:r>
    </w:p>
    <w:p w14:paraId="0B920CEC" w14:textId="77777777" w:rsidR="00A518E2" w:rsidRDefault="00000000" w:rsidP="00A518E2">
      <w:pPr>
        <w:spacing w:line="480" w:lineRule="auto"/>
        <w:jc w:val="center"/>
      </w:pPr>
      <w:r>
        <w:rPr>
          <w:rFonts w:ascii="宋体" w:eastAsia="宋体" w:hAnsi="宋体"/>
          <w:sz w:val="28"/>
        </w:rPr>
        <w:t>日　　期：2026 年 6 月 17 日</w:t>
      </w:r>
    </w:p>
    <w:p w14:paraId="79F78987" w14:textId="77777777" w:rsidR="00A518E2" w:rsidRDefault="00A518E2" w:rsidP="00A518E2">
      <w:pPr>
        <w:spacing w:line="480" w:lineRule="auto"/>
        <w:jc w:val="center"/>
      </w:pPr>
    </w:p>
    <w:p w14:paraId="5D1E7F20" w14:textId="77777777" w:rsidR="00A518E2" w:rsidRDefault="00A518E2" w:rsidP="00A518E2">
      <w:pPr>
        <w:spacing w:line="480" w:lineRule="auto"/>
        <w:jc w:val="center"/>
      </w:pPr>
    </w:p>
    <w:p w14:paraId="12B2455A" w14:textId="2717F4FE" w:rsidR="007E1F4F" w:rsidRDefault="00000000" w:rsidP="00A518E2">
      <w:pPr>
        <w:spacing w:line="480" w:lineRule="auto"/>
      </w:pPr>
      <w:r>
        <w:rPr>
          <w:rFonts w:ascii="黑体" w:eastAsia="黑体" w:hAnsi="黑体"/>
          <w:b/>
          <w:sz w:val="32"/>
        </w:rPr>
        <w:t>项目摘要</w:t>
      </w:r>
    </w:p>
    <w:p w14:paraId="5C1B3A80" w14:textId="77777777" w:rsidR="007E1F4F" w:rsidRDefault="00000000">
      <w:pPr>
        <w:spacing w:line="360" w:lineRule="auto"/>
        <w:ind w:firstLine="480"/>
        <w:jc w:val="both"/>
      </w:pPr>
      <w:r>
        <w:rPr>
          <w:rFonts w:ascii="宋体" w:eastAsia="宋体" w:hAnsi="宋体"/>
          <w:sz w:val="24"/>
        </w:rPr>
        <w:t>自然光的光谱分布直接影响人的昼夜节律和视觉健康，基于光谱的动态室内照明可能成为未来趋势。但专业光谱仪成本高昂，普通家庭、教室和办公室难以长期配置。另一方面，天气预报系统可以提供温度、湿度、云量等气象信息，却并不输出完整的天光光谱数据。一条可行的思路是利用公开实测天光光谱数据，结合按地点和时间对齐的历史天气特征与太阳位置元数据，用机器学习模型估计自然光相对光谱，并把预测结果用于室内 LED 照明补偿设计。</w:t>
      </w:r>
    </w:p>
    <w:p w14:paraId="1BA0322B" w14:textId="77777777" w:rsidR="007E1F4F" w:rsidRDefault="00000000">
      <w:pPr>
        <w:spacing w:before="240" w:line="360" w:lineRule="auto"/>
        <w:ind w:firstLine="480"/>
      </w:pPr>
      <w:r>
        <w:rPr>
          <w:rFonts w:ascii="宋体" w:eastAsia="宋体" w:hAnsi="宋体"/>
          <w:b/>
          <w:sz w:val="24"/>
        </w:rPr>
        <w:t>关键词：机器学习；PCA 降维；多输出回归；GridSearchCV 参数调优；Python 数据处理；健康照明</w:t>
      </w:r>
    </w:p>
    <w:p w14:paraId="6BB16426" w14:textId="77777777" w:rsidR="007E1F4F" w:rsidRDefault="00000000">
      <w:r>
        <w:lastRenderedPageBreak/>
        <w:br w:type="page"/>
      </w:r>
    </w:p>
    <w:p w14:paraId="0F5BFF6B" w14:textId="77777777" w:rsidR="007E1F4F" w:rsidRDefault="00000000">
      <w:pPr>
        <w:spacing w:after="240"/>
        <w:jc w:val="center"/>
      </w:pPr>
      <w:r>
        <w:rPr>
          <w:rFonts w:ascii="黑体" w:eastAsia="黑体" w:hAnsi="黑体"/>
          <w:b/>
          <w:sz w:val="32"/>
        </w:rPr>
        <w:lastRenderedPageBreak/>
        <w:t>目录</w:t>
      </w:r>
    </w:p>
    <w:p w14:paraId="576257DA" w14:textId="77777777" w:rsidR="007E1F4F" w:rsidRDefault="00000000">
      <w:r>
        <w:fldChar w:fldCharType="begin"/>
      </w:r>
      <w:r>
        <w:instrText xml:space="preserve"> TOC \o "1-3" \h \u </w:instrText>
      </w:r>
      <w:r>
        <w:fldChar w:fldCharType="separate"/>
      </w:r>
    </w:p>
    <w:p w14:paraId="72D137EF" w14:textId="77777777" w:rsidR="007E1F4F" w:rsidRDefault="00000000">
      <w:pPr>
        <w:pStyle w:val="TOC11"/>
      </w:pPr>
      <w:hyperlink w:anchor="_Toc640f3ca3" w:history="1">
        <w:r>
          <w:t>一、课题背景与意义</w:t>
        </w:r>
        <w:r>
          <w:tab/>
        </w:r>
        <w:r>
          <w:fldChar w:fldCharType="begin"/>
        </w:r>
        <w:r>
          <w:instrText xml:space="preserve"> PAGEREF _Toc640f3ca3 \h </w:instrText>
        </w:r>
        <w:r>
          <w:fldChar w:fldCharType="separate"/>
        </w:r>
        <w:r>
          <w:t>5</w:t>
        </w:r>
        <w:r>
          <w:fldChar w:fldCharType="end"/>
        </w:r>
      </w:hyperlink>
    </w:p>
    <w:p w14:paraId="5F5BC1AF" w14:textId="77777777" w:rsidR="007E1F4F" w:rsidRDefault="00000000">
      <w:pPr>
        <w:pStyle w:val="TOC11"/>
      </w:pPr>
      <w:hyperlink w:anchor="_Tocd65d4580" w:history="1">
        <w:r>
          <w:t>二、设计目标</w:t>
        </w:r>
        <w:r>
          <w:tab/>
        </w:r>
        <w:r>
          <w:fldChar w:fldCharType="begin"/>
        </w:r>
        <w:r>
          <w:instrText xml:space="preserve"> PAGEREF _Tocd65d4580 \h </w:instrText>
        </w:r>
        <w:r>
          <w:fldChar w:fldCharType="separate"/>
        </w:r>
        <w:r>
          <w:t>5</w:t>
        </w:r>
        <w:r>
          <w:fldChar w:fldCharType="end"/>
        </w:r>
      </w:hyperlink>
    </w:p>
    <w:p w14:paraId="5E224C23" w14:textId="77777777" w:rsidR="007E1F4F" w:rsidRDefault="00000000">
      <w:pPr>
        <w:pStyle w:val="TOC11"/>
      </w:pPr>
      <w:hyperlink w:anchor="_Toc48b6e639" w:history="1">
        <w:r>
          <w:t>三、数据来源与数据说明</w:t>
        </w:r>
        <w:r>
          <w:tab/>
        </w:r>
        <w:r>
          <w:fldChar w:fldCharType="begin"/>
        </w:r>
        <w:r>
          <w:instrText xml:space="preserve"> PAGEREF _Toc48b6e639 \h </w:instrText>
        </w:r>
        <w:r>
          <w:fldChar w:fldCharType="separate"/>
        </w:r>
        <w:r>
          <w:t>6</w:t>
        </w:r>
        <w:r>
          <w:fldChar w:fldCharType="end"/>
        </w:r>
      </w:hyperlink>
    </w:p>
    <w:p w14:paraId="64CFB454" w14:textId="77777777" w:rsidR="007E1F4F" w:rsidRDefault="00000000">
      <w:pPr>
        <w:pStyle w:val="TOC21"/>
      </w:pPr>
      <w:hyperlink w:anchor="_Tocc8922be0" w:history="1">
        <w:r>
          <w:t>天光光谱数据</w:t>
        </w:r>
        <w:r>
          <w:tab/>
        </w:r>
        <w:r>
          <w:fldChar w:fldCharType="begin"/>
        </w:r>
        <w:r>
          <w:instrText xml:space="preserve"> PAGEREF _Tocc8922be0 \h </w:instrText>
        </w:r>
        <w:r>
          <w:fldChar w:fldCharType="separate"/>
        </w:r>
        <w:r>
          <w:t>6</w:t>
        </w:r>
        <w:r>
          <w:fldChar w:fldCharType="end"/>
        </w:r>
      </w:hyperlink>
    </w:p>
    <w:p w14:paraId="0F45DDA6" w14:textId="77777777" w:rsidR="007E1F4F" w:rsidRDefault="00000000">
      <w:pPr>
        <w:pStyle w:val="TOC21"/>
      </w:pPr>
      <w:hyperlink w:anchor="_Toc42e8f7cb" w:history="1">
        <w:r>
          <w:t>历史天气数据</w:t>
        </w:r>
        <w:r>
          <w:tab/>
        </w:r>
        <w:r>
          <w:fldChar w:fldCharType="begin"/>
        </w:r>
        <w:r>
          <w:instrText xml:space="preserve"> PAGEREF _Toc42e8f7cb \h </w:instrText>
        </w:r>
        <w:r>
          <w:fldChar w:fldCharType="separate"/>
        </w:r>
        <w:r>
          <w:t>6</w:t>
        </w:r>
        <w:r>
          <w:fldChar w:fldCharType="end"/>
        </w:r>
      </w:hyperlink>
    </w:p>
    <w:p w14:paraId="0654E8B3" w14:textId="77777777" w:rsidR="007E1F4F" w:rsidRDefault="00000000">
      <w:pPr>
        <w:pStyle w:val="TOC21"/>
      </w:pPr>
      <w:hyperlink w:anchor="_Tocf3979bf6" w:history="1">
        <w:r>
          <w:t>LED 光谱数据</w:t>
        </w:r>
        <w:r>
          <w:tab/>
        </w:r>
        <w:r>
          <w:fldChar w:fldCharType="begin"/>
        </w:r>
        <w:r>
          <w:instrText xml:space="preserve"> PAGEREF _Tocf3979bf6 \h </w:instrText>
        </w:r>
        <w:r>
          <w:fldChar w:fldCharType="separate"/>
        </w:r>
        <w:r>
          <w:t>6</w:t>
        </w:r>
        <w:r>
          <w:fldChar w:fldCharType="end"/>
        </w:r>
      </w:hyperlink>
    </w:p>
    <w:p w14:paraId="026FC1C5" w14:textId="77777777" w:rsidR="007E1F4F" w:rsidRDefault="00000000">
      <w:pPr>
        <w:pStyle w:val="TOC21"/>
      </w:pPr>
      <w:hyperlink w:anchor="_Tocce06abfa" w:history="1">
        <w:r>
          <w:t>标准观察者色匹配函数</w:t>
        </w:r>
        <w:r>
          <w:tab/>
        </w:r>
        <w:r>
          <w:fldChar w:fldCharType="begin"/>
        </w:r>
        <w:r>
          <w:instrText xml:space="preserve"> PAGEREF _Tocce06abfa \h </w:instrText>
        </w:r>
        <w:r>
          <w:fldChar w:fldCharType="separate"/>
        </w:r>
        <w:r>
          <w:t>6</w:t>
        </w:r>
        <w:r>
          <w:fldChar w:fldCharType="end"/>
        </w:r>
      </w:hyperlink>
    </w:p>
    <w:p w14:paraId="14695286" w14:textId="77777777" w:rsidR="007E1F4F" w:rsidRDefault="00000000">
      <w:pPr>
        <w:pStyle w:val="TOC21"/>
      </w:pPr>
      <w:hyperlink w:anchor="_Toc0fe1f2c1" w:history="1">
        <w:r>
          <w:t>最终数据集构成</w:t>
        </w:r>
        <w:r>
          <w:tab/>
        </w:r>
        <w:r>
          <w:fldChar w:fldCharType="begin"/>
        </w:r>
        <w:r>
          <w:instrText xml:space="preserve"> PAGEREF _Toc0fe1f2c1 \h </w:instrText>
        </w:r>
        <w:r>
          <w:fldChar w:fldCharType="separate"/>
        </w:r>
        <w:r>
          <w:t>7</w:t>
        </w:r>
        <w:r>
          <w:fldChar w:fldCharType="end"/>
        </w:r>
      </w:hyperlink>
    </w:p>
    <w:p w14:paraId="278F9BC0" w14:textId="77777777" w:rsidR="007E1F4F" w:rsidRDefault="00000000">
      <w:pPr>
        <w:pStyle w:val="TOC11"/>
      </w:pPr>
      <w:hyperlink w:anchor="_Toc8101b36e" w:history="1">
        <w:r>
          <w:t>四、系统总体流程</w:t>
        </w:r>
        <w:r>
          <w:tab/>
        </w:r>
        <w:r>
          <w:fldChar w:fldCharType="begin"/>
        </w:r>
        <w:r>
          <w:instrText xml:space="preserve"> PAGEREF _Toc8101b36e \h </w:instrText>
        </w:r>
        <w:r>
          <w:fldChar w:fldCharType="separate"/>
        </w:r>
        <w:r>
          <w:t>7</w:t>
        </w:r>
        <w:r>
          <w:fldChar w:fldCharType="end"/>
        </w:r>
      </w:hyperlink>
    </w:p>
    <w:p w14:paraId="4B56E0A7" w14:textId="77777777" w:rsidR="007E1F4F" w:rsidRDefault="00000000">
      <w:pPr>
        <w:pStyle w:val="TOC11"/>
      </w:pPr>
      <w:hyperlink w:anchor="_Toc475feff7" w:history="1">
        <w:r>
          <w:t>五、数据处理与特征工程</w:t>
        </w:r>
        <w:r>
          <w:tab/>
        </w:r>
        <w:r>
          <w:fldChar w:fldCharType="begin"/>
        </w:r>
        <w:r>
          <w:instrText xml:space="preserve"> PAGEREF _Toc475feff7 \h </w:instrText>
        </w:r>
        <w:r>
          <w:fldChar w:fldCharType="separate"/>
        </w:r>
        <w:r>
          <w:t>7</w:t>
        </w:r>
        <w:r>
          <w:fldChar w:fldCharType="end"/>
        </w:r>
      </w:hyperlink>
    </w:p>
    <w:p w14:paraId="5EF54095" w14:textId="77777777" w:rsidR="007E1F4F" w:rsidRDefault="00000000">
      <w:pPr>
        <w:pStyle w:val="TOC21"/>
      </w:pPr>
      <w:hyperlink w:anchor="_Toc4179c5d1" w:history="1">
        <w:r>
          <w:t>光谱数据清洗与重采样</w:t>
        </w:r>
        <w:r>
          <w:tab/>
        </w:r>
        <w:r>
          <w:fldChar w:fldCharType="begin"/>
        </w:r>
        <w:r>
          <w:instrText xml:space="preserve"> PAGEREF _Toc4179c5d1 \h </w:instrText>
        </w:r>
        <w:r>
          <w:fldChar w:fldCharType="separate"/>
        </w:r>
        <w:r>
          <w:t>7</w:t>
        </w:r>
        <w:r>
          <w:fldChar w:fldCharType="end"/>
        </w:r>
      </w:hyperlink>
    </w:p>
    <w:p w14:paraId="01BB6CC6" w14:textId="77777777" w:rsidR="007E1F4F" w:rsidRDefault="00000000">
      <w:pPr>
        <w:pStyle w:val="TOC21"/>
      </w:pPr>
      <w:hyperlink w:anchor="_Toc4a1ceeaf" w:history="1">
        <w:r>
          <w:t>元数据与天气对齐</w:t>
        </w:r>
        <w:r>
          <w:tab/>
        </w:r>
        <w:r>
          <w:fldChar w:fldCharType="begin"/>
        </w:r>
        <w:r>
          <w:instrText xml:space="preserve"> PAGEREF _Toc4a1ceeaf \h </w:instrText>
        </w:r>
        <w:r>
          <w:fldChar w:fldCharType="separate"/>
        </w:r>
        <w:r>
          <w:t>8</w:t>
        </w:r>
        <w:r>
          <w:fldChar w:fldCharType="end"/>
        </w:r>
      </w:hyperlink>
    </w:p>
    <w:p w14:paraId="0E4896D7" w14:textId="77777777" w:rsidR="007E1F4F" w:rsidRDefault="00000000">
      <w:pPr>
        <w:pStyle w:val="TOC21"/>
      </w:pPr>
      <w:hyperlink w:anchor="_Toc9618fde1" w:history="1">
        <w:r>
          <w:t>特征工程</w:t>
        </w:r>
        <w:r>
          <w:tab/>
        </w:r>
        <w:r>
          <w:fldChar w:fldCharType="begin"/>
        </w:r>
        <w:r>
          <w:instrText xml:space="preserve"> PAGEREF _Toc9618fde1 \h </w:instrText>
        </w:r>
        <w:r>
          <w:fldChar w:fldCharType="separate"/>
        </w:r>
        <w:r>
          <w:t>8</w:t>
        </w:r>
        <w:r>
          <w:fldChar w:fldCharType="end"/>
        </w:r>
      </w:hyperlink>
    </w:p>
    <w:p w14:paraId="11CF5E59" w14:textId="77777777" w:rsidR="007E1F4F" w:rsidRDefault="00000000">
      <w:pPr>
        <w:pStyle w:val="TOC21"/>
      </w:pPr>
      <w:hyperlink w:anchor="_Tocd120005b" w:history="1">
        <w:r>
          <w:t>相对光谱归一化</w:t>
        </w:r>
        <w:r>
          <w:tab/>
        </w:r>
        <w:r>
          <w:fldChar w:fldCharType="begin"/>
        </w:r>
        <w:r>
          <w:instrText xml:space="preserve"> PAGEREF _Tocd120005b \h </w:instrText>
        </w:r>
        <w:r>
          <w:fldChar w:fldCharType="separate"/>
        </w:r>
        <w:r>
          <w:t>9</w:t>
        </w:r>
        <w:r>
          <w:fldChar w:fldCharType="end"/>
        </w:r>
      </w:hyperlink>
    </w:p>
    <w:p w14:paraId="5B633534" w14:textId="77777777" w:rsidR="007E1F4F" w:rsidRDefault="00000000">
      <w:pPr>
        <w:pStyle w:val="TOC21"/>
      </w:pPr>
      <w:hyperlink w:anchor="_Toc8497fb04" w:history="1">
        <w:r>
          <w:t>数据观察</w:t>
        </w:r>
        <w:r>
          <w:tab/>
        </w:r>
        <w:r>
          <w:fldChar w:fldCharType="begin"/>
        </w:r>
        <w:r>
          <w:instrText xml:space="preserve"> PAGEREF _Toc8497fb04 \h </w:instrText>
        </w:r>
        <w:r>
          <w:fldChar w:fldCharType="separate"/>
        </w:r>
        <w:r>
          <w:t>9</w:t>
        </w:r>
        <w:r>
          <w:fldChar w:fldCharType="end"/>
        </w:r>
      </w:hyperlink>
    </w:p>
    <w:p w14:paraId="07FCE090" w14:textId="77777777" w:rsidR="007E1F4F" w:rsidRDefault="00000000">
      <w:pPr>
        <w:pStyle w:val="TOC11"/>
      </w:pPr>
      <w:hyperlink w:anchor="_Toc2ca32606" w:history="1">
        <w:r>
          <w:t>六、PCA 光谱降维</w:t>
        </w:r>
        <w:r>
          <w:tab/>
        </w:r>
        <w:r>
          <w:fldChar w:fldCharType="begin"/>
        </w:r>
        <w:r>
          <w:instrText xml:space="preserve"> PAGEREF _Toc2ca32606 \h </w:instrText>
        </w:r>
        <w:r>
          <w:fldChar w:fldCharType="separate"/>
        </w:r>
        <w:r>
          <w:t>10</w:t>
        </w:r>
        <w:r>
          <w:fldChar w:fldCharType="end"/>
        </w:r>
      </w:hyperlink>
    </w:p>
    <w:p w14:paraId="0B3FB188" w14:textId="77777777" w:rsidR="007E1F4F" w:rsidRDefault="00000000">
      <w:pPr>
        <w:pStyle w:val="TOC11"/>
      </w:pPr>
      <w:hyperlink w:anchor="_Tocc75bdb0b" w:history="1">
        <w:r>
          <w:t>七、模型训练与模型对比</w:t>
        </w:r>
        <w:r>
          <w:tab/>
        </w:r>
        <w:r>
          <w:fldChar w:fldCharType="begin"/>
        </w:r>
        <w:r>
          <w:instrText xml:space="preserve"> PAGEREF _Tocc75bdb0b \h </w:instrText>
        </w:r>
        <w:r>
          <w:fldChar w:fldCharType="separate"/>
        </w:r>
        <w:r>
          <w:t>10</w:t>
        </w:r>
        <w:r>
          <w:fldChar w:fldCharType="end"/>
        </w:r>
      </w:hyperlink>
    </w:p>
    <w:p w14:paraId="258A713F" w14:textId="77777777" w:rsidR="007E1F4F" w:rsidRDefault="00000000">
      <w:pPr>
        <w:pStyle w:val="TOC21"/>
      </w:pPr>
      <w:hyperlink w:anchor="_Toc9245d70e" w:history="1">
        <w:r>
          <w:t>候选模型</w:t>
        </w:r>
        <w:r>
          <w:tab/>
        </w:r>
        <w:r>
          <w:fldChar w:fldCharType="begin"/>
        </w:r>
        <w:r>
          <w:instrText xml:space="preserve"> PAGEREF _Toc9245d70e \h </w:instrText>
        </w:r>
        <w:r>
          <w:fldChar w:fldCharType="separate"/>
        </w:r>
        <w:r>
          <w:t>10</w:t>
        </w:r>
        <w:r>
          <w:fldChar w:fldCharType="end"/>
        </w:r>
      </w:hyperlink>
    </w:p>
    <w:p w14:paraId="4B273243" w14:textId="77777777" w:rsidR="007E1F4F" w:rsidRDefault="00000000">
      <w:pPr>
        <w:pStyle w:val="TOC21"/>
      </w:pPr>
      <w:hyperlink w:anchor="_Toc5d927417" w:history="1">
        <w:r>
          <w:t>训练流程</w:t>
        </w:r>
        <w:r>
          <w:tab/>
        </w:r>
        <w:r>
          <w:fldChar w:fldCharType="begin"/>
        </w:r>
        <w:r>
          <w:instrText xml:space="preserve"> PAGEREF _Toc5d927417 \h </w:instrText>
        </w:r>
        <w:r>
          <w:fldChar w:fldCharType="separate"/>
        </w:r>
        <w:r>
          <w:t>11</w:t>
        </w:r>
        <w:r>
          <w:fldChar w:fldCharType="end"/>
        </w:r>
      </w:hyperlink>
    </w:p>
    <w:p w14:paraId="39C00CE8" w14:textId="77777777" w:rsidR="007E1F4F" w:rsidRDefault="00000000">
      <w:pPr>
        <w:pStyle w:val="TOC21"/>
      </w:pPr>
      <w:hyperlink w:anchor="_Toce476e09a" w:history="1">
        <w:r>
          <w:t>评价指标</w:t>
        </w:r>
        <w:r>
          <w:tab/>
        </w:r>
        <w:r>
          <w:fldChar w:fldCharType="begin"/>
        </w:r>
        <w:r>
          <w:instrText xml:space="preserve"> PAGEREF _Toce476e09a \h </w:instrText>
        </w:r>
        <w:r>
          <w:fldChar w:fldCharType="separate"/>
        </w:r>
        <w:r>
          <w:t>11</w:t>
        </w:r>
        <w:r>
          <w:fldChar w:fldCharType="end"/>
        </w:r>
      </w:hyperlink>
    </w:p>
    <w:p w14:paraId="17BBEE96" w14:textId="77777777" w:rsidR="007E1F4F" w:rsidRDefault="00000000">
      <w:pPr>
        <w:pStyle w:val="TOC11"/>
      </w:pPr>
      <w:hyperlink w:anchor="_Toc735831d1" w:history="1">
        <w:r>
          <w:t>八、最优模型选择与结果分析</w:t>
        </w:r>
        <w:r>
          <w:tab/>
        </w:r>
        <w:r>
          <w:fldChar w:fldCharType="begin"/>
        </w:r>
        <w:r>
          <w:instrText xml:space="preserve"> PAGEREF _Toc735831d1 \h </w:instrText>
        </w:r>
        <w:r>
          <w:fldChar w:fldCharType="separate"/>
        </w:r>
        <w:r>
          <w:t>11</w:t>
        </w:r>
        <w:r>
          <w:fldChar w:fldCharType="end"/>
        </w:r>
      </w:hyperlink>
    </w:p>
    <w:p w14:paraId="1FBC9CDA" w14:textId="77777777" w:rsidR="007E1F4F" w:rsidRDefault="00000000">
      <w:pPr>
        <w:pStyle w:val="TOC21"/>
      </w:pPr>
      <w:hyperlink w:anchor="_Tocb37a1008" w:history="1">
        <w:r>
          <w:t>模型对比结果</w:t>
        </w:r>
        <w:r>
          <w:tab/>
        </w:r>
        <w:r>
          <w:fldChar w:fldCharType="begin"/>
        </w:r>
        <w:r>
          <w:instrText xml:space="preserve"> PAGEREF _Tocb37a1008 \h </w:instrText>
        </w:r>
        <w:r>
          <w:fldChar w:fldCharType="separate"/>
        </w:r>
        <w:r>
          <w:t>11</w:t>
        </w:r>
        <w:r>
          <w:fldChar w:fldCharType="end"/>
        </w:r>
      </w:hyperlink>
    </w:p>
    <w:p w14:paraId="21DA1F0E" w14:textId="77777777" w:rsidR="007E1F4F" w:rsidRDefault="00000000">
      <w:pPr>
        <w:pStyle w:val="TOC21"/>
      </w:pPr>
      <w:hyperlink w:anchor="_Toc4c939112" w:history="1">
        <w:r>
          <w:t>光谱还原效果</w:t>
        </w:r>
        <w:r>
          <w:tab/>
        </w:r>
        <w:r>
          <w:fldChar w:fldCharType="begin"/>
        </w:r>
        <w:r>
          <w:instrText xml:space="preserve"> PAGEREF _Toc4c939112 \h </w:instrText>
        </w:r>
        <w:r>
          <w:fldChar w:fldCharType="separate"/>
        </w:r>
        <w:r>
          <w:t>12</w:t>
        </w:r>
        <w:r>
          <w:fldChar w:fldCharType="end"/>
        </w:r>
      </w:hyperlink>
    </w:p>
    <w:p w14:paraId="47E616FB" w14:textId="77777777" w:rsidR="007E1F4F" w:rsidRDefault="00000000">
      <w:pPr>
        <w:pStyle w:val="TOC21"/>
      </w:pPr>
      <w:hyperlink w:anchor="_Toc4d27937d" w:history="1">
        <w:r>
          <w:t>特征重要性</w:t>
        </w:r>
        <w:r>
          <w:tab/>
        </w:r>
        <w:r>
          <w:fldChar w:fldCharType="begin"/>
        </w:r>
        <w:r>
          <w:instrText xml:space="preserve"> PAGEREF _Toc4d27937d \h </w:instrText>
        </w:r>
        <w:r>
          <w:fldChar w:fldCharType="separate"/>
        </w:r>
        <w:r>
          <w:t>13</w:t>
        </w:r>
        <w:r>
          <w:fldChar w:fldCharType="end"/>
        </w:r>
      </w:hyperlink>
    </w:p>
    <w:p w14:paraId="610C6C2E" w14:textId="77777777" w:rsidR="007E1F4F" w:rsidRDefault="00000000">
      <w:pPr>
        <w:pStyle w:val="TOC11"/>
      </w:pPr>
      <w:hyperlink w:anchor="_Toc5c78e303" w:history="1">
        <w:r>
          <w:t>九、模型参数调优</w:t>
        </w:r>
        <w:r>
          <w:tab/>
        </w:r>
        <w:r>
          <w:fldChar w:fldCharType="begin"/>
        </w:r>
        <w:r>
          <w:instrText xml:space="preserve"> PAGEREF _Toc5c78e303 \h </w:instrText>
        </w:r>
        <w:r>
          <w:fldChar w:fldCharType="separate"/>
        </w:r>
        <w:r>
          <w:t>13</w:t>
        </w:r>
        <w:r>
          <w:fldChar w:fldCharType="end"/>
        </w:r>
      </w:hyperlink>
    </w:p>
    <w:p w14:paraId="349F081D" w14:textId="77777777" w:rsidR="007E1F4F" w:rsidRDefault="00000000">
      <w:pPr>
        <w:pStyle w:val="TOC21"/>
      </w:pPr>
      <w:hyperlink w:anchor="_Toc0a48cff0" w:history="1">
        <w:r>
          <w:t>调优动机</w:t>
        </w:r>
        <w:r>
          <w:tab/>
        </w:r>
        <w:r>
          <w:fldChar w:fldCharType="begin"/>
        </w:r>
        <w:r>
          <w:instrText xml:space="preserve"> PAGEREF _Toc0a48cff0 \h </w:instrText>
        </w:r>
        <w:r>
          <w:fldChar w:fldCharType="separate"/>
        </w:r>
        <w:r>
          <w:t>13</w:t>
        </w:r>
        <w:r>
          <w:fldChar w:fldCharType="end"/>
        </w:r>
      </w:hyperlink>
    </w:p>
    <w:p w14:paraId="54070D7C" w14:textId="77777777" w:rsidR="007E1F4F" w:rsidRDefault="00000000">
      <w:pPr>
        <w:pStyle w:val="TOC21"/>
      </w:pPr>
      <w:hyperlink w:anchor="_Toc1ac6db77" w:history="1">
        <w:r>
          <w:t>调参方法</w:t>
        </w:r>
        <w:r>
          <w:tab/>
        </w:r>
        <w:r>
          <w:fldChar w:fldCharType="begin"/>
        </w:r>
        <w:r>
          <w:instrText xml:space="preserve"> PAGEREF _Toc1ac6db77 \h </w:instrText>
        </w:r>
        <w:r>
          <w:fldChar w:fldCharType="separate"/>
        </w:r>
        <w:r>
          <w:t>14</w:t>
        </w:r>
        <w:r>
          <w:fldChar w:fldCharType="end"/>
        </w:r>
      </w:hyperlink>
    </w:p>
    <w:p w14:paraId="2D9D3CCB" w14:textId="77777777" w:rsidR="007E1F4F" w:rsidRDefault="00000000">
      <w:pPr>
        <w:pStyle w:val="TOC21"/>
      </w:pPr>
      <w:hyperlink w:anchor="_Tocdf59e451" w:history="1">
        <w:r>
          <w:t>各参数影响分析</w:t>
        </w:r>
        <w:r>
          <w:tab/>
        </w:r>
        <w:r>
          <w:fldChar w:fldCharType="begin"/>
        </w:r>
        <w:r>
          <w:instrText xml:space="preserve"> PAGEREF _Tocdf59e451 \h </w:instrText>
        </w:r>
        <w:r>
          <w:fldChar w:fldCharType="separate"/>
        </w:r>
        <w:r>
          <w:t>14</w:t>
        </w:r>
        <w:r>
          <w:fldChar w:fldCharType="end"/>
        </w:r>
      </w:hyperlink>
    </w:p>
    <w:p w14:paraId="0431FD0F" w14:textId="77777777" w:rsidR="007E1F4F" w:rsidRDefault="00000000">
      <w:pPr>
        <w:pStyle w:val="TOC21"/>
      </w:pPr>
      <w:hyperlink w:anchor="_Toce5983f7f" w:history="1">
        <w:r>
          <w:t>最优参数与最终结果</w:t>
        </w:r>
        <w:r>
          <w:tab/>
        </w:r>
        <w:r>
          <w:fldChar w:fldCharType="begin"/>
        </w:r>
        <w:r>
          <w:instrText xml:space="preserve"> PAGEREF _Toce5983f7f \h </w:instrText>
        </w:r>
        <w:r>
          <w:fldChar w:fldCharType="separate"/>
        </w:r>
        <w:r>
          <w:t>15</w:t>
        </w:r>
        <w:r>
          <w:fldChar w:fldCharType="end"/>
        </w:r>
      </w:hyperlink>
    </w:p>
    <w:p w14:paraId="0CC5DC9A" w14:textId="77777777" w:rsidR="007E1F4F" w:rsidRDefault="00000000">
      <w:pPr>
        <w:pStyle w:val="TOC11"/>
      </w:pPr>
      <w:hyperlink w:anchor="_Toc8c63fed5" w:history="1">
        <w:r>
          <w:t>十、室内照明补偿算法</w:t>
        </w:r>
        <w:r>
          <w:tab/>
        </w:r>
        <w:r>
          <w:fldChar w:fldCharType="begin"/>
        </w:r>
        <w:r>
          <w:instrText xml:space="preserve"> PAGEREF _Toc8c63fed5 \h </w:instrText>
        </w:r>
        <w:r>
          <w:fldChar w:fldCharType="separate"/>
        </w:r>
        <w:r>
          <w:t>15</w:t>
        </w:r>
        <w:r>
          <w:fldChar w:fldCharType="end"/>
        </w:r>
      </w:hyperlink>
    </w:p>
    <w:p w14:paraId="1DACC39C" w14:textId="77777777" w:rsidR="007E1F4F" w:rsidRDefault="00000000">
      <w:pPr>
        <w:pStyle w:val="TOC21"/>
      </w:pPr>
      <w:hyperlink w:anchor="_Toc35d72e17" w:history="1">
        <w:r>
          <w:t>从预测光谱到补偿建议</w:t>
        </w:r>
        <w:r>
          <w:tab/>
        </w:r>
        <w:r>
          <w:fldChar w:fldCharType="begin"/>
        </w:r>
        <w:r>
          <w:instrText xml:space="preserve"> PAGEREF _Toc35d72e17 \h </w:instrText>
        </w:r>
        <w:r>
          <w:fldChar w:fldCharType="separate"/>
        </w:r>
        <w:r>
          <w:t>15</w:t>
        </w:r>
        <w:r>
          <w:fldChar w:fldCharType="end"/>
        </w:r>
      </w:hyperlink>
    </w:p>
    <w:p w14:paraId="07D8EBFA" w14:textId="77777777" w:rsidR="007E1F4F" w:rsidRDefault="00000000">
      <w:pPr>
        <w:pStyle w:val="TOC21"/>
      </w:pPr>
      <w:hyperlink w:anchor="_Toce449c098" w:history="1">
        <w:r>
          <w:t>传统双色温 LED 对照</w:t>
        </w:r>
        <w:r>
          <w:tab/>
        </w:r>
        <w:r>
          <w:fldChar w:fldCharType="begin"/>
        </w:r>
        <w:r>
          <w:instrText xml:space="preserve"> PAGEREF _Toce449c098 \h </w:instrText>
        </w:r>
        <w:r>
          <w:fldChar w:fldCharType="separate"/>
        </w:r>
        <w:r>
          <w:t>15</w:t>
        </w:r>
        <w:r>
          <w:fldChar w:fldCharType="end"/>
        </w:r>
      </w:hyperlink>
    </w:p>
    <w:p w14:paraId="27E1810E" w14:textId="77777777" w:rsidR="007E1F4F" w:rsidRDefault="00000000">
      <w:pPr>
        <w:pStyle w:val="TOC21"/>
      </w:pPr>
      <w:hyperlink w:anchor="_Tocecfa6025" w:history="1">
        <w:r>
          <w:t>补偿效果</w:t>
        </w:r>
        <w:r>
          <w:tab/>
        </w:r>
        <w:r>
          <w:fldChar w:fldCharType="begin"/>
        </w:r>
        <w:r>
          <w:instrText xml:space="preserve"> PAGEREF _Tocecfa6025 \h </w:instrText>
        </w:r>
        <w:r>
          <w:fldChar w:fldCharType="separate"/>
        </w:r>
        <w:r>
          <w:t>16</w:t>
        </w:r>
        <w:r>
          <w:fldChar w:fldCharType="end"/>
        </w:r>
      </w:hyperlink>
    </w:p>
    <w:p w14:paraId="1120C883" w14:textId="77777777" w:rsidR="007E1F4F" w:rsidRDefault="00000000">
      <w:pPr>
        <w:pStyle w:val="TOC11"/>
      </w:pPr>
      <w:hyperlink w:anchor="_Toc0d35f719" w:history="1">
        <w:r>
          <w:t>十一、应用展示</w:t>
        </w:r>
        <w:r>
          <w:tab/>
        </w:r>
        <w:r>
          <w:fldChar w:fldCharType="begin"/>
        </w:r>
        <w:r>
          <w:instrText xml:space="preserve"> PAGEREF _Toc0d35f719 \h </w:instrText>
        </w:r>
        <w:r>
          <w:fldChar w:fldCharType="separate"/>
        </w:r>
        <w:r>
          <w:t>16</w:t>
        </w:r>
        <w:r>
          <w:fldChar w:fldCharType="end"/>
        </w:r>
      </w:hyperlink>
    </w:p>
    <w:p w14:paraId="31B8F593" w14:textId="77777777" w:rsidR="007E1F4F" w:rsidRDefault="00000000">
      <w:pPr>
        <w:pStyle w:val="TOC21"/>
      </w:pPr>
      <w:hyperlink w:anchor="_Toc49fffc64" w:history="1">
        <w:r>
          <w:t>应用环境演示</w:t>
        </w:r>
        <w:r>
          <w:tab/>
        </w:r>
        <w:r>
          <w:fldChar w:fldCharType="begin"/>
        </w:r>
        <w:r>
          <w:instrText xml:space="preserve"> PAGEREF _Toc49fffc64 \h </w:instrText>
        </w:r>
        <w:r>
          <w:fldChar w:fldCharType="separate"/>
        </w:r>
        <w:r>
          <w:t>16</w:t>
        </w:r>
        <w:r>
          <w:fldChar w:fldCharType="end"/>
        </w:r>
      </w:hyperlink>
    </w:p>
    <w:p w14:paraId="1FB1D3C8" w14:textId="77777777" w:rsidR="007E1F4F" w:rsidRDefault="00000000">
      <w:pPr>
        <w:pStyle w:val="TOC21"/>
      </w:pPr>
      <w:hyperlink w:anchor="_Toc3d7c4cad" w:history="1">
        <w:r>
          <w:t>Notebook 演示</w:t>
        </w:r>
        <w:r>
          <w:tab/>
        </w:r>
        <w:r>
          <w:fldChar w:fldCharType="begin"/>
        </w:r>
        <w:r>
          <w:instrText xml:space="preserve"> PAGEREF _Toc3d7c4cad \h </w:instrText>
        </w:r>
        <w:r>
          <w:fldChar w:fldCharType="separate"/>
        </w:r>
        <w:r>
          <w:t>18</w:t>
        </w:r>
        <w:r>
          <w:fldChar w:fldCharType="end"/>
        </w:r>
      </w:hyperlink>
    </w:p>
    <w:p w14:paraId="04166F29" w14:textId="77777777" w:rsidR="007E1F4F" w:rsidRDefault="00000000">
      <w:pPr>
        <w:pStyle w:val="TOC21"/>
      </w:pPr>
      <w:hyperlink w:anchor="_Toc859a8033" w:history="1">
        <w:r>
          <w:t>Streamlit 演示网页</w:t>
        </w:r>
        <w:r>
          <w:tab/>
        </w:r>
        <w:r>
          <w:fldChar w:fldCharType="begin"/>
        </w:r>
        <w:r>
          <w:instrText xml:space="preserve"> PAGEREF _Toc859a8033 \h </w:instrText>
        </w:r>
        <w:r>
          <w:fldChar w:fldCharType="separate"/>
        </w:r>
        <w:r>
          <w:t>19</w:t>
        </w:r>
        <w:r>
          <w:fldChar w:fldCharType="end"/>
        </w:r>
      </w:hyperlink>
    </w:p>
    <w:p w14:paraId="6BB320A7" w14:textId="77777777" w:rsidR="007E1F4F" w:rsidRDefault="00000000">
      <w:pPr>
        <w:pStyle w:val="TOC11"/>
      </w:pPr>
      <w:hyperlink w:anchor="_Toc7b9d50e1" w:history="1">
        <w:r>
          <w:t>十二、方案对比与项目特色</w:t>
        </w:r>
        <w:r>
          <w:tab/>
        </w:r>
        <w:r>
          <w:fldChar w:fldCharType="begin"/>
        </w:r>
        <w:r>
          <w:instrText xml:space="preserve"> PAGEREF _Toc7b9d50e1 \h </w:instrText>
        </w:r>
        <w:r>
          <w:fldChar w:fldCharType="separate"/>
        </w:r>
        <w:r>
          <w:t>21</w:t>
        </w:r>
        <w:r>
          <w:fldChar w:fldCharType="end"/>
        </w:r>
      </w:hyperlink>
    </w:p>
    <w:p w14:paraId="51F89FAD" w14:textId="77777777" w:rsidR="007E1F4F" w:rsidRDefault="00000000">
      <w:pPr>
        <w:pStyle w:val="TOC21"/>
      </w:pPr>
      <w:hyperlink w:anchor="_Toc12327721" w:history="1">
        <w:r>
          <w:t>三种获取自然光光谱的方案</w:t>
        </w:r>
        <w:r>
          <w:tab/>
        </w:r>
        <w:r>
          <w:fldChar w:fldCharType="begin"/>
        </w:r>
        <w:r>
          <w:instrText xml:space="preserve"> PAGEREF _Toc12327721 \h </w:instrText>
        </w:r>
        <w:r>
          <w:fldChar w:fldCharType="separate"/>
        </w:r>
        <w:r>
          <w:t>22</w:t>
        </w:r>
        <w:r>
          <w:fldChar w:fldCharType="end"/>
        </w:r>
      </w:hyperlink>
    </w:p>
    <w:p w14:paraId="4A12972C" w14:textId="77777777" w:rsidR="007E1F4F" w:rsidRDefault="00000000">
      <w:pPr>
        <w:pStyle w:val="TOC21"/>
      </w:pPr>
      <w:hyperlink w:anchor="_Toc9c91055b" w:history="1">
        <w:r>
          <w:t>项目特色</w:t>
        </w:r>
        <w:r>
          <w:tab/>
        </w:r>
        <w:r>
          <w:fldChar w:fldCharType="begin"/>
        </w:r>
        <w:r>
          <w:instrText xml:space="preserve"> PAGEREF _Toc9c91055b \h </w:instrText>
        </w:r>
        <w:r>
          <w:fldChar w:fldCharType="separate"/>
        </w:r>
        <w:r>
          <w:t>22</w:t>
        </w:r>
        <w:r>
          <w:fldChar w:fldCharType="end"/>
        </w:r>
      </w:hyperlink>
    </w:p>
    <w:p w14:paraId="463E5F55" w14:textId="77777777" w:rsidR="007E1F4F" w:rsidRDefault="00000000">
      <w:pPr>
        <w:pStyle w:val="TOC11"/>
      </w:pPr>
      <w:hyperlink w:anchor="_Tocbf779082" w:history="1">
        <w:r>
          <w:t>十三、实现过程中的困难与解决</w:t>
        </w:r>
        <w:r>
          <w:tab/>
        </w:r>
        <w:r>
          <w:fldChar w:fldCharType="begin"/>
        </w:r>
        <w:r>
          <w:instrText xml:space="preserve"> PAGEREF _Tocbf779082 \h </w:instrText>
        </w:r>
        <w:r>
          <w:fldChar w:fldCharType="separate"/>
        </w:r>
        <w:r>
          <w:t>22</w:t>
        </w:r>
        <w:r>
          <w:fldChar w:fldCharType="end"/>
        </w:r>
      </w:hyperlink>
    </w:p>
    <w:p w14:paraId="61DC0C61" w14:textId="77777777" w:rsidR="007E1F4F" w:rsidRDefault="00000000">
      <w:pPr>
        <w:pStyle w:val="TOC11"/>
      </w:pPr>
      <w:hyperlink w:anchor="_Toc88a694e9" w:history="1">
        <w:r>
          <w:t>十四、不足与改进方向</w:t>
        </w:r>
        <w:r>
          <w:tab/>
        </w:r>
        <w:r>
          <w:fldChar w:fldCharType="begin"/>
        </w:r>
        <w:r>
          <w:instrText xml:space="preserve"> PAGEREF _Toc88a694e9 \h </w:instrText>
        </w:r>
        <w:r>
          <w:fldChar w:fldCharType="separate"/>
        </w:r>
        <w:r>
          <w:t>23</w:t>
        </w:r>
        <w:r>
          <w:fldChar w:fldCharType="end"/>
        </w:r>
      </w:hyperlink>
    </w:p>
    <w:p w14:paraId="51D3D089" w14:textId="77777777" w:rsidR="007E1F4F" w:rsidRDefault="00000000">
      <w:pPr>
        <w:pStyle w:val="TOC11"/>
      </w:pPr>
      <w:hyperlink w:anchor="_Tocd65fcbb1" w:history="1">
        <w:r>
          <w:t>十五、小组分工</w:t>
        </w:r>
        <w:r>
          <w:tab/>
        </w:r>
        <w:r>
          <w:fldChar w:fldCharType="begin"/>
        </w:r>
        <w:r>
          <w:instrText xml:space="preserve"> PAGEREF _Tocd65fcbb1 \h </w:instrText>
        </w:r>
        <w:r>
          <w:fldChar w:fldCharType="separate"/>
        </w:r>
        <w:r>
          <w:t>23</w:t>
        </w:r>
        <w:r>
          <w:fldChar w:fldCharType="end"/>
        </w:r>
      </w:hyperlink>
    </w:p>
    <w:p w14:paraId="45F3F5CE" w14:textId="77777777" w:rsidR="007E1F4F" w:rsidRDefault="00000000">
      <w:pPr>
        <w:pStyle w:val="TOC11"/>
      </w:pPr>
      <w:hyperlink w:anchor="_Toc374846c1" w:history="1">
        <w:r>
          <w:t>十六、总结</w:t>
        </w:r>
        <w:r>
          <w:tab/>
        </w:r>
        <w:r>
          <w:fldChar w:fldCharType="begin"/>
        </w:r>
        <w:r>
          <w:instrText xml:space="preserve"> PAGEREF _Toc374846c1 \h </w:instrText>
        </w:r>
        <w:r>
          <w:fldChar w:fldCharType="separate"/>
        </w:r>
        <w:r>
          <w:t>24</w:t>
        </w:r>
        <w:r>
          <w:fldChar w:fldCharType="end"/>
        </w:r>
      </w:hyperlink>
    </w:p>
    <w:p w14:paraId="3B29B81A" w14:textId="77777777" w:rsidR="007E1F4F" w:rsidRDefault="00000000">
      <w:pPr>
        <w:pStyle w:val="TOC11"/>
      </w:pPr>
      <w:hyperlink w:anchor="_Toc1c739e80" w:history="1">
        <w:r>
          <w:t>脚注与参考资料</w:t>
        </w:r>
        <w:r>
          <w:tab/>
        </w:r>
        <w:r>
          <w:fldChar w:fldCharType="begin"/>
        </w:r>
        <w:r>
          <w:instrText xml:space="preserve"> PAGEREF _Toc1c739e80 \h </w:instrText>
        </w:r>
        <w:r>
          <w:fldChar w:fldCharType="separate"/>
        </w:r>
        <w:r>
          <w:t>25</w:t>
        </w:r>
        <w:r>
          <w:fldChar w:fldCharType="end"/>
        </w:r>
      </w:hyperlink>
    </w:p>
    <w:p w14:paraId="4A88963C" w14:textId="77777777" w:rsidR="007E1F4F" w:rsidRDefault="00000000">
      <w:r>
        <w:fldChar w:fldCharType="end"/>
      </w:r>
    </w:p>
    <w:p w14:paraId="74F85F00" w14:textId="77777777" w:rsidR="007E1F4F" w:rsidRDefault="00000000">
      <w:r>
        <w:br w:type="page"/>
      </w:r>
    </w:p>
    <w:p w14:paraId="77616FB8" w14:textId="77777777" w:rsidR="007E1F4F" w:rsidRDefault="00000000">
      <w:bookmarkStart w:id="0" w:name="_Toc640f3ca3"/>
      <w:r>
        <w:rPr>
          <w:rFonts w:ascii="黑体" w:eastAsia="黑体" w:hAnsi="黑体"/>
          <w:b/>
          <w:sz w:val="32"/>
        </w:rPr>
        <w:lastRenderedPageBreak/>
        <w:t>一、课题背景与意义</w:t>
      </w:r>
      <w:bookmarkEnd w:id="0"/>
    </w:p>
    <w:p w14:paraId="7007D542" w14:textId="77777777" w:rsidR="007E1F4F" w:rsidRDefault="00000000">
      <w:pPr>
        <w:spacing w:line="360" w:lineRule="auto"/>
        <w:ind w:firstLine="480"/>
        <w:jc w:val="both"/>
      </w:pPr>
      <w:r>
        <w:rPr>
          <w:rFonts w:ascii="宋体" w:eastAsia="宋体" w:hAnsi="宋体"/>
          <w:sz w:val="24"/>
        </w:rPr>
        <w:t>学生、办公室职员和居家人群每天待在室内的时间越来越长，光照问题也就不再只是“看得清”这么简单。已有研究指出，光照通过视网膜中的非成像感光通路影响昼夜节律、睡眠和情绪状态[1][2]；户外自然光暴露与青少年近视风险降低之间的关联，也积累了相当数量的证据[3]。自然光的优势不仅在于照度更高，还在于它具有连续光谱和随时间变化的节律友好特点，这两种特性是目前大多数室内人工光源不具备的。</w:t>
      </w:r>
    </w:p>
    <w:p w14:paraId="778D4912" w14:textId="77777777" w:rsidR="007E1F4F" w:rsidRDefault="00000000">
      <w:pPr>
        <w:spacing w:line="360" w:lineRule="auto"/>
        <w:ind w:firstLine="480"/>
        <w:jc w:val="both"/>
      </w:pPr>
      <w:r>
        <w:rPr>
          <w:rFonts w:ascii="宋体" w:eastAsia="宋体" w:hAnsi="宋体"/>
          <w:sz w:val="24"/>
        </w:rPr>
        <w:t>传统照明设计通常关注照度、色温和显色指数（Ra）三个指标。照度回答“亮不亮”，色温大致区分“偏冷还是偏暖”，显色指数评价色彩还原能力。其中 Ra 取 8 个低饱和度标准色样在被测光源与参考光源下的色差平均值，能粗略反映“颜色会不会严重失真”，但对高饱和度颜色不敏感，也无法捕捉光谱形状的细微差异。两种光源即使照度、色温和显色指数都接近，光谱分布也可能相差甚远。当前多数室内照明仍主要停留在亮度和色温层面，很多场景甚至只满足“够亮”，光谱层面的照明设计还没有广泛进入日常应用。</w:t>
      </w:r>
    </w:p>
    <w:p w14:paraId="023940BD" w14:textId="77777777" w:rsidR="007E1F4F" w:rsidRDefault="00000000">
      <w:pPr>
        <w:spacing w:line="360" w:lineRule="auto"/>
        <w:ind w:firstLine="480"/>
        <w:jc w:val="both"/>
      </w:pPr>
      <w:r>
        <w:rPr>
          <w:rFonts w:ascii="宋体" w:eastAsia="宋体" w:hAnsi="宋体"/>
          <w:sz w:val="24"/>
        </w:rPr>
        <w:t>如果想准确获知当前的自然光光谱，直接办法是配置光谱仪实时采集。专业光谱仪价格较高，普通家庭、教室或办公室很难仅为照明控制而长期购置。天气预报系统虽然提供温度、湿度、云量、降水等气象信息，却并不直接输出当地的天光光谱。</w:t>
      </w:r>
    </w:p>
    <w:p w14:paraId="69753640" w14:textId="77777777" w:rsidR="007E1F4F" w:rsidRDefault="00000000">
      <w:pPr>
        <w:spacing w:line="360" w:lineRule="auto"/>
        <w:ind w:firstLine="480"/>
        <w:jc w:val="both"/>
      </w:pPr>
      <w:r>
        <w:rPr>
          <w:rFonts w:ascii="宋体" w:eastAsia="宋体" w:hAnsi="宋体"/>
          <w:sz w:val="24"/>
        </w:rPr>
        <w:t>本课题的核心问题在于：能否利用较容易获得的天气、时间、地点、太阳位置和室外照度等信息，通过机器学习估计自然光的相对光谱形态，并将估计结果用于室内照明补偿？本项目利用真实公开天光光谱数据和上述环境特征，训练模型估计自然光相对光谱，探索其在室内照明补偿中的应用可能，作为面向高质量照明的一次前瞻性课程实验。</w:t>
      </w:r>
    </w:p>
    <w:p w14:paraId="50AF19CE" w14:textId="77777777" w:rsidR="007E1F4F" w:rsidRDefault="00000000">
      <w:bookmarkStart w:id="1" w:name="_Tocd65d4580"/>
      <w:r>
        <w:rPr>
          <w:rFonts w:ascii="黑体" w:eastAsia="黑体" w:hAnsi="黑体"/>
          <w:b/>
          <w:sz w:val="32"/>
        </w:rPr>
        <w:t>二、设计目标</w:t>
      </w:r>
      <w:bookmarkEnd w:id="1"/>
    </w:p>
    <w:p w14:paraId="687DDB89" w14:textId="77777777" w:rsidR="007E1F4F" w:rsidRDefault="00000000">
      <w:pPr>
        <w:spacing w:line="360" w:lineRule="auto"/>
        <w:ind w:firstLine="480"/>
        <w:jc w:val="both"/>
      </w:pPr>
      <w:r>
        <w:rPr>
          <w:rFonts w:ascii="宋体" w:eastAsia="宋体" w:hAnsi="宋体"/>
          <w:sz w:val="24"/>
        </w:rPr>
        <w:t>围绕上述问题，项目设定了五个具体目标：</w:t>
      </w:r>
    </w:p>
    <w:p w14:paraId="3F5BFF98" w14:textId="77777777" w:rsidR="007E1F4F" w:rsidRDefault="00000000">
      <w:pPr>
        <w:spacing w:line="360" w:lineRule="auto"/>
        <w:ind w:firstLine="480"/>
        <w:jc w:val="both"/>
      </w:pPr>
      <w:r>
        <w:rPr>
          <w:rFonts w:ascii="宋体" w:eastAsia="宋体" w:hAnsi="宋体"/>
          <w:sz w:val="24"/>
        </w:rPr>
        <w:t>1. 用 Python 代码完成真实公开天光光谱数据的下载、清洗、合并、插值和天气对齐，产出一份可训练的数据集；</w:t>
      </w:r>
    </w:p>
    <w:p w14:paraId="4769487A" w14:textId="77777777" w:rsidR="007E1F4F" w:rsidRDefault="00000000">
      <w:pPr>
        <w:spacing w:line="360" w:lineRule="auto"/>
        <w:ind w:firstLine="480"/>
        <w:jc w:val="both"/>
      </w:pPr>
      <w:r>
        <w:rPr>
          <w:rFonts w:ascii="宋体" w:eastAsia="宋体" w:hAnsi="宋体"/>
          <w:sz w:val="24"/>
        </w:rPr>
        <w:t>2. 用 PCA 把高维光谱标签压缩为少量主成分，解决直接预测 41 维连续光谱的训练与解释困难；</w:t>
      </w:r>
    </w:p>
    <w:p w14:paraId="2D0E5D7E" w14:textId="77777777" w:rsidR="007E1F4F" w:rsidRDefault="00000000">
      <w:pPr>
        <w:spacing w:line="360" w:lineRule="auto"/>
        <w:ind w:firstLine="480"/>
        <w:jc w:val="both"/>
      </w:pPr>
      <w:r>
        <w:rPr>
          <w:rFonts w:ascii="宋体" w:eastAsia="宋体" w:hAnsi="宋体"/>
          <w:sz w:val="24"/>
        </w:rPr>
        <w:lastRenderedPageBreak/>
        <w:t>3. 在相同特征、相同目标、相同数据划分下对比五种 sklearn 回归模型，用统一指标选出最佳模型；</w:t>
      </w:r>
    </w:p>
    <w:p w14:paraId="1B257734" w14:textId="77777777" w:rsidR="007E1F4F" w:rsidRDefault="00000000">
      <w:pPr>
        <w:spacing w:line="360" w:lineRule="auto"/>
        <w:ind w:firstLine="480"/>
        <w:jc w:val="both"/>
      </w:pPr>
      <w:r>
        <w:rPr>
          <w:rFonts w:ascii="宋体" w:eastAsia="宋体" w:hAnsi="宋体"/>
          <w:sz w:val="24"/>
        </w:rPr>
        <w:t>4. 把模型预测的主成分系数经 PCA 逆变换还原为 380nm～780nm 的相对光谱曲线，检验还原效果；</w:t>
      </w:r>
    </w:p>
    <w:p w14:paraId="075AC3DC" w14:textId="77777777" w:rsidR="007E1F4F" w:rsidRDefault="00000000">
      <w:pPr>
        <w:spacing w:line="360" w:lineRule="auto"/>
        <w:ind w:firstLine="480"/>
        <w:jc w:val="both"/>
      </w:pPr>
      <w:r>
        <w:rPr>
          <w:rFonts w:ascii="宋体" w:eastAsia="宋体" w:hAnsi="宋体"/>
          <w:sz w:val="24"/>
        </w:rPr>
        <w:t>5. 把预测光谱接入七通道 LED 补偿算法，输出通道比例和补偿前后误差。</w:t>
      </w:r>
    </w:p>
    <w:p w14:paraId="40188AB7" w14:textId="77777777" w:rsidR="007E1F4F" w:rsidRDefault="00000000">
      <w:bookmarkStart w:id="2" w:name="_Toc48b6e639"/>
      <w:r>
        <w:rPr>
          <w:rFonts w:ascii="黑体" w:eastAsia="黑体" w:hAnsi="黑体"/>
          <w:b/>
          <w:sz w:val="32"/>
        </w:rPr>
        <w:t>三、数据来源与数据说明</w:t>
      </w:r>
      <w:bookmarkEnd w:id="2"/>
    </w:p>
    <w:p w14:paraId="088E6660" w14:textId="77777777" w:rsidR="007E1F4F" w:rsidRDefault="00000000">
      <w:bookmarkStart w:id="3" w:name="_Tocc8922be0"/>
      <w:r>
        <w:rPr>
          <w:rFonts w:ascii="黑体" w:eastAsia="黑体" w:hAnsi="黑体"/>
          <w:b/>
          <w:sz w:val="28"/>
        </w:rPr>
        <w:t>天光光谱数据</w:t>
      </w:r>
      <w:bookmarkEnd w:id="3"/>
    </w:p>
    <w:p w14:paraId="59FA26D2" w14:textId="77777777" w:rsidR="007E1F4F" w:rsidRDefault="00000000">
      <w:pPr>
        <w:spacing w:line="360" w:lineRule="auto"/>
        <w:ind w:firstLine="480"/>
        <w:jc w:val="both"/>
      </w:pPr>
      <w:r>
        <w:rPr>
          <w:rFonts w:ascii="宋体" w:eastAsia="宋体" w:hAnsi="宋体"/>
          <w:sz w:val="24"/>
        </w:rPr>
        <w:t>我们主要使用 SKYSPECTRA 公开实测天光光谱数据集[4]，其中 spectral_horizontal_irradiance.csv 提供光谱测量值（约 78MB 的长表），meta_location.csv、meta_weather.csv、meta_sun_positions.csv 等文件提供地点坐标、时间、天空状况、太阳位置和室外照度。原始数据并非直接以建模所需的格式提供，数据整理因此成为我们工作中很重要的一部分。</w:t>
      </w:r>
    </w:p>
    <w:p w14:paraId="6CB03E19" w14:textId="77777777" w:rsidR="007E1F4F" w:rsidRDefault="00000000">
      <w:pPr>
        <w:spacing w:line="360" w:lineRule="auto"/>
        <w:ind w:firstLine="480"/>
        <w:jc w:val="both"/>
      </w:pPr>
      <w:r>
        <w:rPr>
          <w:rFonts w:ascii="宋体" w:eastAsia="宋体" w:hAnsi="宋体"/>
          <w:sz w:val="24"/>
        </w:rPr>
        <w:t>数据集中实际能与光谱测量匹配上的观测站有两个，分别位于法国沃昂夫兰（Vaulx-en-Velin，里昂附近，5636 条样本）和新加坡（28 条样本）。站点名称和坐标直接取自数据集元数据，代码中没有人工指定坐标；如果某个站点编号在元数据中找不到坐标，流水线会直接报错而非默认猜测。</w:t>
      </w:r>
    </w:p>
    <w:p w14:paraId="404B2FEE" w14:textId="77777777" w:rsidR="007E1F4F" w:rsidRDefault="00000000">
      <w:bookmarkStart w:id="4" w:name="_Toc42e8f7cb"/>
      <w:r>
        <w:rPr>
          <w:rFonts w:ascii="黑体" w:eastAsia="黑体" w:hAnsi="黑体"/>
          <w:b/>
          <w:sz w:val="28"/>
        </w:rPr>
        <w:t>历史天气数据</w:t>
      </w:r>
      <w:bookmarkEnd w:id="4"/>
    </w:p>
    <w:p w14:paraId="1F7A980D" w14:textId="77777777" w:rsidR="007E1F4F" w:rsidRDefault="00000000">
      <w:pPr>
        <w:spacing w:line="360" w:lineRule="auto"/>
        <w:ind w:firstLine="480"/>
        <w:jc w:val="both"/>
      </w:pPr>
      <w:r>
        <w:rPr>
          <w:rFonts w:ascii="宋体" w:eastAsia="宋体" w:hAnsi="宋体"/>
          <w:sz w:val="24"/>
        </w:rPr>
        <w:t>为了让模型能从环境条件估计光谱，我们用 Open-Meteo 历史天气 API[5]补充云量、相对湿度、温度和降水量。代码按观测站经纬度和日期范围批量查询，并把小时级天气记录对齐到光谱测量的最近整点。需要说明边界：这些天气数据是按地点和时间对齐的历史天气特征，不是与光谱测量同设备、同步采集的现场气象数据，与测量瞬间的真实天气可能存在差异。</w:t>
      </w:r>
    </w:p>
    <w:p w14:paraId="3D27F55A" w14:textId="77777777" w:rsidR="007E1F4F" w:rsidRDefault="00000000">
      <w:bookmarkStart w:id="5" w:name="_Tocf3979bf6"/>
      <w:r>
        <w:rPr>
          <w:rFonts w:ascii="黑体" w:eastAsia="黑体" w:hAnsi="黑体"/>
          <w:b/>
          <w:sz w:val="28"/>
        </w:rPr>
        <w:t>LED 光谱数据</w:t>
      </w:r>
      <w:bookmarkEnd w:id="5"/>
    </w:p>
    <w:p w14:paraId="40FC543D" w14:textId="77777777" w:rsidR="007E1F4F" w:rsidRDefault="00000000">
      <w:pPr>
        <w:spacing w:line="360" w:lineRule="auto"/>
        <w:ind w:firstLine="480"/>
        <w:jc w:val="both"/>
      </w:pPr>
      <w:r>
        <w:rPr>
          <w:rFonts w:ascii="宋体" w:eastAsia="宋体" w:hAnsi="宋体"/>
          <w:sz w:val="24"/>
        </w:rPr>
        <w:t>照明补偿部分使用公开实测 LED 光谱数据[6]构造暖白、冷白通道，并与深蓝、青光、绿光、琥珀光、红光通道组成七通道 LED 模型。LED 数据不参与光谱估计模型的训练，只用于补偿计算。</w:t>
      </w:r>
    </w:p>
    <w:p w14:paraId="2B387A22" w14:textId="77777777" w:rsidR="007E1F4F" w:rsidRDefault="00000000">
      <w:bookmarkStart w:id="6" w:name="_Tocce06abfa"/>
      <w:r>
        <w:rPr>
          <w:rFonts w:ascii="黑体" w:eastAsia="黑体" w:hAnsi="黑体"/>
          <w:b/>
          <w:sz w:val="28"/>
        </w:rPr>
        <w:t>标准观察者色匹配函数</w:t>
      </w:r>
      <w:bookmarkEnd w:id="6"/>
    </w:p>
    <w:p w14:paraId="30B23941" w14:textId="77777777" w:rsidR="007E1F4F" w:rsidRDefault="00000000">
      <w:pPr>
        <w:spacing w:line="360" w:lineRule="auto"/>
        <w:ind w:firstLine="480"/>
        <w:jc w:val="both"/>
      </w:pPr>
      <w:r>
        <w:rPr>
          <w:rFonts w:ascii="宋体" w:eastAsia="宋体" w:hAnsi="宋体"/>
          <w:sz w:val="24"/>
        </w:rPr>
        <w:t>应用展示要把不同光谱换算成屏幕上的近似颜色，这一步需要标准观察者色匹配函数。我们没有用 1931 年的 CIE 标准观察者，它距今已近百年，且容易让演示停留在传统色度学层面；改用 CIE 170-2:2015 的 XYZ 色匹配函数</w:t>
      </w:r>
      <w:r>
        <w:rPr>
          <w:rFonts w:ascii="宋体" w:eastAsia="宋体" w:hAnsi="宋体"/>
          <w:sz w:val="24"/>
        </w:rPr>
        <w:lastRenderedPageBreak/>
        <w:t>（由 CIE 2006 Stockman-Sharpe 生理学锥细胞数据推导，10° 视场），数据来自 UCL 颜色与视觉研究实验室（CVRL）公开 CSV[7]。</w:t>
      </w:r>
    </w:p>
    <w:p w14:paraId="404B305B" w14:textId="77777777" w:rsidR="007E1F4F" w:rsidRDefault="00000000">
      <w:bookmarkStart w:id="7" w:name="_Toc0fe1f2c1"/>
      <w:r>
        <w:rPr>
          <w:rFonts w:ascii="黑体" w:eastAsia="黑体" w:hAnsi="黑体"/>
          <w:b/>
          <w:sz w:val="28"/>
        </w:rPr>
        <w:t>最终数据集构成</w:t>
      </w:r>
      <w:bookmarkEnd w:id="7"/>
    </w:p>
    <w:p w14:paraId="1F8AE050" w14:textId="77777777" w:rsidR="007E1F4F" w:rsidRDefault="00000000">
      <w:pPr>
        <w:spacing w:line="360" w:lineRule="auto"/>
        <w:ind w:firstLine="480"/>
        <w:jc w:val="both"/>
      </w:pPr>
      <w:r>
        <w:rPr>
          <w:rFonts w:ascii="宋体" w:eastAsia="宋体" w:hAnsi="宋体"/>
          <w:sz w:val="24"/>
        </w:rPr>
        <w:t>最终数据集为 data/real_spectrum_weather_dataset.csv，基本情况如下：</w:t>
      </w: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7189"/>
      </w:tblGrid>
      <w:tr w:rsidR="007E1F4F" w14:paraId="5C74EA07" w14:textId="77777777">
        <w:tblPrEx>
          <w:tblCellMar>
            <w:top w:w="0" w:type="dxa"/>
            <w:bottom w:w="0" w:type="dxa"/>
          </w:tblCellMar>
        </w:tblPrEx>
        <w:tc>
          <w:tcPr>
            <w:tcW w:w="0" w:type="auto"/>
          </w:tcPr>
          <w:p w14:paraId="2DCC1AF4" w14:textId="77777777" w:rsidR="007E1F4F" w:rsidRDefault="00000000">
            <w:pPr>
              <w:jc w:val="center"/>
              <w:rPr>
                <w:rFonts w:ascii="黑体" w:eastAsia="黑体" w:hAnsi="黑体"/>
                <w:b/>
                <w:sz w:val="20"/>
              </w:rPr>
            </w:pPr>
            <w:r>
              <w:rPr>
                <w:rFonts w:ascii="黑体" w:eastAsia="黑体" w:hAnsi="黑体"/>
                <w:b/>
                <w:sz w:val="20"/>
              </w:rPr>
              <w:t>项目</w:t>
            </w:r>
          </w:p>
        </w:tc>
        <w:tc>
          <w:tcPr>
            <w:tcW w:w="0" w:type="auto"/>
          </w:tcPr>
          <w:p w14:paraId="0A32DDD5" w14:textId="77777777" w:rsidR="007E1F4F" w:rsidRDefault="00000000">
            <w:pPr>
              <w:jc w:val="center"/>
              <w:rPr>
                <w:rFonts w:ascii="黑体" w:eastAsia="黑体" w:hAnsi="黑体"/>
                <w:b/>
                <w:sz w:val="20"/>
              </w:rPr>
            </w:pPr>
            <w:r>
              <w:rPr>
                <w:rFonts w:ascii="黑体" w:eastAsia="黑体" w:hAnsi="黑体"/>
                <w:b/>
                <w:sz w:val="20"/>
              </w:rPr>
              <w:t>数值</w:t>
            </w:r>
          </w:p>
        </w:tc>
      </w:tr>
      <w:tr w:rsidR="007E1F4F" w14:paraId="36BEF0C2" w14:textId="77777777">
        <w:tblPrEx>
          <w:tblCellMar>
            <w:top w:w="0" w:type="dxa"/>
            <w:bottom w:w="0" w:type="dxa"/>
          </w:tblCellMar>
        </w:tblPrEx>
        <w:tc>
          <w:tcPr>
            <w:tcW w:w="0" w:type="auto"/>
          </w:tcPr>
          <w:p w14:paraId="0C42EA7C" w14:textId="77777777" w:rsidR="007E1F4F" w:rsidRDefault="00000000">
            <w:pPr>
              <w:jc w:val="center"/>
              <w:rPr>
                <w:rFonts w:ascii="宋体" w:eastAsia="宋体" w:hAnsi="宋体"/>
                <w:sz w:val="20"/>
              </w:rPr>
            </w:pPr>
            <w:r>
              <w:rPr>
                <w:rFonts w:ascii="宋体" w:eastAsia="宋体" w:hAnsi="宋体"/>
                <w:sz w:val="20"/>
              </w:rPr>
              <w:t>样本量</w:t>
            </w:r>
          </w:p>
        </w:tc>
        <w:tc>
          <w:tcPr>
            <w:tcW w:w="0" w:type="auto"/>
          </w:tcPr>
          <w:p w14:paraId="7E2A45A6" w14:textId="77777777" w:rsidR="007E1F4F" w:rsidRDefault="00000000">
            <w:pPr>
              <w:rPr>
                <w:rFonts w:ascii="宋体" w:eastAsia="宋体" w:hAnsi="宋体"/>
                <w:sz w:val="20"/>
              </w:rPr>
            </w:pPr>
            <w:r>
              <w:rPr>
                <w:rFonts w:ascii="宋体" w:eastAsia="宋体" w:hAnsi="宋体"/>
                <w:sz w:val="20"/>
              </w:rPr>
              <w:t>5664 条</w:t>
            </w:r>
          </w:p>
        </w:tc>
      </w:tr>
      <w:tr w:rsidR="007E1F4F" w14:paraId="0806CB02" w14:textId="77777777">
        <w:tblPrEx>
          <w:tblCellMar>
            <w:top w:w="0" w:type="dxa"/>
            <w:bottom w:w="0" w:type="dxa"/>
          </w:tblCellMar>
        </w:tblPrEx>
        <w:tc>
          <w:tcPr>
            <w:tcW w:w="0" w:type="auto"/>
          </w:tcPr>
          <w:p w14:paraId="56271B44" w14:textId="77777777" w:rsidR="007E1F4F" w:rsidRDefault="00000000">
            <w:pPr>
              <w:jc w:val="center"/>
              <w:rPr>
                <w:rFonts w:ascii="宋体" w:eastAsia="宋体" w:hAnsi="宋体"/>
                <w:sz w:val="20"/>
              </w:rPr>
            </w:pPr>
            <w:r>
              <w:rPr>
                <w:rFonts w:ascii="宋体" w:eastAsia="宋体" w:hAnsi="宋体"/>
                <w:sz w:val="20"/>
              </w:rPr>
              <w:t>字段数</w:t>
            </w:r>
          </w:p>
        </w:tc>
        <w:tc>
          <w:tcPr>
            <w:tcW w:w="0" w:type="auto"/>
          </w:tcPr>
          <w:p w14:paraId="354DE2E9" w14:textId="77777777" w:rsidR="007E1F4F" w:rsidRDefault="00000000">
            <w:pPr>
              <w:rPr>
                <w:rFonts w:ascii="宋体" w:eastAsia="宋体" w:hAnsi="宋体"/>
                <w:sz w:val="20"/>
              </w:rPr>
            </w:pPr>
            <w:r>
              <w:rPr>
                <w:rFonts w:ascii="宋体" w:eastAsia="宋体" w:hAnsi="宋体"/>
                <w:sz w:val="20"/>
              </w:rPr>
              <w:t>58 列</w:t>
            </w:r>
          </w:p>
        </w:tc>
      </w:tr>
      <w:tr w:rsidR="007E1F4F" w14:paraId="32D2FF4E" w14:textId="77777777">
        <w:tblPrEx>
          <w:tblCellMar>
            <w:top w:w="0" w:type="dxa"/>
            <w:bottom w:w="0" w:type="dxa"/>
          </w:tblCellMar>
        </w:tblPrEx>
        <w:tc>
          <w:tcPr>
            <w:tcW w:w="0" w:type="auto"/>
          </w:tcPr>
          <w:p w14:paraId="07A6AE59" w14:textId="77777777" w:rsidR="007E1F4F" w:rsidRDefault="00000000">
            <w:pPr>
              <w:jc w:val="center"/>
              <w:rPr>
                <w:rFonts w:ascii="宋体" w:eastAsia="宋体" w:hAnsi="宋体"/>
                <w:sz w:val="20"/>
              </w:rPr>
            </w:pPr>
            <w:r>
              <w:rPr>
                <w:rFonts w:ascii="宋体" w:eastAsia="宋体" w:hAnsi="宋体"/>
                <w:sz w:val="20"/>
              </w:rPr>
              <w:t>光谱维度</w:t>
            </w:r>
          </w:p>
        </w:tc>
        <w:tc>
          <w:tcPr>
            <w:tcW w:w="0" w:type="auto"/>
          </w:tcPr>
          <w:p w14:paraId="207B3CAA" w14:textId="77777777" w:rsidR="007E1F4F" w:rsidRDefault="00000000">
            <w:pPr>
              <w:rPr>
                <w:rFonts w:ascii="宋体" w:eastAsia="宋体" w:hAnsi="宋体"/>
                <w:sz w:val="20"/>
              </w:rPr>
            </w:pPr>
            <w:r>
              <w:rPr>
                <w:rFonts w:ascii="宋体" w:eastAsia="宋体" w:hAnsi="宋体"/>
                <w:sz w:val="20"/>
              </w:rPr>
              <w:t>41 维（wavelength_380 ~ wavelength_780）</w:t>
            </w:r>
          </w:p>
        </w:tc>
      </w:tr>
      <w:tr w:rsidR="007E1F4F" w14:paraId="6E9C5A32" w14:textId="77777777">
        <w:tblPrEx>
          <w:tblCellMar>
            <w:top w:w="0" w:type="dxa"/>
            <w:bottom w:w="0" w:type="dxa"/>
          </w:tblCellMar>
        </w:tblPrEx>
        <w:tc>
          <w:tcPr>
            <w:tcW w:w="0" w:type="auto"/>
          </w:tcPr>
          <w:p w14:paraId="639919FE" w14:textId="77777777" w:rsidR="007E1F4F" w:rsidRDefault="00000000">
            <w:pPr>
              <w:jc w:val="center"/>
              <w:rPr>
                <w:rFonts w:ascii="宋体" w:eastAsia="宋体" w:hAnsi="宋体"/>
                <w:sz w:val="20"/>
              </w:rPr>
            </w:pPr>
            <w:r>
              <w:rPr>
                <w:rFonts w:ascii="宋体" w:eastAsia="宋体" w:hAnsi="宋体"/>
                <w:sz w:val="20"/>
              </w:rPr>
              <w:t>波长范围与间隔</w:t>
            </w:r>
          </w:p>
        </w:tc>
        <w:tc>
          <w:tcPr>
            <w:tcW w:w="0" w:type="auto"/>
          </w:tcPr>
          <w:p w14:paraId="03870A22" w14:textId="77777777" w:rsidR="007E1F4F" w:rsidRDefault="00000000">
            <w:pPr>
              <w:rPr>
                <w:rFonts w:ascii="宋体" w:eastAsia="宋体" w:hAnsi="宋体"/>
                <w:sz w:val="20"/>
              </w:rPr>
            </w:pPr>
            <w:r>
              <w:rPr>
                <w:rFonts w:ascii="宋体" w:eastAsia="宋体" w:hAnsi="宋体"/>
                <w:sz w:val="20"/>
              </w:rPr>
              <w:t>380nm～780nm，每 10nm 一点</w:t>
            </w:r>
          </w:p>
        </w:tc>
      </w:tr>
      <w:tr w:rsidR="007E1F4F" w14:paraId="4AAAEBB1" w14:textId="77777777">
        <w:tblPrEx>
          <w:tblCellMar>
            <w:top w:w="0" w:type="dxa"/>
            <w:bottom w:w="0" w:type="dxa"/>
          </w:tblCellMar>
        </w:tblPrEx>
        <w:tc>
          <w:tcPr>
            <w:tcW w:w="0" w:type="auto"/>
          </w:tcPr>
          <w:p w14:paraId="7F3D1191" w14:textId="77777777" w:rsidR="007E1F4F" w:rsidRDefault="00000000">
            <w:pPr>
              <w:jc w:val="center"/>
              <w:rPr>
                <w:rFonts w:ascii="宋体" w:eastAsia="宋体" w:hAnsi="宋体"/>
                <w:sz w:val="20"/>
              </w:rPr>
            </w:pPr>
            <w:r>
              <w:rPr>
                <w:rFonts w:ascii="宋体" w:eastAsia="宋体" w:hAnsi="宋体"/>
                <w:sz w:val="20"/>
              </w:rPr>
              <w:t>时间范围</w:t>
            </w:r>
          </w:p>
        </w:tc>
        <w:tc>
          <w:tcPr>
            <w:tcW w:w="0" w:type="auto"/>
          </w:tcPr>
          <w:p w14:paraId="64D7ECF9" w14:textId="77777777" w:rsidR="007E1F4F" w:rsidRDefault="00000000">
            <w:pPr>
              <w:rPr>
                <w:rFonts w:ascii="宋体" w:eastAsia="宋体" w:hAnsi="宋体"/>
                <w:sz w:val="20"/>
              </w:rPr>
            </w:pPr>
            <w:r>
              <w:rPr>
                <w:rFonts w:ascii="宋体" w:eastAsia="宋体" w:hAnsi="宋体"/>
                <w:sz w:val="20"/>
              </w:rPr>
              <w:t>2016-03-16 至 2018-07-28</w:t>
            </w:r>
          </w:p>
        </w:tc>
      </w:tr>
      <w:tr w:rsidR="007E1F4F" w14:paraId="1D89A9B0" w14:textId="77777777">
        <w:tblPrEx>
          <w:tblCellMar>
            <w:top w:w="0" w:type="dxa"/>
            <w:bottom w:w="0" w:type="dxa"/>
          </w:tblCellMar>
        </w:tblPrEx>
        <w:tc>
          <w:tcPr>
            <w:tcW w:w="0" w:type="auto"/>
          </w:tcPr>
          <w:p w14:paraId="1A20B9F9" w14:textId="77777777" w:rsidR="007E1F4F" w:rsidRDefault="00000000">
            <w:pPr>
              <w:jc w:val="center"/>
              <w:rPr>
                <w:rFonts w:ascii="宋体" w:eastAsia="宋体" w:hAnsi="宋体"/>
                <w:sz w:val="20"/>
              </w:rPr>
            </w:pPr>
            <w:r>
              <w:rPr>
                <w:rFonts w:ascii="宋体" w:eastAsia="宋体" w:hAnsi="宋体"/>
                <w:sz w:val="20"/>
              </w:rPr>
              <w:t>观测站</w:t>
            </w:r>
          </w:p>
        </w:tc>
        <w:tc>
          <w:tcPr>
            <w:tcW w:w="0" w:type="auto"/>
          </w:tcPr>
          <w:p w14:paraId="748B42AC" w14:textId="77777777" w:rsidR="007E1F4F" w:rsidRDefault="00000000">
            <w:pPr>
              <w:rPr>
                <w:rFonts w:ascii="宋体" w:eastAsia="宋体" w:hAnsi="宋体"/>
                <w:sz w:val="20"/>
              </w:rPr>
            </w:pPr>
            <w:r>
              <w:rPr>
                <w:rFonts w:ascii="宋体" w:eastAsia="宋体" w:hAnsi="宋体"/>
                <w:sz w:val="20"/>
              </w:rPr>
              <w:t>法国沃昂夫兰（5636 条）、新加坡（28 条）</w:t>
            </w:r>
          </w:p>
        </w:tc>
      </w:tr>
      <w:tr w:rsidR="007E1F4F" w14:paraId="24F350CA" w14:textId="77777777">
        <w:tblPrEx>
          <w:tblCellMar>
            <w:top w:w="0" w:type="dxa"/>
            <w:bottom w:w="0" w:type="dxa"/>
          </w:tblCellMar>
        </w:tblPrEx>
        <w:tc>
          <w:tcPr>
            <w:tcW w:w="0" w:type="auto"/>
          </w:tcPr>
          <w:p w14:paraId="453F7950" w14:textId="77777777" w:rsidR="007E1F4F" w:rsidRDefault="00000000">
            <w:pPr>
              <w:jc w:val="center"/>
              <w:rPr>
                <w:rFonts w:ascii="宋体" w:eastAsia="宋体" w:hAnsi="宋体"/>
                <w:sz w:val="20"/>
              </w:rPr>
            </w:pPr>
            <w:r>
              <w:rPr>
                <w:rFonts w:ascii="宋体" w:eastAsia="宋体" w:hAnsi="宋体"/>
                <w:sz w:val="20"/>
              </w:rPr>
              <w:t>环境特征</w:t>
            </w:r>
          </w:p>
        </w:tc>
        <w:tc>
          <w:tcPr>
            <w:tcW w:w="0" w:type="auto"/>
          </w:tcPr>
          <w:p w14:paraId="2F1DCAA1" w14:textId="77777777" w:rsidR="007E1F4F" w:rsidRDefault="00000000">
            <w:pPr>
              <w:rPr>
                <w:rFonts w:ascii="宋体" w:eastAsia="宋体" w:hAnsi="宋体"/>
                <w:sz w:val="20"/>
              </w:rPr>
            </w:pPr>
            <w:r>
              <w:rPr>
                <w:rFonts w:ascii="宋体" w:eastAsia="宋体" w:hAnsi="宋体"/>
                <w:sz w:val="20"/>
              </w:rPr>
              <w:t>时间、月份、太阳高度角与方位角、云量、湿度、温度、降水、室外照度、天气类别、天空状况、站点</w:t>
            </w:r>
          </w:p>
        </w:tc>
      </w:tr>
    </w:tbl>
    <w:p w14:paraId="256F281B" w14:textId="77777777" w:rsidR="007E1F4F" w:rsidRDefault="00000000">
      <w:bookmarkStart w:id="8" w:name="_Toc8101b36e"/>
      <w:r>
        <w:rPr>
          <w:rFonts w:ascii="黑体" w:eastAsia="黑体" w:hAnsi="黑体"/>
          <w:b/>
          <w:sz w:val="32"/>
        </w:rPr>
        <w:t>四、系统总体流程</w:t>
      </w:r>
      <w:bookmarkEnd w:id="8"/>
    </w:p>
    <w:p w14:paraId="34625BAA" w14:textId="77777777" w:rsidR="007E1F4F" w:rsidRDefault="00000000">
      <w:pPr>
        <w:spacing w:line="360" w:lineRule="auto"/>
        <w:jc w:val="both"/>
      </w:pPr>
      <w:r>
        <w:rPr>
          <w:rFonts w:ascii="宋体" w:eastAsia="宋体" w:hAnsi="宋体"/>
          <w:sz w:val="24"/>
        </w:rPr>
        <w:t>本项目的系统流程如图所示：光谱数据经过清洗重采样后，与地点、太阳位置、天空状况元数据以及 Open-Meteo 历史天气数据合并，经过特征工程后进行 PCA 降维，然后进行模型对比选择与调优，预测结果经 PCA 逆变换还原光谱，最后进行七通道 LED 补偿。</w:t>
      </w:r>
    </w:p>
    <w:p w14:paraId="3C636A04" w14:textId="77777777" w:rsidR="007E1F4F" w:rsidRDefault="00000000">
      <w:pPr>
        <w:shd w:val="clear" w:color="auto" w:fill="F5F5F5"/>
        <w:spacing w:before="120" w:after="120" w:line="360" w:lineRule="auto"/>
        <w:jc w:val="center"/>
      </w:pPr>
      <w:r>
        <w:rPr>
          <w:rFonts w:ascii="宋体" w:eastAsia="宋体" w:hAnsi="宋体"/>
        </w:rPr>
        <w:t>系统流程：光谱数据清洗重采样 → 数据合并 ← 地点/太阳位置/天空状况元数据 ← Open-Meteo 历史天气 → 特征工程 → 光谱 PCA 降维 → 模型对比选择与调优 → PCA 逆变换还原光谱 → 七通道 LED 补偿</w:t>
      </w:r>
    </w:p>
    <w:p w14:paraId="4CE6EC73" w14:textId="77777777" w:rsidR="007E1F4F" w:rsidRDefault="00000000">
      <w:pPr>
        <w:spacing w:line="360" w:lineRule="auto"/>
        <w:jc w:val="both"/>
      </w:pPr>
      <w:r>
        <w:rPr>
          <w:rFonts w:ascii="宋体" w:eastAsia="宋体" w:hAnsi="宋体"/>
          <w:sz w:val="24"/>
        </w:rPr>
        <w:t>模型输入——天气、时间、地点、太阳位置、室外照度等低成本环境特征；</w:t>
      </w:r>
    </w:p>
    <w:p w14:paraId="5209DF2D" w14:textId="77777777" w:rsidR="007E1F4F" w:rsidRDefault="00000000">
      <w:pPr>
        <w:spacing w:line="360" w:lineRule="auto"/>
        <w:jc w:val="both"/>
      </w:pPr>
      <w:r>
        <w:rPr>
          <w:rFonts w:ascii="宋体" w:eastAsia="宋体" w:hAnsi="宋体"/>
          <w:sz w:val="24"/>
        </w:rPr>
        <w:t>模型输出——光谱的 5 个 PCA 主成分系数，经 PCA 逆变换还原为 41 维相对光谱曲线；</w:t>
      </w:r>
    </w:p>
    <w:p w14:paraId="5FC3B4A9" w14:textId="77777777" w:rsidR="007E1F4F" w:rsidRDefault="00000000">
      <w:pPr>
        <w:spacing w:line="360" w:lineRule="auto"/>
        <w:jc w:val="both"/>
      </w:pPr>
      <w:r>
        <w:rPr>
          <w:rFonts w:ascii="宋体" w:eastAsia="宋体" w:hAnsi="宋体"/>
          <w:sz w:val="24"/>
        </w:rPr>
        <w:t>应用输出——预测光谱与目标光谱对比，计算补偿差值，输出七个 LED 通道的比例、补偿前后误差变化，并与传统双色温 LED 方案对照。</w:t>
      </w:r>
    </w:p>
    <w:p w14:paraId="71F6A623" w14:textId="77777777" w:rsidR="007E1F4F" w:rsidRDefault="00000000">
      <w:bookmarkStart w:id="9" w:name="_Toc475feff7"/>
      <w:r>
        <w:rPr>
          <w:rFonts w:ascii="黑体" w:eastAsia="黑体" w:hAnsi="黑体"/>
          <w:b/>
          <w:sz w:val="32"/>
        </w:rPr>
        <w:t>五、数据处理与特征工程</w:t>
      </w:r>
      <w:bookmarkEnd w:id="9"/>
    </w:p>
    <w:p w14:paraId="1E507864" w14:textId="77777777" w:rsidR="007E1F4F" w:rsidRDefault="00000000">
      <w:bookmarkStart w:id="10" w:name="_Toc4179c5d1"/>
      <w:r>
        <w:rPr>
          <w:rFonts w:ascii="黑体" w:eastAsia="黑体" w:hAnsi="黑体"/>
          <w:b/>
          <w:sz w:val="28"/>
        </w:rPr>
        <w:t>光谱数据清洗与重采样</w:t>
      </w:r>
      <w:bookmarkEnd w:id="10"/>
    </w:p>
    <w:p w14:paraId="1027488E" w14:textId="77777777" w:rsidR="007E1F4F" w:rsidRDefault="00000000">
      <w:pPr>
        <w:spacing w:line="360" w:lineRule="auto"/>
        <w:ind w:firstLine="480"/>
        <w:jc w:val="both"/>
      </w:pPr>
      <w:r>
        <w:rPr>
          <w:rFonts w:ascii="宋体" w:eastAsia="宋体" w:hAnsi="宋体"/>
          <w:sz w:val="24"/>
        </w:rPr>
        <w:t>原始光谱是长表格式，一条测量记录对应一个波长点。建模需要先删除缺失值和负值，再把长表透视成“每行一个时间地点样本、每列一个波长”的宽表，最后过滤全 0 光谱。核心处理位于 src/real_data_pipeline.py：</w:t>
      </w:r>
    </w:p>
    <w:p w14:paraId="4E173A37" w14:textId="77777777" w:rsidR="007E1F4F" w:rsidRDefault="00000000">
      <w:pPr>
        <w:shd w:val="clear" w:color="auto" w:fill="F2F2F2"/>
        <w:spacing w:before="120" w:after="120" w:line="240" w:lineRule="auto"/>
      </w:pPr>
      <w:r>
        <w:rPr>
          <w:rFonts w:ascii="Courier New" w:eastAsia="宋体" w:hAnsi="Courier New"/>
          <w:sz w:val="20"/>
        </w:rPr>
        <w:t>df = df.dropna(subset=["spectral_horizontal_irradiance", "wavelength"])</w:t>
      </w:r>
      <w:r>
        <w:rPr>
          <w:rFonts w:ascii="Courier New" w:eastAsia="宋体" w:hAnsi="Courier New"/>
          <w:sz w:val="20"/>
        </w:rPr>
        <w:br/>
        <w:t>df = df[df["spectral_horizontal_irradiance"] &gt;= 0]</w:t>
      </w:r>
      <w:r>
        <w:rPr>
          <w:rFonts w:ascii="Courier New" w:eastAsia="宋体" w:hAnsi="Courier New"/>
          <w:sz w:val="20"/>
        </w:rPr>
        <w:br/>
      </w:r>
      <w:r>
        <w:rPr>
          <w:rFonts w:ascii="Courier New" w:eastAsia="宋体" w:hAnsi="Courier New"/>
          <w:sz w:val="20"/>
        </w:rPr>
        <w:lastRenderedPageBreak/>
        <w:br/>
        <w:t>pivoted = df.pivot(</w:t>
      </w:r>
      <w:r>
        <w:rPr>
          <w:rFonts w:ascii="Courier New" w:eastAsia="宋体" w:hAnsi="Courier New"/>
          <w:sz w:val="20"/>
        </w:rPr>
        <w:br/>
        <w:t xml:space="preserve">    index=["location_code", "timestamp"],</w:t>
      </w:r>
      <w:r>
        <w:rPr>
          <w:rFonts w:ascii="Courier New" w:eastAsia="宋体" w:hAnsi="Courier New"/>
          <w:sz w:val="20"/>
        </w:rPr>
        <w:br/>
        <w:t xml:space="preserve">    columns="wavelength",</w:t>
      </w:r>
      <w:r>
        <w:rPr>
          <w:rFonts w:ascii="Courier New" w:eastAsia="宋体" w:hAnsi="Courier New"/>
          <w:sz w:val="20"/>
        </w:rPr>
        <w:br/>
        <w:t xml:space="preserve">    values="spectral_horizontal_irradiance",</w:t>
      </w:r>
      <w:r>
        <w:rPr>
          <w:rFonts w:ascii="Courier New" w:eastAsia="宋体" w:hAnsi="Courier New"/>
          <w:sz w:val="20"/>
        </w:rPr>
        <w:br/>
        <w:t>)</w:t>
      </w:r>
      <w:r>
        <w:rPr>
          <w:rFonts w:ascii="Courier New" w:eastAsia="宋体" w:hAnsi="Courier New"/>
          <w:sz w:val="20"/>
        </w:rPr>
        <w:br/>
        <w:t>pivoted = pivoted.dropna(how="all")</w:t>
      </w:r>
    </w:p>
    <w:p w14:paraId="6C212685" w14:textId="77777777" w:rsidR="007E1F4F" w:rsidRDefault="00000000">
      <w:pPr>
        <w:spacing w:line="360" w:lineRule="auto"/>
        <w:ind w:firstLine="480"/>
        <w:jc w:val="both"/>
      </w:pPr>
      <w:r>
        <w:rPr>
          <w:rFonts w:ascii="宋体" w:eastAsia="宋体" w:hAnsi="宋体"/>
          <w:sz w:val="24"/>
        </w:rPr>
        <w:t>不同来源的光谱波长点并不统一，我们用 numpy.interp 线性插值，把所有光谱重采样到 380nm～780nm、每 10nm 一点的网格上，得到 41 维光谱向量。维度统一之后，PCA 和回归模型才能直接读取光谱矩阵。</w:t>
      </w:r>
    </w:p>
    <w:p w14:paraId="4ECFB4A7" w14:textId="77777777" w:rsidR="007E1F4F" w:rsidRDefault="00000000">
      <w:bookmarkStart w:id="11" w:name="_Toc4a1ceeaf"/>
      <w:r>
        <w:rPr>
          <w:rFonts w:ascii="黑体" w:eastAsia="黑体" w:hAnsi="黑体"/>
          <w:b/>
          <w:sz w:val="28"/>
        </w:rPr>
        <w:t>元数据与天气对齐</w:t>
      </w:r>
      <w:bookmarkEnd w:id="11"/>
    </w:p>
    <w:p w14:paraId="11523992" w14:textId="77777777" w:rsidR="007E1F4F" w:rsidRDefault="00000000">
      <w:pPr>
        <w:spacing w:line="360" w:lineRule="auto"/>
        <w:ind w:firstLine="480"/>
        <w:jc w:val="both"/>
      </w:pPr>
      <w:r>
        <w:rPr>
          <w:rFonts w:ascii="宋体" w:eastAsia="宋体" w:hAnsi="宋体"/>
          <w:sz w:val="24"/>
        </w:rPr>
        <w:t>光谱本身只给出测量结果，估计还需要当时的环境条件。我们先按“站点编号 + 时间戳”合并太阳位置和天空状况元数据，再把测量时间对齐到最近整点、按“站点 + 整点小时”合并 Open-Meteo 天气：</w:t>
      </w:r>
    </w:p>
    <w:p w14:paraId="1A7753C8" w14:textId="77777777" w:rsidR="007E1F4F" w:rsidRDefault="00000000">
      <w:pPr>
        <w:shd w:val="clear" w:color="auto" w:fill="F2F2F2"/>
        <w:spacing w:before="120" w:after="120" w:line="240" w:lineRule="auto"/>
      </w:pPr>
      <w:r>
        <w:rPr>
          <w:rFonts w:ascii="Courier New" w:eastAsia="宋体" w:hAnsi="Courier New"/>
          <w:sz w:val="20"/>
        </w:rPr>
        <w:t>merged["nearest_hour"] = merged["datetime_local"].dt.round("h")</w:t>
      </w:r>
      <w:r>
        <w:rPr>
          <w:rFonts w:ascii="Courier New" w:eastAsia="宋体" w:hAnsi="Courier New"/>
          <w:sz w:val="20"/>
        </w:rPr>
        <w:br/>
        <w:t>final_df = pd.merge(</w:t>
      </w:r>
      <w:r>
        <w:rPr>
          <w:rFonts w:ascii="Courier New" w:eastAsia="宋体" w:hAnsi="Courier New"/>
          <w:sz w:val="20"/>
        </w:rPr>
        <w:br/>
        <w:t xml:space="preserve">    merged, all_weather,</w:t>
      </w:r>
      <w:r>
        <w:rPr>
          <w:rFonts w:ascii="Courier New" w:eastAsia="宋体" w:hAnsi="Courier New"/>
          <w:sz w:val="20"/>
        </w:rPr>
        <w:br/>
        <w:t xml:space="preserve">    left_on=["location_code", "nearest_hour"],</w:t>
      </w:r>
      <w:r>
        <w:rPr>
          <w:rFonts w:ascii="Courier New" w:eastAsia="宋体" w:hAnsi="Courier New"/>
          <w:sz w:val="20"/>
        </w:rPr>
        <w:br/>
        <w:t xml:space="preserve">    right_on=["location_code", "time"],</w:t>
      </w:r>
      <w:r>
        <w:rPr>
          <w:rFonts w:ascii="Courier New" w:eastAsia="宋体" w:hAnsi="Courier New"/>
          <w:sz w:val="20"/>
        </w:rPr>
        <w:br/>
        <w:t xml:space="preserve">    how="inner",</w:t>
      </w:r>
      <w:r>
        <w:rPr>
          <w:rFonts w:ascii="Courier New" w:eastAsia="宋体" w:hAnsi="Courier New"/>
          <w:sz w:val="20"/>
        </w:rPr>
        <w:br/>
        <w:t>)</w:t>
      </w:r>
    </w:p>
    <w:p w14:paraId="6ED5ECE8" w14:textId="77777777" w:rsidR="007E1F4F" w:rsidRDefault="00000000">
      <w:pPr>
        <w:spacing w:line="360" w:lineRule="auto"/>
        <w:ind w:firstLine="480"/>
        <w:jc w:val="both"/>
      </w:pPr>
      <w:r>
        <w:rPr>
          <w:rFonts w:ascii="宋体" w:eastAsia="宋体" w:hAnsi="宋体"/>
          <w:sz w:val="24"/>
        </w:rPr>
        <w:t>光谱测量是 10 分钟级、天气是小时级，这一对齐方式虽然粗略但有效，能够将真实测量数据与公开天气数据合并到同一张训练表中。</w:t>
      </w:r>
    </w:p>
    <w:p w14:paraId="1FEE648A" w14:textId="77777777" w:rsidR="007E1F4F" w:rsidRDefault="00000000">
      <w:bookmarkStart w:id="12" w:name="_Toc9618fde1"/>
      <w:r>
        <w:rPr>
          <w:rFonts w:ascii="黑体" w:eastAsia="黑体" w:hAnsi="黑体"/>
          <w:b/>
          <w:sz w:val="28"/>
        </w:rPr>
        <w:t>特征工程</w:t>
      </w:r>
      <w:bookmarkEnd w:id="12"/>
    </w:p>
    <w:p w14:paraId="1793B6F6" w14:textId="77777777" w:rsidR="007E1F4F" w:rsidRDefault="00000000">
      <w:pPr>
        <w:spacing w:line="360" w:lineRule="auto"/>
        <w:ind w:firstLine="480"/>
        <w:jc w:val="both"/>
      </w:pPr>
      <w:r>
        <w:rPr>
          <w:rFonts w:ascii="宋体" w:eastAsia="宋体" w:hAnsi="宋体"/>
          <w:sz w:val="24"/>
        </w:rPr>
        <w:t>模型最终使用 12 个原始特征字段：</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5010"/>
        <w:gridCol w:w="2464"/>
      </w:tblGrid>
      <w:tr w:rsidR="007E1F4F" w14:paraId="66CC7BB2" w14:textId="77777777">
        <w:tblPrEx>
          <w:tblCellMar>
            <w:top w:w="0" w:type="dxa"/>
            <w:bottom w:w="0" w:type="dxa"/>
          </w:tblCellMar>
        </w:tblPrEx>
        <w:tc>
          <w:tcPr>
            <w:tcW w:w="0" w:type="auto"/>
          </w:tcPr>
          <w:p w14:paraId="18DEB105" w14:textId="77777777" w:rsidR="007E1F4F" w:rsidRDefault="00000000">
            <w:pPr>
              <w:jc w:val="center"/>
              <w:rPr>
                <w:rFonts w:ascii="黑体" w:eastAsia="黑体" w:hAnsi="黑体"/>
                <w:b/>
                <w:sz w:val="20"/>
              </w:rPr>
            </w:pPr>
            <w:r>
              <w:rPr>
                <w:rFonts w:ascii="黑体" w:eastAsia="黑体" w:hAnsi="黑体"/>
                <w:b/>
                <w:sz w:val="20"/>
              </w:rPr>
              <w:t>类型</w:t>
            </w:r>
          </w:p>
        </w:tc>
        <w:tc>
          <w:tcPr>
            <w:tcW w:w="0" w:type="auto"/>
          </w:tcPr>
          <w:p w14:paraId="3239C264" w14:textId="77777777" w:rsidR="007E1F4F" w:rsidRDefault="00000000">
            <w:pPr>
              <w:jc w:val="center"/>
              <w:rPr>
                <w:rFonts w:ascii="黑体" w:eastAsia="黑体" w:hAnsi="黑体"/>
                <w:b/>
                <w:sz w:val="20"/>
              </w:rPr>
            </w:pPr>
            <w:r>
              <w:rPr>
                <w:rFonts w:ascii="黑体" w:eastAsia="黑体" w:hAnsi="黑体"/>
                <w:b/>
                <w:sz w:val="20"/>
              </w:rPr>
              <w:t>特征</w:t>
            </w:r>
          </w:p>
        </w:tc>
        <w:tc>
          <w:tcPr>
            <w:tcW w:w="0" w:type="auto"/>
          </w:tcPr>
          <w:p w14:paraId="6CE34B4B" w14:textId="77777777" w:rsidR="007E1F4F" w:rsidRDefault="00000000">
            <w:pPr>
              <w:jc w:val="center"/>
              <w:rPr>
                <w:rFonts w:ascii="黑体" w:eastAsia="黑体" w:hAnsi="黑体"/>
                <w:b/>
                <w:sz w:val="20"/>
              </w:rPr>
            </w:pPr>
            <w:r>
              <w:rPr>
                <w:rFonts w:ascii="黑体" w:eastAsia="黑体" w:hAnsi="黑体"/>
                <w:b/>
                <w:sz w:val="20"/>
              </w:rPr>
              <w:t>说明</w:t>
            </w:r>
          </w:p>
        </w:tc>
      </w:tr>
      <w:tr w:rsidR="007E1F4F" w14:paraId="243C1419" w14:textId="77777777">
        <w:tblPrEx>
          <w:tblCellMar>
            <w:top w:w="0" w:type="dxa"/>
            <w:bottom w:w="0" w:type="dxa"/>
          </w:tblCellMar>
        </w:tblPrEx>
        <w:tc>
          <w:tcPr>
            <w:tcW w:w="0" w:type="auto"/>
          </w:tcPr>
          <w:p w14:paraId="4DB25AD1" w14:textId="77777777" w:rsidR="007E1F4F" w:rsidRDefault="00000000">
            <w:pPr>
              <w:rPr>
                <w:rFonts w:ascii="宋体" w:eastAsia="宋体" w:hAnsi="宋体"/>
                <w:sz w:val="20"/>
              </w:rPr>
            </w:pPr>
            <w:r>
              <w:rPr>
                <w:rFonts w:ascii="宋体" w:eastAsia="宋体" w:hAnsi="宋体"/>
                <w:sz w:val="20"/>
              </w:rPr>
              <w:t>时间</w:t>
            </w:r>
          </w:p>
        </w:tc>
        <w:tc>
          <w:tcPr>
            <w:tcW w:w="0" w:type="auto"/>
          </w:tcPr>
          <w:p w14:paraId="4E52E721" w14:textId="77777777" w:rsidR="007E1F4F" w:rsidRDefault="00000000">
            <w:pPr>
              <w:rPr>
                <w:rFonts w:ascii="宋体" w:eastAsia="宋体" w:hAnsi="宋体"/>
                <w:sz w:val="20"/>
              </w:rPr>
            </w:pPr>
            <w:r>
              <w:rPr>
                <w:rFonts w:ascii="宋体" w:eastAsia="宋体" w:hAnsi="宋体"/>
                <w:sz w:val="20"/>
              </w:rPr>
              <w:t>hour、month</w:t>
            </w:r>
          </w:p>
        </w:tc>
        <w:tc>
          <w:tcPr>
            <w:tcW w:w="0" w:type="auto"/>
          </w:tcPr>
          <w:p w14:paraId="5D79C9B5" w14:textId="77777777" w:rsidR="007E1F4F" w:rsidRDefault="00000000">
            <w:pPr>
              <w:rPr>
                <w:rFonts w:ascii="宋体" w:eastAsia="宋体" w:hAnsi="宋体"/>
                <w:sz w:val="20"/>
              </w:rPr>
            </w:pPr>
            <w:r>
              <w:rPr>
                <w:rFonts w:ascii="宋体" w:eastAsia="宋体" w:hAnsi="宋体"/>
                <w:sz w:val="20"/>
              </w:rPr>
              <w:t>测量小时、月份</w:t>
            </w:r>
          </w:p>
        </w:tc>
      </w:tr>
      <w:tr w:rsidR="007E1F4F" w14:paraId="260FC3B2" w14:textId="77777777">
        <w:tblPrEx>
          <w:tblCellMar>
            <w:top w:w="0" w:type="dxa"/>
            <w:bottom w:w="0" w:type="dxa"/>
          </w:tblCellMar>
        </w:tblPrEx>
        <w:tc>
          <w:tcPr>
            <w:tcW w:w="0" w:type="auto"/>
          </w:tcPr>
          <w:p w14:paraId="2FDBD9C6" w14:textId="77777777" w:rsidR="007E1F4F" w:rsidRDefault="00000000">
            <w:pPr>
              <w:rPr>
                <w:rFonts w:ascii="宋体" w:eastAsia="宋体" w:hAnsi="宋体"/>
                <w:sz w:val="20"/>
              </w:rPr>
            </w:pPr>
            <w:r>
              <w:rPr>
                <w:rFonts w:ascii="宋体" w:eastAsia="宋体" w:hAnsi="宋体"/>
                <w:sz w:val="20"/>
              </w:rPr>
              <w:t>太阳位置</w:t>
            </w:r>
          </w:p>
        </w:tc>
        <w:tc>
          <w:tcPr>
            <w:tcW w:w="0" w:type="auto"/>
          </w:tcPr>
          <w:p w14:paraId="203E60D7" w14:textId="77777777" w:rsidR="007E1F4F" w:rsidRDefault="00000000">
            <w:pPr>
              <w:rPr>
                <w:rFonts w:ascii="宋体" w:eastAsia="宋体" w:hAnsi="宋体"/>
                <w:sz w:val="20"/>
              </w:rPr>
            </w:pPr>
            <w:r>
              <w:rPr>
                <w:rFonts w:ascii="宋体" w:eastAsia="宋体" w:hAnsi="宋体"/>
                <w:sz w:val="20"/>
              </w:rPr>
              <w:t>solar_altitude、solar_azimuth</w:t>
            </w:r>
          </w:p>
        </w:tc>
        <w:tc>
          <w:tcPr>
            <w:tcW w:w="0" w:type="auto"/>
          </w:tcPr>
          <w:p w14:paraId="1415DEC4" w14:textId="77777777" w:rsidR="007E1F4F" w:rsidRDefault="00000000">
            <w:pPr>
              <w:rPr>
                <w:rFonts w:ascii="宋体" w:eastAsia="宋体" w:hAnsi="宋体"/>
                <w:sz w:val="20"/>
              </w:rPr>
            </w:pPr>
            <w:r>
              <w:rPr>
                <w:rFonts w:ascii="宋体" w:eastAsia="宋体" w:hAnsi="宋体"/>
                <w:sz w:val="20"/>
              </w:rPr>
              <w:t>太阳高度角、方位角</w:t>
            </w:r>
          </w:p>
        </w:tc>
      </w:tr>
      <w:tr w:rsidR="007E1F4F" w14:paraId="1193C1FF" w14:textId="77777777">
        <w:tblPrEx>
          <w:tblCellMar>
            <w:top w:w="0" w:type="dxa"/>
            <w:bottom w:w="0" w:type="dxa"/>
          </w:tblCellMar>
        </w:tblPrEx>
        <w:tc>
          <w:tcPr>
            <w:tcW w:w="0" w:type="auto"/>
          </w:tcPr>
          <w:p w14:paraId="45D349DF" w14:textId="77777777" w:rsidR="007E1F4F" w:rsidRDefault="00000000">
            <w:pPr>
              <w:rPr>
                <w:rFonts w:ascii="宋体" w:eastAsia="宋体" w:hAnsi="宋体"/>
                <w:sz w:val="20"/>
              </w:rPr>
            </w:pPr>
            <w:r>
              <w:rPr>
                <w:rFonts w:ascii="宋体" w:eastAsia="宋体" w:hAnsi="宋体"/>
                <w:sz w:val="20"/>
              </w:rPr>
              <w:t>天气</w:t>
            </w:r>
          </w:p>
        </w:tc>
        <w:tc>
          <w:tcPr>
            <w:tcW w:w="0" w:type="auto"/>
          </w:tcPr>
          <w:p w14:paraId="55C5D16B" w14:textId="77777777" w:rsidR="007E1F4F" w:rsidRDefault="00000000">
            <w:pPr>
              <w:rPr>
                <w:rFonts w:ascii="宋体" w:eastAsia="宋体" w:hAnsi="宋体"/>
                <w:sz w:val="20"/>
              </w:rPr>
            </w:pPr>
            <w:r>
              <w:rPr>
                <w:rFonts w:ascii="宋体" w:eastAsia="宋体" w:hAnsi="宋体"/>
                <w:sz w:val="20"/>
              </w:rPr>
              <w:t>cloud_cover、humidity、temperature、precipitation</w:t>
            </w:r>
          </w:p>
        </w:tc>
        <w:tc>
          <w:tcPr>
            <w:tcW w:w="0" w:type="auto"/>
          </w:tcPr>
          <w:p w14:paraId="20FFD4CF" w14:textId="77777777" w:rsidR="007E1F4F" w:rsidRDefault="00000000">
            <w:pPr>
              <w:rPr>
                <w:rFonts w:ascii="宋体" w:eastAsia="宋体" w:hAnsi="宋体"/>
                <w:sz w:val="20"/>
              </w:rPr>
            </w:pPr>
            <w:r>
              <w:rPr>
                <w:rFonts w:ascii="宋体" w:eastAsia="宋体" w:hAnsi="宋体"/>
                <w:sz w:val="20"/>
              </w:rPr>
              <w:t>云量、湿度、温度、降水</w:t>
            </w:r>
          </w:p>
        </w:tc>
      </w:tr>
      <w:tr w:rsidR="007E1F4F" w14:paraId="6596AE35" w14:textId="77777777">
        <w:tblPrEx>
          <w:tblCellMar>
            <w:top w:w="0" w:type="dxa"/>
            <w:bottom w:w="0" w:type="dxa"/>
          </w:tblCellMar>
        </w:tblPrEx>
        <w:tc>
          <w:tcPr>
            <w:tcW w:w="0" w:type="auto"/>
          </w:tcPr>
          <w:p w14:paraId="6C862156" w14:textId="77777777" w:rsidR="007E1F4F" w:rsidRDefault="00000000">
            <w:pPr>
              <w:rPr>
                <w:rFonts w:ascii="宋体" w:eastAsia="宋体" w:hAnsi="宋体"/>
                <w:sz w:val="20"/>
              </w:rPr>
            </w:pPr>
            <w:r>
              <w:rPr>
                <w:rFonts w:ascii="宋体" w:eastAsia="宋体" w:hAnsi="宋体"/>
                <w:sz w:val="20"/>
              </w:rPr>
              <w:t>观测辅助</w:t>
            </w:r>
          </w:p>
        </w:tc>
        <w:tc>
          <w:tcPr>
            <w:tcW w:w="0" w:type="auto"/>
          </w:tcPr>
          <w:p w14:paraId="70B9C7F1" w14:textId="77777777" w:rsidR="007E1F4F" w:rsidRDefault="00000000">
            <w:pPr>
              <w:rPr>
                <w:rFonts w:ascii="宋体" w:eastAsia="宋体" w:hAnsi="宋体"/>
                <w:sz w:val="20"/>
              </w:rPr>
            </w:pPr>
            <w:r>
              <w:rPr>
                <w:rFonts w:ascii="宋体" w:eastAsia="宋体" w:hAnsi="宋体"/>
                <w:sz w:val="20"/>
              </w:rPr>
              <w:t>outdoor_lux</w:t>
            </w:r>
          </w:p>
        </w:tc>
        <w:tc>
          <w:tcPr>
            <w:tcW w:w="0" w:type="auto"/>
          </w:tcPr>
          <w:p w14:paraId="22385161" w14:textId="77777777" w:rsidR="007E1F4F" w:rsidRDefault="00000000">
            <w:pPr>
              <w:rPr>
                <w:rFonts w:ascii="宋体" w:eastAsia="宋体" w:hAnsi="宋体"/>
                <w:sz w:val="20"/>
              </w:rPr>
            </w:pPr>
            <w:r>
              <w:rPr>
                <w:rFonts w:ascii="宋体" w:eastAsia="宋体" w:hAnsi="宋体"/>
                <w:sz w:val="20"/>
              </w:rPr>
              <w:t>室外水平照度</w:t>
            </w:r>
          </w:p>
        </w:tc>
      </w:tr>
      <w:tr w:rsidR="007E1F4F" w14:paraId="76AFF83D" w14:textId="77777777">
        <w:tblPrEx>
          <w:tblCellMar>
            <w:top w:w="0" w:type="dxa"/>
            <w:bottom w:w="0" w:type="dxa"/>
          </w:tblCellMar>
        </w:tblPrEx>
        <w:tc>
          <w:tcPr>
            <w:tcW w:w="0" w:type="auto"/>
          </w:tcPr>
          <w:p w14:paraId="60A61B64" w14:textId="77777777" w:rsidR="007E1F4F" w:rsidRDefault="00000000">
            <w:pPr>
              <w:rPr>
                <w:rFonts w:ascii="宋体" w:eastAsia="宋体" w:hAnsi="宋体"/>
                <w:sz w:val="20"/>
              </w:rPr>
            </w:pPr>
            <w:r>
              <w:rPr>
                <w:rFonts w:ascii="宋体" w:eastAsia="宋体" w:hAnsi="宋体"/>
                <w:sz w:val="20"/>
              </w:rPr>
              <w:t>类别</w:t>
            </w:r>
          </w:p>
        </w:tc>
        <w:tc>
          <w:tcPr>
            <w:tcW w:w="0" w:type="auto"/>
          </w:tcPr>
          <w:p w14:paraId="5F75B9FF" w14:textId="77777777" w:rsidR="007E1F4F" w:rsidRDefault="00000000">
            <w:pPr>
              <w:rPr>
                <w:rFonts w:ascii="宋体" w:eastAsia="宋体" w:hAnsi="宋体"/>
                <w:sz w:val="20"/>
              </w:rPr>
            </w:pPr>
            <w:r>
              <w:rPr>
                <w:rFonts w:ascii="宋体" w:eastAsia="宋体" w:hAnsi="宋体"/>
                <w:sz w:val="20"/>
              </w:rPr>
              <w:t>weather、sky_condition、location_code</w:t>
            </w:r>
          </w:p>
        </w:tc>
        <w:tc>
          <w:tcPr>
            <w:tcW w:w="0" w:type="auto"/>
          </w:tcPr>
          <w:p w14:paraId="426D5057" w14:textId="77777777" w:rsidR="007E1F4F" w:rsidRDefault="00000000">
            <w:pPr>
              <w:rPr>
                <w:rFonts w:ascii="宋体" w:eastAsia="宋体" w:hAnsi="宋体"/>
                <w:sz w:val="20"/>
              </w:rPr>
            </w:pPr>
            <w:r>
              <w:rPr>
                <w:rFonts w:ascii="宋体" w:eastAsia="宋体" w:hAnsi="宋体"/>
                <w:sz w:val="20"/>
              </w:rPr>
              <w:t>天气类别、天空状况、站点</w:t>
            </w:r>
          </w:p>
        </w:tc>
      </w:tr>
    </w:tbl>
    <w:p w14:paraId="57D325CF" w14:textId="77777777" w:rsidR="007E1F4F" w:rsidRDefault="00000000">
      <w:pPr>
        <w:spacing w:line="360" w:lineRule="auto"/>
        <w:ind w:firstLine="480"/>
        <w:jc w:val="both"/>
      </w:pPr>
      <w:r>
        <w:rPr>
          <w:rFonts w:ascii="宋体" w:eastAsia="宋体" w:hAnsi="宋体"/>
          <w:sz w:val="24"/>
        </w:rPr>
        <w:t>预处理统一放进 sklearn 的 ColumnTransformer：数值特征做标准化（KNN、MLP 和线性模型对特征尺度敏感），三个类别特征做独热编码。Pipeline 把预处理和模型连在一起，保证训练集和测试集的处理方式完全一致：</w:t>
      </w:r>
    </w:p>
    <w:p w14:paraId="5A5E5462" w14:textId="77777777" w:rsidR="007E1F4F" w:rsidRDefault="00000000">
      <w:pPr>
        <w:shd w:val="clear" w:color="auto" w:fill="F2F2F2"/>
        <w:spacing w:before="120" w:after="120" w:line="240" w:lineRule="auto"/>
      </w:pPr>
      <w:r>
        <w:rPr>
          <w:rFonts w:ascii="Courier New" w:eastAsia="宋体" w:hAnsi="Courier New"/>
          <w:sz w:val="20"/>
        </w:rPr>
        <w:t>ColumnTransformer(</w:t>
      </w:r>
      <w:r>
        <w:rPr>
          <w:rFonts w:ascii="Courier New" w:eastAsia="宋体" w:hAnsi="Courier New"/>
          <w:sz w:val="20"/>
        </w:rPr>
        <w:br/>
        <w:t xml:space="preserve">    transformers=[</w:t>
      </w:r>
      <w:r>
        <w:rPr>
          <w:rFonts w:ascii="Courier New" w:eastAsia="宋体" w:hAnsi="Courier New"/>
          <w:sz w:val="20"/>
        </w:rPr>
        <w:br/>
        <w:t xml:space="preserve">        ("num", StandardScaler(), NUMERIC_FEATURES),</w:t>
      </w:r>
      <w:r>
        <w:rPr>
          <w:rFonts w:ascii="Courier New" w:eastAsia="宋体" w:hAnsi="Courier New"/>
          <w:sz w:val="20"/>
        </w:rPr>
        <w:br/>
        <w:t xml:space="preserve">        ("cat", make_one_hot_encoder(), CATEGORICAL_FEATURES),</w:t>
      </w:r>
      <w:r>
        <w:rPr>
          <w:rFonts w:ascii="Courier New" w:eastAsia="宋体" w:hAnsi="Courier New"/>
          <w:sz w:val="20"/>
        </w:rPr>
        <w:br/>
        <w:t xml:space="preserve">    ],</w:t>
      </w:r>
      <w:r>
        <w:rPr>
          <w:rFonts w:ascii="Courier New" w:eastAsia="宋体" w:hAnsi="Courier New"/>
          <w:sz w:val="20"/>
        </w:rPr>
        <w:br/>
        <w:t xml:space="preserve">    remainder="drop",</w:t>
      </w:r>
      <w:r>
        <w:rPr>
          <w:rFonts w:ascii="Courier New" w:eastAsia="宋体" w:hAnsi="Courier New"/>
          <w:sz w:val="20"/>
        </w:rPr>
        <w:br/>
        <w:t>)</w:t>
      </w:r>
    </w:p>
    <w:p w14:paraId="6FD819CD" w14:textId="77777777" w:rsidR="007E1F4F" w:rsidRDefault="00000000">
      <w:bookmarkStart w:id="13" w:name="_Tocd120005b"/>
      <w:r>
        <w:rPr>
          <w:rFonts w:ascii="黑体" w:eastAsia="黑体" w:hAnsi="黑体"/>
          <w:b/>
          <w:sz w:val="28"/>
        </w:rPr>
        <w:t>相对光谱归一化</w:t>
      </w:r>
      <w:bookmarkEnd w:id="13"/>
    </w:p>
    <w:p w14:paraId="5062C462" w14:textId="77777777" w:rsidR="007E1F4F" w:rsidRDefault="00000000">
      <w:pPr>
        <w:spacing w:line="360" w:lineRule="auto"/>
        <w:ind w:firstLine="480"/>
        <w:jc w:val="both"/>
      </w:pPr>
      <w:r>
        <w:rPr>
          <w:rFonts w:ascii="宋体" w:eastAsia="宋体" w:hAnsi="宋体"/>
          <w:sz w:val="24"/>
        </w:rPr>
        <w:lastRenderedPageBreak/>
        <w:t>目标侧同样需要处理。每条实测光谱按自身最大值归一化到 0～1，模型预测的是相对光谱（光的成分构成），而非绝对辐照强度——照度高低由 outdoor_lux 等特征单独表达。这样处理有两个理由：一是下游照明补偿算法关心的是光谱形状而非绝对强度；二是室外照度跨越数万倍量级，如果直接预测绝对光谱，强度差异会淹没形状差异，模型评价也会失真。</w:t>
      </w:r>
    </w:p>
    <w:p w14:paraId="7814C7A1" w14:textId="77777777" w:rsidR="007E1F4F" w:rsidRDefault="00000000">
      <w:bookmarkStart w:id="14" w:name="_Toc8497fb04"/>
      <w:r>
        <w:rPr>
          <w:rFonts w:ascii="黑体" w:eastAsia="黑体" w:hAnsi="黑体"/>
          <w:b/>
          <w:sz w:val="28"/>
        </w:rPr>
        <w:t>数据观察</w:t>
      </w:r>
      <w:bookmarkEnd w:id="14"/>
    </w:p>
    <w:p w14:paraId="503B5822" w14:textId="77777777" w:rsidR="007E1F4F" w:rsidRDefault="00000000">
      <w:pPr>
        <w:spacing w:line="360" w:lineRule="auto"/>
        <w:ind w:firstLine="480"/>
        <w:jc w:val="both"/>
      </w:pPr>
      <w:r>
        <w:rPr>
          <w:rFonts w:ascii="宋体" w:eastAsia="宋体" w:hAnsi="宋体"/>
          <w:sz w:val="24"/>
        </w:rPr>
        <w:t>清洗后的数据集没有缺失值，天气类别分布为晴 3156、雨 1657、阴 514、多云 337。下面两张图说明环境条件确实会改变光照情况——不同天气下平均相对光谱形态不同，一天中室外照度随时间有明显的钟形变化——用环境特征估计光谱因此具有合理性。</w:t>
      </w:r>
    </w:p>
    <w:p w14:paraId="0FB0F8BB" w14:textId="77777777" w:rsidR="007E1F4F" w:rsidRDefault="00000000">
      <w:pPr>
        <w:spacing w:line="240" w:lineRule="auto"/>
      </w:pPr>
      <w:r>
        <w:rPr>
          <w:noProof/>
        </w:rPr>
        <w:drawing>
          <wp:inline distT="0" distB="0" distL="0" distR="0" wp14:anchorId="2901A39B" wp14:editId="3EEE2935">
            <wp:extent cx="2700000" cy="1681667"/>
            <wp:effectExtent l="0" t="0" r="0" b="0"/>
            <wp:docPr id="1" name="不同天气下平均相对光谱对比" descr="不同天气下平均相对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不同天气下平均相对光谱对比"/>
                    <pic:cNvPicPr/>
                  </pic:nvPicPr>
                  <pic:blipFill>
                    <a:blip r:embed="rId4" cstate="print"/>
                    <a:stretch>
                      <a:fillRect/>
                    </a:stretch>
                  </pic:blipFill>
                  <pic:spPr>
                    <a:xfrm>
                      <a:off x="0" y="0"/>
                      <a:ext cx="2700000" cy="1681667"/>
                    </a:xfrm>
                    <a:prstGeom prst="rect">
                      <a:avLst/>
                    </a:prstGeom>
                  </pic:spPr>
                </pic:pic>
              </a:graphicData>
            </a:graphic>
          </wp:inline>
        </w:drawing>
      </w:r>
    </w:p>
    <w:p w14:paraId="1342D263" w14:textId="77777777" w:rsidR="007E1F4F" w:rsidRDefault="00000000">
      <w:pPr>
        <w:spacing w:line="240" w:lineRule="auto"/>
      </w:pPr>
      <w:r>
        <w:rPr>
          <w:noProof/>
        </w:rPr>
        <w:drawing>
          <wp:inline distT="0" distB="0" distL="0" distR="0" wp14:anchorId="51AF9D0F" wp14:editId="59293B3D">
            <wp:extent cx="2700000" cy="1577389"/>
            <wp:effectExtent l="0" t="0" r="0" b="0"/>
            <wp:docPr id="2" name="一天中室外照度变化" descr="一天中室外照度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一天中室外照度变化"/>
                    <pic:cNvPicPr/>
                  </pic:nvPicPr>
                  <pic:blipFill>
                    <a:blip r:embed="rId5" cstate="print"/>
                    <a:stretch>
                      <a:fillRect/>
                    </a:stretch>
                  </pic:blipFill>
                  <pic:spPr>
                    <a:xfrm>
                      <a:off x="0" y="0"/>
                      <a:ext cx="2700000" cy="1577389"/>
                    </a:xfrm>
                    <a:prstGeom prst="rect">
                      <a:avLst/>
                    </a:prstGeom>
                  </pic:spPr>
                </pic:pic>
              </a:graphicData>
            </a:graphic>
          </wp:inline>
        </w:drawing>
      </w:r>
    </w:p>
    <w:p w14:paraId="058DD924" w14:textId="77777777" w:rsidR="007E1F4F" w:rsidRDefault="00000000">
      <w:bookmarkStart w:id="15" w:name="_Toc2ca32606"/>
      <w:r>
        <w:rPr>
          <w:rFonts w:ascii="黑体" w:eastAsia="黑体" w:hAnsi="黑体"/>
          <w:b/>
          <w:sz w:val="32"/>
        </w:rPr>
        <w:t>六、PCA 光谱降维</w:t>
      </w:r>
      <w:bookmarkEnd w:id="15"/>
    </w:p>
    <w:p w14:paraId="2DCFDDE5" w14:textId="77777777" w:rsidR="007E1F4F" w:rsidRDefault="00000000">
      <w:pPr>
        <w:spacing w:line="360" w:lineRule="auto"/>
        <w:ind w:firstLine="480"/>
        <w:jc w:val="both"/>
      </w:pPr>
      <w:r>
        <w:rPr>
          <w:rFonts w:ascii="宋体" w:eastAsia="宋体" w:hAnsi="宋体"/>
          <w:sz w:val="24"/>
        </w:rPr>
        <w:t>我们面对的机器学习问题可以写成 f(x) → S(λ)，其中 x 是环境特征，S(λ) 是 41 维相对光谱。光谱相邻波长之间变化平滑、相关性强，直接让模型输出 41 个值，既增加训练负担，也难以解释。PCA 把 41 维光谱压缩成少量主成分，对光谱矩阵 X 标准化后投影：Z = XW, Ẑ = f(x), X̂ = ẐW^T。模型预测的是主成分系数 Ẑ，最后用 inverse_transform 还原光谱。代码实现封装在 spectrum_pca.py：</w:t>
      </w:r>
    </w:p>
    <w:p w14:paraId="1A806D4A" w14:textId="77777777" w:rsidR="007E1F4F" w:rsidRDefault="00000000">
      <w:pPr>
        <w:shd w:val="clear" w:color="auto" w:fill="F2F2F2"/>
        <w:spacing w:before="120" w:after="120" w:line="240" w:lineRule="auto"/>
      </w:pPr>
      <w:r>
        <w:rPr>
          <w:rFonts w:ascii="Courier New" w:eastAsia="宋体" w:hAnsi="Courier New"/>
          <w:sz w:val="20"/>
        </w:rPr>
        <w:t>scaled = self.scaler.fit_transform(spectra)</w:t>
      </w:r>
      <w:r>
        <w:rPr>
          <w:rFonts w:ascii="Courier New" w:eastAsia="宋体" w:hAnsi="Courier New"/>
          <w:sz w:val="20"/>
        </w:rPr>
        <w:br/>
        <w:t>components = self.pca.fit_transform(scaled)</w:t>
      </w:r>
    </w:p>
    <w:p w14:paraId="4BED7438" w14:textId="77777777" w:rsidR="007E1F4F" w:rsidRDefault="00000000">
      <w:pPr>
        <w:spacing w:line="360" w:lineRule="auto"/>
        <w:ind w:firstLine="480"/>
        <w:jc w:val="both"/>
      </w:pPr>
      <w:r>
        <w:rPr>
          <w:rFonts w:ascii="宋体" w:eastAsia="宋体" w:hAnsi="宋体"/>
          <w:sz w:val="24"/>
        </w:rPr>
        <w:lastRenderedPageBreak/>
        <w:t>主成分数量不是预先定的。我们先用 10 个主成分观察解释方差：第 1 主成分解释 84.0%，前 5 个累计 98.3%，之后每个主成分的贡献都不足 1%。继续增加主成分对还原精度帮助很小，反而加大模型输出维度，正式实验因此保留 5 个主成分。</w:t>
      </w:r>
    </w:p>
    <w:p w14:paraId="6F9054FE" w14:textId="77777777" w:rsidR="007E1F4F" w:rsidRDefault="00000000">
      <w:pPr>
        <w:spacing w:line="240" w:lineRule="auto"/>
      </w:pPr>
      <w:r>
        <w:rPr>
          <w:noProof/>
        </w:rPr>
        <w:drawing>
          <wp:inline distT="0" distB="0" distL="0" distR="0" wp14:anchorId="1DD2777E" wp14:editId="2E3ED891">
            <wp:extent cx="5040000" cy="3189152"/>
            <wp:effectExtent l="0" t="0" r="0" b="0"/>
            <wp:docPr id="3" name="PCA 主成分解释方差" descr="PCA 主成分解释方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A 主成分解释方差"/>
                    <pic:cNvPicPr/>
                  </pic:nvPicPr>
                  <pic:blipFill>
                    <a:blip r:embed="rId6" cstate="print"/>
                    <a:stretch>
                      <a:fillRect/>
                    </a:stretch>
                  </pic:blipFill>
                  <pic:spPr>
                    <a:xfrm>
                      <a:off x="0" y="0"/>
                      <a:ext cx="5040000" cy="3189152"/>
                    </a:xfrm>
                    <a:prstGeom prst="rect">
                      <a:avLst/>
                    </a:prstGeom>
                  </pic:spPr>
                </pic:pic>
              </a:graphicData>
            </a:graphic>
          </wp:inline>
        </w:drawing>
      </w:r>
    </w:p>
    <w:p w14:paraId="0F198D83" w14:textId="77777777" w:rsidR="007E1F4F" w:rsidRDefault="00000000">
      <w:bookmarkStart w:id="16" w:name="_Tocc75bdb0b"/>
      <w:r>
        <w:rPr>
          <w:rFonts w:ascii="黑体" w:eastAsia="黑体" w:hAnsi="黑体"/>
          <w:b/>
          <w:sz w:val="32"/>
        </w:rPr>
        <w:t>七、模型训练与模型对比</w:t>
      </w:r>
      <w:bookmarkEnd w:id="16"/>
    </w:p>
    <w:p w14:paraId="62568A05" w14:textId="77777777" w:rsidR="007E1F4F" w:rsidRDefault="00000000">
      <w:bookmarkStart w:id="17" w:name="_Toc9245d70e"/>
      <w:r>
        <w:rPr>
          <w:rFonts w:ascii="黑体" w:eastAsia="黑体" w:hAnsi="黑体"/>
          <w:b/>
          <w:sz w:val="28"/>
        </w:rPr>
        <w:t>候选模型</w:t>
      </w:r>
      <w:bookmarkEnd w:id="17"/>
    </w:p>
    <w:p w14:paraId="2CF9BAD5" w14:textId="77777777" w:rsidR="007E1F4F" w:rsidRDefault="00000000">
      <w:pPr>
        <w:spacing w:line="360" w:lineRule="auto"/>
        <w:ind w:firstLine="480"/>
        <w:jc w:val="both"/>
      </w:pPr>
      <w:r>
        <w:rPr>
          <w:rFonts w:ascii="宋体" w:eastAsia="宋体" w:hAnsi="宋体"/>
          <w:sz w:val="24"/>
        </w:rPr>
        <w:t>五个模型全部使用 sklearn 标准实现，在相同的训练集、相同特征、相同 PCA 目标下对比：</w:t>
      </w: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1"/>
        <w:gridCol w:w="5171"/>
      </w:tblGrid>
      <w:tr w:rsidR="007E1F4F" w14:paraId="38D9B3A7" w14:textId="77777777">
        <w:tblPrEx>
          <w:tblCellMar>
            <w:top w:w="0" w:type="dxa"/>
            <w:bottom w:w="0" w:type="dxa"/>
          </w:tblCellMar>
        </w:tblPrEx>
        <w:tc>
          <w:tcPr>
            <w:tcW w:w="0" w:type="auto"/>
          </w:tcPr>
          <w:p w14:paraId="03814F21" w14:textId="77777777" w:rsidR="007E1F4F" w:rsidRDefault="00000000">
            <w:pPr>
              <w:jc w:val="center"/>
              <w:rPr>
                <w:rFonts w:ascii="黑体" w:eastAsia="黑体" w:hAnsi="黑体"/>
                <w:b/>
                <w:sz w:val="20"/>
              </w:rPr>
            </w:pPr>
            <w:r>
              <w:rPr>
                <w:rFonts w:ascii="黑体" w:eastAsia="黑体" w:hAnsi="黑体"/>
                <w:b/>
                <w:sz w:val="20"/>
              </w:rPr>
              <w:t>模型</w:t>
            </w:r>
          </w:p>
        </w:tc>
        <w:tc>
          <w:tcPr>
            <w:tcW w:w="0" w:type="auto"/>
          </w:tcPr>
          <w:p w14:paraId="12C55EFC" w14:textId="77777777" w:rsidR="007E1F4F" w:rsidRDefault="00000000">
            <w:pPr>
              <w:jc w:val="center"/>
              <w:rPr>
                <w:rFonts w:ascii="黑体" w:eastAsia="黑体" w:hAnsi="黑体"/>
                <w:b/>
                <w:sz w:val="20"/>
              </w:rPr>
            </w:pPr>
            <w:r>
              <w:rPr>
                <w:rFonts w:ascii="黑体" w:eastAsia="黑体" w:hAnsi="黑体"/>
                <w:b/>
                <w:sz w:val="20"/>
              </w:rPr>
              <w:t>特点</w:t>
            </w:r>
          </w:p>
        </w:tc>
      </w:tr>
      <w:tr w:rsidR="007E1F4F" w14:paraId="0D1299F5" w14:textId="77777777">
        <w:tblPrEx>
          <w:tblCellMar>
            <w:top w:w="0" w:type="dxa"/>
            <w:bottom w:w="0" w:type="dxa"/>
          </w:tblCellMar>
        </w:tblPrEx>
        <w:tc>
          <w:tcPr>
            <w:tcW w:w="0" w:type="auto"/>
          </w:tcPr>
          <w:p w14:paraId="12CDD9CC" w14:textId="77777777" w:rsidR="007E1F4F" w:rsidRDefault="00000000">
            <w:pPr>
              <w:rPr>
                <w:rFonts w:ascii="宋体" w:eastAsia="宋体" w:hAnsi="宋体"/>
                <w:sz w:val="20"/>
              </w:rPr>
            </w:pPr>
            <w:r>
              <w:rPr>
                <w:rFonts w:ascii="宋体" w:eastAsia="宋体" w:hAnsi="宋体"/>
                <w:sz w:val="20"/>
              </w:rPr>
              <w:t>Linear Regression</w:t>
            </w:r>
          </w:p>
        </w:tc>
        <w:tc>
          <w:tcPr>
            <w:tcW w:w="0" w:type="auto"/>
          </w:tcPr>
          <w:p w14:paraId="7E292F90" w14:textId="77777777" w:rsidR="007E1F4F" w:rsidRDefault="00000000">
            <w:pPr>
              <w:rPr>
                <w:rFonts w:ascii="宋体" w:eastAsia="宋体" w:hAnsi="宋体"/>
                <w:sz w:val="20"/>
              </w:rPr>
            </w:pPr>
            <w:r>
              <w:rPr>
                <w:rFonts w:ascii="宋体" w:eastAsia="宋体" w:hAnsi="宋体"/>
                <w:sz w:val="20"/>
              </w:rPr>
              <w:t>线性基准，观察简单线性关系能达到的水平</w:t>
            </w:r>
          </w:p>
        </w:tc>
      </w:tr>
      <w:tr w:rsidR="007E1F4F" w14:paraId="1740EC7B" w14:textId="77777777">
        <w:tblPrEx>
          <w:tblCellMar>
            <w:top w:w="0" w:type="dxa"/>
            <w:bottom w:w="0" w:type="dxa"/>
          </w:tblCellMar>
        </w:tblPrEx>
        <w:tc>
          <w:tcPr>
            <w:tcW w:w="0" w:type="auto"/>
          </w:tcPr>
          <w:p w14:paraId="1DA8FC09" w14:textId="77777777" w:rsidR="007E1F4F" w:rsidRDefault="00000000">
            <w:pPr>
              <w:rPr>
                <w:rFonts w:ascii="宋体" w:eastAsia="宋体" w:hAnsi="宋体"/>
                <w:sz w:val="20"/>
              </w:rPr>
            </w:pPr>
            <w:r>
              <w:rPr>
                <w:rFonts w:ascii="宋体" w:eastAsia="宋体" w:hAnsi="宋体"/>
                <w:sz w:val="20"/>
              </w:rPr>
              <w:t>KNN Regressor</w:t>
            </w:r>
          </w:p>
        </w:tc>
        <w:tc>
          <w:tcPr>
            <w:tcW w:w="0" w:type="auto"/>
          </w:tcPr>
          <w:p w14:paraId="76D9A94D" w14:textId="77777777" w:rsidR="007E1F4F" w:rsidRDefault="00000000">
            <w:pPr>
              <w:rPr>
                <w:rFonts w:ascii="宋体" w:eastAsia="宋体" w:hAnsi="宋体"/>
                <w:sz w:val="20"/>
              </w:rPr>
            </w:pPr>
            <w:r>
              <w:rPr>
                <w:rFonts w:ascii="宋体" w:eastAsia="宋体" w:hAnsi="宋体"/>
                <w:sz w:val="20"/>
              </w:rPr>
              <w:t>用相似环境样本做预测，直观对照</w:t>
            </w:r>
          </w:p>
        </w:tc>
      </w:tr>
      <w:tr w:rsidR="007E1F4F" w14:paraId="3AEF3212" w14:textId="77777777">
        <w:tblPrEx>
          <w:tblCellMar>
            <w:top w:w="0" w:type="dxa"/>
            <w:bottom w:w="0" w:type="dxa"/>
          </w:tblCellMar>
        </w:tblPrEx>
        <w:tc>
          <w:tcPr>
            <w:tcW w:w="0" w:type="auto"/>
          </w:tcPr>
          <w:p w14:paraId="30BCE7C0" w14:textId="77777777" w:rsidR="007E1F4F" w:rsidRDefault="00000000">
            <w:pPr>
              <w:rPr>
                <w:rFonts w:ascii="宋体" w:eastAsia="宋体" w:hAnsi="宋体"/>
                <w:sz w:val="20"/>
              </w:rPr>
            </w:pPr>
            <w:r>
              <w:rPr>
                <w:rFonts w:ascii="宋体" w:eastAsia="宋体" w:hAnsi="宋体"/>
                <w:sz w:val="20"/>
              </w:rPr>
              <w:t>Decision Tree Regressor</w:t>
            </w:r>
          </w:p>
        </w:tc>
        <w:tc>
          <w:tcPr>
            <w:tcW w:w="0" w:type="auto"/>
          </w:tcPr>
          <w:p w14:paraId="5A138C03" w14:textId="77777777" w:rsidR="007E1F4F" w:rsidRDefault="00000000">
            <w:pPr>
              <w:rPr>
                <w:rFonts w:ascii="宋体" w:eastAsia="宋体" w:hAnsi="宋体"/>
                <w:sz w:val="20"/>
              </w:rPr>
            </w:pPr>
            <w:r>
              <w:rPr>
                <w:rFonts w:ascii="宋体" w:eastAsia="宋体" w:hAnsi="宋体"/>
                <w:sz w:val="20"/>
              </w:rPr>
              <w:t>处理非线性关系，结构容易解释</w:t>
            </w:r>
          </w:p>
        </w:tc>
      </w:tr>
      <w:tr w:rsidR="007E1F4F" w14:paraId="4B5B30FC" w14:textId="77777777">
        <w:tblPrEx>
          <w:tblCellMar>
            <w:top w:w="0" w:type="dxa"/>
            <w:bottom w:w="0" w:type="dxa"/>
          </w:tblCellMar>
        </w:tblPrEx>
        <w:tc>
          <w:tcPr>
            <w:tcW w:w="0" w:type="auto"/>
          </w:tcPr>
          <w:p w14:paraId="0560B45C" w14:textId="77777777" w:rsidR="007E1F4F" w:rsidRDefault="00000000">
            <w:pPr>
              <w:rPr>
                <w:rFonts w:ascii="宋体" w:eastAsia="宋体" w:hAnsi="宋体"/>
                <w:sz w:val="20"/>
              </w:rPr>
            </w:pPr>
            <w:r>
              <w:rPr>
                <w:rFonts w:ascii="宋体" w:eastAsia="宋体" w:hAnsi="宋体"/>
                <w:sz w:val="20"/>
              </w:rPr>
              <w:t>Random Forest Regressor</w:t>
            </w:r>
          </w:p>
        </w:tc>
        <w:tc>
          <w:tcPr>
            <w:tcW w:w="0" w:type="auto"/>
          </w:tcPr>
          <w:p w14:paraId="69F3DC66" w14:textId="77777777" w:rsidR="007E1F4F" w:rsidRDefault="00000000">
            <w:pPr>
              <w:rPr>
                <w:rFonts w:ascii="宋体" w:eastAsia="宋体" w:hAnsi="宋体"/>
                <w:sz w:val="20"/>
              </w:rPr>
            </w:pPr>
            <w:r>
              <w:rPr>
                <w:rFonts w:ascii="宋体" w:eastAsia="宋体" w:hAnsi="宋体"/>
                <w:sz w:val="20"/>
              </w:rPr>
              <w:t>多棵决策树集成，稳定性好</w:t>
            </w:r>
          </w:p>
        </w:tc>
      </w:tr>
      <w:tr w:rsidR="007E1F4F" w14:paraId="51F8FA55" w14:textId="77777777">
        <w:tblPrEx>
          <w:tblCellMar>
            <w:top w:w="0" w:type="dxa"/>
            <w:bottom w:w="0" w:type="dxa"/>
          </w:tblCellMar>
        </w:tblPrEx>
        <w:tc>
          <w:tcPr>
            <w:tcW w:w="0" w:type="auto"/>
          </w:tcPr>
          <w:p w14:paraId="04731E06" w14:textId="77777777" w:rsidR="007E1F4F" w:rsidRDefault="00000000">
            <w:pPr>
              <w:rPr>
                <w:rFonts w:ascii="宋体" w:eastAsia="宋体" w:hAnsi="宋体"/>
                <w:sz w:val="20"/>
              </w:rPr>
            </w:pPr>
            <w:r>
              <w:rPr>
                <w:rFonts w:ascii="宋体" w:eastAsia="宋体" w:hAnsi="宋体"/>
                <w:sz w:val="20"/>
              </w:rPr>
              <w:t>MLP Regressor</w:t>
            </w:r>
          </w:p>
        </w:tc>
        <w:tc>
          <w:tcPr>
            <w:tcW w:w="0" w:type="auto"/>
          </w:tcPr>
          <w:p w14:paraId="4F5383ED" w14:textId="77777777" w:rsidR="007E1F4F" w:rsidRDefault="00000000">
            <w:pPr>
              <w:rPr>
                <w:rFonts w:ascii="宋体" w:eastAsia="宋体" w:hAnsi="宋体"/>
                <w:sz w:val="20"/>
              </w:rPr>
            </w:pPr>
            <w:r>
              <w:rPr>
                <w:rFonts w:ascii="宋体" w:eastAsia="宋体" w:hAnsi="宋体"/>
                <w:sz w:val="20"/>
              </w:rPr>
              <w:t>神经网络，检验非线性拟合能力</w:t>
            </w:r>
          </w:p>
        </w:tc>
      </w:tr>
    </w:tbl>
    <w:p w14:paraId="57A8638C" w14:textId="77777777" w:rsidR="007E1F4F" w:rsidRDefault="00000000">
      <w:pPr>
        <w:spacing w:line="360" w:lineRule="auto"/>
        <w:ind w:firstLine="480"/>
        <w:jc w:val="both"/>
      </w:pPr>
      <w:r>
        <w:rPr>
          <w:rFonts w:ascii="宋体" w:eastAsia="宋体" w:hAnsi="宋体"/>
          <w:sz w:val="24"/>
        </w:rPr>
        <w:t>MLP 使用 sklearn.neural_network.MLPRegressor，参数设为 hidden_layer_sizes=(128, 64)、max_iter=600、learning_rate_init=1e-3，并开启 early_stopping 防止过拟合——MLP 对标准化、参数和数据规模都比较敏感，控制网络规模才能在课程环境下稳定收敛。随机森林参数后续调优决定，先用默认参数。本项目未将 CNN 纳入主实验：输入为表格型环境特征，CNN 更适合图像或序列数据，留待改进方向。</w:t>
      </w:r>
    </w:p>
    <w:p w14:paraId="71FFD570" w14:textId="77777777" w:rsidR="007E1F4F" w:rsidRDefault="00000000">
      <w:bookmarkStart w:id="18" w:name="_Toc5d927417"/>
      <w:r>
        <w:rPr>
          <w:rFonts w:ascii="黑体" w:eastAsia="黑体" w:hAnsi="黑体"/>
          <w:b/>
          <w:sz w:val="28"/>
        </w:rPr>
        <w:t>训练流程</w:t>
      </w:r>
      <w:bookmarkEnd w:id="18"/>
    </w:p>
    <w:p w14:paraId="7EAC12E2" w14:textId="77777777" w:rsidR="007E1F4F" w:rsidRDefault="00000000">
      <w:pPr>
        <w:spacing w:line="360" w:lineRule="auto"/>
        <w:ind w:firstLine="480"/>
        <w:jc w:val="both"/>
      </w:pPr>
      <w:r>
        <w:rPr>
          <w:rFonts w:ascii="宋体" w:eastAsia="宋体" w:hAnsi="宋体"/>
          <w:sz w:val="24"/>
        </w:rPr>
        <w:lastRenderedPageBreak/>
        <w:t>训练流程概括为：提取特征和相对光谱标签，PCA 得到主成分系数，按天气类别分层划分 80% 训练集和 20% 测试集，循环训练五个模型并记录每个模型的训练时间和预测时间，预测结果统一经 PCA 逆变换还原回光谱空间后评价。</w:t>
      </w:r>
    </w:p>
    <w:p w14:paraId="2A5D6934" w14:textId="77777777" w:rsidR="007E1F4F" w:rsidRDefault="00000000">
      <w:pPr>
        <w:shd w:val="clear" w:color="auto" w:fill="F2F2F2"/>
        <w:spacing w:before="120" w:after="120" w:line="240" w:lineRule="auto"/>
      </w:pPr>
      <w:r>
        <w:rPr>
          <w:rFonts w:ascii="Courier New" w:eastAsia="宋体" w:hAnsi="Courier New"/>
          <w:sz w:val="20"/>
        </w:rPr>
        <w:t>pipeline = Pipeline(steps=[("preprocess", build_preprocessor()), ("model", model)])</w:t>
      </w:r>
      <w:r>
        <w:rPr>
          <w:rFonts w:ascii="Courier New" w:eastAsia="宋体" w:hAnsi="Courier New"/>
          <w:sz w:val="20"/>
        </w:rPr>
        <w:br/>
        <w:t>pipeline.fit(x_train, y_train_pca)</w:t>
      </w:r>
      <w:r>
        <w:rPr>
          <w:rFonts w:ascii="Courier New" w:eastAsia="宋体" w:hAnsi="Courier New"/>
          <w:sz w:val="20"/>
        </w:rPr>
        <w:br/>
        <w:t>y_pred_pca = pipeline.predict(x_test)</w:t>
      </w:r>
      <w:r>
        <w:rPr>
          <w:rFonts w:ascii="Courier New" w:eastAsia="宋体" w:hAnsi="Courier New"/>
          <w:sz w:val="20"/>
        </w:rPr>
        <w:br/>
        <w:t>y_pred = spectrum_pca.inverse_transform(y_pred_pca)</w:t>
      </w:r>
    </w:p>
    <w:p w14:paraId="5C99C888" w14:textId="77777777" w:rsidR="007E1F4F" w:rsidRDefault="00000000">
      <w:bookmarkStart w:id="19" w:name="_Toce476e09a"/>
      <w:r>
        <w:rPr>
          <w:rFonts w:ascii="黑体" w:eastAsia="黑体" w:hAnsi="黑体"/>
          <w:b/>
          <w:sz w:val="28"/>
        </w:rPr>
        <w:t>评价指标</w:t>
      </w:r>
      <w:bookmarkEnd w:id="19"/>
    </w:p>
    <w:p w14:paraId="12AEDEAE" w14:textId="77777777" w:rsidR="007E1F4F" w:rsidRDefault="00000000">
      <w:pPr>
        <w:spacing w:line="360" w:lineRule="auto"/>
        <w:ind w:firstLine="480"/>
        <w:jc w:val="both"/>
      </w:pPr>
      <w:r>
        <w:rPr>
          <w:rFonts w:ascii="宋体" w:eastAsia="宋体" w:hAnsi="宋体"/>
          <w:sz w:val="24"/>
        </w:rPr>
        <w:t>统一使用五项指标。平均绝对误差、均方根误差和决定系数衡量精度：MAE = (1/n) Σ|y_i - ŷ_i|, RMSE = √((1/n) Σ(y_i - ŷ_i)²), R² = 1 - Σ(y_i - ŷ_i)²/Σ(y_i - ȳ)²。训练时间和预测时间衡量成本。MAE、RMSE 越小越好，R² 越接近 1 越好；光谱预测只看单个指标不够，我们同时用曲线图检查预测光谱和实测光谱是否贴合。</w:t>
      </w:r>
    </w:p>
    <w:p w14:paraId="59A16172" w14:textId="77777777" w:rsidR="007E1F4F" w:rsidRDefault="00000000">
      <w:bookmarkStart w:id="20" w:name="_Toc735831d1"/>
      <w:r>
        <w:rPr>
          <w:rFonts w:ascii="黑体" w:eastAsia="黑体" w:hAnsi="黑体"/>
          <w:b/>
          <w:sz w:val="32"/>
        </w:rPr>
        <w:t>八、最优模型选择与结果分析</w:t>
      </w:r>
      <w:bookmarkEnd w:id="20"/>
    </w:p>
    <w:p w14:paraId="1F244103" w14:textId="77777777" w:rsidR="007E1F4F" w:rsidRDefault="00000000">
      <w:bookmarkStart w:id="21" w:name="_Tocb37a1008"/>
      <w:r>
        <w:rPr>
          <w:rFonts w:ascii="黑体" w:eastAsia="黑体" w:hAnsi="黑体"/>
          <w:b/>
          <w:sz w:val="28"/>
        </w:rPr>
        <w:t>模型对比结果</w:t>
      </w:r>
      <w:bookmarkEnd w:id="21"/>
    </w:p>
    <w:p w14:paraId="4CDEC776" w14:textId="77777777" w:rsidR="007E1F4F" w:rsidRDefault="00000000">
      <w:pPr>
        <w:spacing w:line="360" w:lineRule="auto"/>
        <w:ind w:firstLine="480"/>
        <w:jc w:val="both"/>
      </w:pPr>
      <w:r>
        <w:rPr>
          <w:rFonts w:ascii="宋体" w:eastAsia="宋体" w:hAnsi="宋体"/>
          <w:sz w:val="24"/>
        </w:rPr>
        <w:t>测试集上的评估结果如下（按 RMSE 升序）：</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1026"/>
        <w:gridCol w:w="1026"/>
        <w:gridCol w:w="884"/>
        <w:gridCol w:w="1461"/>
        <w:gridCol w:w="1461"/>
      </w:tblGrid>
      <w:tr w:rsidR="007E1F4F" w14:paraId="273F174E" w14:textId="77777777">
        <w:tblPrEx>
          <w:tblCellMar>
            <w:top w:w="0" w:type="dxa"/>
            <w:bottom w:w="0" w:type="dxa"/>
          </w:tblCellMar>
        </w:tblPrEx>
        <w:tc>
          <w:tcPr>
            <w:tcW w:w="0" w:type="auto"/>
          </w:tcPr>
          <w:p w14:paraId="1996DCA0" w14:textId="77777777" w:rsidR="007E1F4F" w:rsidRDefault="00000000">
            <w:pPr>
              <w:jc w:val="center"/>
              <w:rPr>
                <w:rFonts w:ascii="黑体" w:eastAsia="黑体" w:hAnsi="黑体"/>
                <w:b/>
                <w:sz w:val="20"/>
              </w:rPr>
            </w:pPr>
            <w:r>
              <w:rPr>
                <w:rFonts w:ascii="黑体" w:eastAsia="黑体" w:hAnsi="黑体"/>
                <w:b/>
                <w:sz w:val="20"/>
              </w:rPr>
              <w:t>模型</w:t>
            </w:r>
          </w:p>
        </w:tc>
        <w:tc>
          <w:tcPr>
            <w:tcW w:w="0" w:type="auto"/>
          </w:tcPr>
          <w:p w14:paraId="4B9AA909" w14:textId="77777777" w:rsidR="007E1F4F" w:rsidRDefault="00000000">
            <w:pPr>
              <w:jc w:val="center"/>
              <w:rPr>
                <w:rFonts w:ascii="黑体" w:eastAsia="黑体" w:hAnsi="黑体"/>
                <w:b/>
                <w:sz w:val="20"/>
              </w:rPr>
            </w:pPr>
            <w:r>
              <w:rPr>
                <w:rFonts w:ascii="黑体" w:eastAsia="黑体" w:hAnsi="黑体"/>
                <w:b/>
                <w:sz w:val="20"/>
              </w:rPr>
              <w:t>MAE</w:t>
            </w:r>
          </w:p>
        </w:tc>
        <w:tc>
          <w:tcPr>
            <w:tcW w:w="0" w:type="auto"/>
          </w:tcPr>
          <w:p w14:paraId="07539FFB" w14:textId="77777777" w:rsidR="007E1F4F" w:rsidRDefault="00000000">
            <w:pPr>
              <w:jc w:val="center"/>
              <w:rPr>
                <w:rFonts w:ascii="黑体" w:eastAsia="黑体" w:hAnsi="黑体"/>
                <w:b/>
                <w:sz w:val="20"/>
              </w:rPr>
            </w:pPr>
            <w:r>
              <w:rPr>
                <w:rFonts w:ascii="黑体" w:eastAsia="黑体" w:hAnsi="黑体"/>
                <w:b/>
                <w:sz w:val="20"/>
              </w:rPr>
              <w:t>RMSE</w:t>
            </w:r>
          </w:p>
        </w:tc>
        <w:tc>
          <w:tcPr>
            <w:tcW w:w="0" w:type="auto"/>
          </w:tcPr>
          <w:p w14:paraId="2E2D0E44" w14:textId="77777777" w:rsidR="007E1F4F" w:rsidRDefault="00000000">
            <w:pPr>
              <w:jc w:val="center"/>
              <w:rPr>
                <w:rFonts w:ascii="黑体" w:eastAsia="黑体" w:hAnsi="黑体"/>
                <w:b/>
                <w:sz w:val="20"/>
              </w:rPr>
            </w:pPr>
            <w:r>
              <w:rPr>
                <w:rFonts w:ascii="黑体" w:eastAsia="黑体" w:hAnsi="黑体"/>
                <w:b/>
                <w:sz w:val="20"/>
              </w:rPr>
              <w:t>R²</w:t>
            </w:r>
          </w:p>
        </w:tc>
        <w:tc>
          <w:tcPr>
            <w:tcW w:w="0" w:type="auto"/>
          </w:tcPr>
          <w:p w14:paraId="11891562" w14:textId="77777777" w:rsidR="007E1F4F" w:rsidRDefault="00000000">
            <w:pPr>
              <w:jc w:val="center"/>
              <w:rPr>
                <w:rFonts w:ascii="黑体" w:eastAsia="黑体" w:hAnsi="黑体"/>
                <w:b/>
                <w:sz w:val="20"/>
              </w:rPr>
            </w:pPr>
            <w:r>
              <w:rPr>
                <w:rFonts w:ascii="黑体" w:eastAsia="黑体" w:hAnsi="黑体"/>
                <w:b/>
                <w:sz w:val="20"/>
              </w:rPr>
              <w:t>训练时间/s</w:t>
            </w:r>
          </w:p>
        </w:tc>
        <w:tc>
          <w:tcPr>
            <w:tcW w:w="0" w:type="auto"/>
          </w:tcPr>
          <w:p w14:paraId="5305F970" w14:textId="77777777" w:rsidR="007E1F4F" w:rsidRDefault="00000000">
            <w:pPr>
              <w:jc w:val="center"/>
              <w:rPr>
                <w:rFonts w:ascii="黑体" w:eastAsia="黑体" w:hAnsi="黑体"/>
                <w:b/>
                <w:sz w:val="20"/>
              </w:rPr>
            </w:pPr>
            <w:r>
              <w:rPr>
                <w:rFonts w:ascii="黑体" w:eastAsia="黑体" w:hAnsi="黑体"/>
                <w:b/>
                <w:sz w:val="20"/>
              </w:rPr>
              <w:t>预测时间/s</w:t>
            </w:r>
          </w:p>
        </w:tc>
      </w:tr>
      <w:tr w:rsidR="007E1F4F" w14:paraId="0BB0BDB7" w14:textId="77777777">
        <w:tblPrEx>
          <w:tblCellMar>
            <w:top w:w="0" w:type="dxa"/>
            <w:bottom w:w="0" w:type="dxa"/>
          </w:tblCellMar>
        </w:tblPrEx>
        <w:tc>
          <w:tcPr>
            <w:tcW w:w="0" w:type="auto"/>
          </w:tcPr>
          <w:p w14:paraId="3A6DC81A" w14:textId="77777777" w:rsidR="007E1F4F" w:rsidRDefault="00000000">
            <w:pPr>
              <w:rPr>
                <w:rFonts w:ascii="宋体" w:eastAsia="宋体" w:hAnsi="宋体"/>
                <w:sz w:val="20"/>
              </w:rPr>
            </w:pPr>
            <w:r>
              <w:rPr>
                <w:rFonts w:ascii="宋体" w:eastAsia="宋体" w:hAnsi="宋体"/>
                <w:sz w:val="20"/>
              </w:rPr>
              <w:t>Random Forest</w:t>
            </w:r>
          </w:p>
        </w:tc>
        <w:tc>
          <w:tcPr>
            <w:tcW w:w="0" w:type="auto"/>
          </w:tcPr>
          <w:p w14:paraId="20A27333" w14:textId="77777777" w:rsidR="007E1F4F" w:rsidRDefault="00000000">
            <w:pPr>
              <w:jc w:val="center"/>
              <w:rPr>
                <w:rFonts w:ascii="宋体" w:eastAsia="宋体" w:hAnsi="宋体"/>
                <w:sz w:val="20"/>
              </w:rPr>
            </w:pPr>
            <w:r>
              <w:rPr>
                <w:rFonts w:ascii="宋体" w:eastAsia="宋体" w:hAnsi="宋体"/>
                <w:sz w:val="20"/>
              </w:rPr>
              <w:t>0.00506</w:t>
            </w:r>
          </w:p>
        </w:tc>
        <w:tc>
          <w:tcPr>
            <w:tcW w:w="0" w:type="auto"/>
          </w:tcPr>
          <w:p w14:paraId="132A38A2" w14:textId="77777777" w:rsidR="007E1F4F" w:rsidRDefault="00000000">
            <w:pPr>
              <w:jc w:val="center"/>
              <w:rPr>
                <w:rFonts w:ascii="宋体" w:eastAsia="宋体" w:hAnsi="宋体"/>
                <w:sz w:val="20"/>
              </w:rPr>
            </w:pPr>
            <w:r>
              <w:rPr>
                <w:rFonts w:ascii="宋体" w:eastAsia="宋体" w:hAnsi="宋体"/>
                <w:sz w:val="20"/>
              </w:rPr>
              <w:t>0.00863</w:t>
            </w:r>
          </w:p>
        </w:tc>
        <w:tc>
          <w:tcPr>
            <w:tcW w:w="0" w:type="auto"/>
          </w:tcPr>
          <w:p w14:paraId="55CB4ECE" w14:textId="77777777" w:rsidR="007E1F4F" w:rsidRDefault="00000000">
            <w:pPr>
              <w:jc w:val="center"/>
              <w:rPr>
                <w:rFonts w:ascii="宋体" w:eastAsia="宋体" w:hAnsi="宋体"/>
                <w:sz w:val="20"/>
              </w:rPr>
            </w:pPr>
            <w:r>
              <w:rPr>
                <w:rFonts w:ascii="宋体" w:eastAsia="宋体" w:hAnsi="宋体"/>
                <w:sz w:val="20"/>
              </w:rPr>
              <w:t>0.9593</w:t>
            </w:r>
          </w:p>
        </w:tc>
        <w:tc>
          <w:tcPr>
            <w:tcW w:w="0" w:type="auto"/>
          </w:tcPr>
          <w:p w14:paraId="739B1843" w14:textId="77777777" w:rsidR="007E1F4F" w:rsidRDefault="00000000">
            <w:pPr>
              <w:jc w:val="center"/>
              <w:rPr>
                <w:rFonts w:ascii="宋体" w:eastAsia="宋体" w:hAnsi="宋体"/>
                <w:sz w:val="20"/>
              </w:rPr>
            </w:pPr>
            <w:r>
              <w:rPr>
                <w:rFonts w:ascii="宋体" w:eastAsia="宋体" w:hAnsi="宋体"/>
                <w:sz w:val="20"/>
              </w:rPr>
              <w:t>0.94</w:t>
            </w:r>
          </w:p>
        </w:tc>
        <w:tc>
          <w:tcPr>
            <w:tcW w:w="0" w:type="auto"/>
          </w:tcPr>
          <w:p w14:paraId="1FFEC3F8" w14:textId="77777777" w:rsidR="007E1F4F" w:rsidRDefault="00000000">
            <w:pPr>
              <w:jc w:val="center"/>
              <w:rPr>
                <w:rFonts w:ascii="宋体" w:eastAsia="宋体" w:hAnsi="宋体"/>
                <w:sz w:val="20"/>
              </w:rPr>
            </w:pPr>
            <w:r>
              <w:rPr>
                <w:rFonts w:ascii="宋体" w:eastAsia="宋体" w:hAnsi="宋体"/>
                <w:sz w:val="20"/>
              </w:rPr>
              <w:t>0.22</w:t>
            </w:r>
          </w:p>
        </w:tc>
      </w:tr>
      <w:tr w:rsidR="007E1F4F" w14:paraId="47A07400" w14:textId="77777777">
        <w:tblPrEx>
          <w:tblCellMar>
            <w:top w:w="0" w:type="dxa"/>
            <w:bottom w:w="0" w:type="dxa"/>
          </w:tblCellMar>
        </w:tblPrEx>
        <w:tc>
          <w:tcPr>
            <w:tcW w:w="0" w:type="auto"/>
          </w:tcPr>
          <w:p w14:paraId="166AC6F0" w14:textId="77777777" w:rsidR="007E1F4F" w:rsidRDefault="00000000">
            <w:pPr>
              <w:rPr>
                <w:rFonts w:ascii="宋体" w:eastAsia="宋体" w:hAnsi="宋体"/>
                <w:sz w:val="20"/>
              </w:rPr>
            </w:pPr>
            <w:r>
              <w:rPr>
                <w:rFonts w:ascii="宋体" w:eastAsia="宋体" w:hAnsi="宋体"/>
                <w:sz w:val="20"/>
              </w:rPr>
              <w:t>KNN</w:t>
            </w:r>
          </w:p>
        </w:tc>
        <w:tc>
          <w:tcPr>
            <w:tcW w:w="0" w:type="auto"/>
          </w:tcPr>
          <w:p w14:paraId="195E942C" w14:textId="77777777" w:rsidR="007E1F4F" w:rsidRDefault="00000000">
            <w:pPr>
              <w:jc w:val="center"/>
              <w:rPr>
                <w:rFonts w:ascii="宋体" w:eastAsia="宋体" w:hAnsi="宋体"/>
                <w:sz w:val="20"/>
              </w:rPr>
            </w:pPr>
            <w:r>
              <w:rPr>
                <w:rFonts w:ascii="宋体" w:eastAsia="宋体" w:hAnsi="宋体"/>
                <w:sz w:val="20"/>
              </w:rPr>
              <w:t>0.00502</w:t>
            </w:r>
          </w:p>
        </w:tc>
        <w:tc>
          <w:tcPr>
            <w:tcW w:w="0" w:type="auto"/>
          </w:tcPr>
          <w:p w14:paraId="5C670B30" w14:textId="77777777" w:rsidR="007E1F4F" w:rsidRDefault="00000000">
            <w:pPr>
              <w:jc w:val="center"/>
              <w:rPr>
                <w:rFonts w:ascii="宋体" w:eastAsia="宋体" w:hAnsi="宋体"/>
                <w:sz w:val="20"/>
              </w:rPr>
            </w:pPr>
            <w:r>
              <w:rPr>
                <w:rFonts w:ascii="宋体" w:eastAsia="宋体" w:hAnsi="宋体"/>
                <w:sz w:val="20"/>
              </w:rPr>
              <w:t>0.00899</w:t>
            </w:r>
          </w:p>
        </w:tc>
        <w:tc>
          <w:tcPr>
            <w:tcW w:w="0" w:type="auto"/>
          </w:tcPr>
          <w:p w14:paraId="78251AE8" w14:textId="77777777" w:rsidR="007E1F4F" w:rsidRDefault="00000000">
            <w:pPr>
              <w:jc w:val="center"/>
              <w:rPr>
                <w:rFonts w:ascii="宋体" w:eastAsia="宋体" w:hAnsi="宋体"/>
                <w:sz w:val="20"/>
              </w:rPr>
            </w:pPr>
            <w:r>
              <w:rPr>
                <w:rFonts w:ascii="宋体" w:eastAsia="宋体" w:hAnsi="宋体"/>
                <w:sz w:val="20"/>
              </w:rPr>
              <w:t>0.9542</w:t>
            </w:r>
          </w:p>
        </w:tc>
        <w:tc>
          <w:tcPr>
            <w:tcW w:w="0" w:type="auto"/>
          </w:tcPr>
          <w:p w14:paraId="42863AC1" w14:textId="77777777" w:rsidR="007E1F4F" w:rsidRDefault="00000000">
            <w:pPr>
              <w:jc w:val="center"/>
              <w:rPr>
                <w:rFonts w:ascii="宋体" w:eastAsia="宋体" w:hAnsi="宋体"/>
                <w:sz w:val="20"/>
              </w:rPr>
            </w:pPr>
            <w:r>
              <w:rPr>
                <w:rFonts w:ascii="宋体" w:eastAsia="宋体" w:hAnsi="宋体"/>
                <w:sz w:val="20"/>
              </w:rPr>
              <w:t>0.03</w:t>
            </w:r>
          </w:p>
        </w:tc>
        <w:tc>
          <w:tcPr>
            <w:tcW w:w="0" w:type="auto"/>
          </w:tcPr>
          <w:p w14:paraId="3288DD59" w14:textId="77777777" w:rsidR="007E1F4F" w:rsidRDefault="00000000">
            <w:pPr>
              <w:jc w:val="center"/>
              <w:rPr>
                <w:rFonts w:ascii="宋体" w:eastAsia="宋体" w:hAnsi="宋体"/>
                <w:sz w:val="20"/>
              </w:rPr>
            </w:pPr>
            <w:r>
              <w:rPr>
                <w:rFonts w:ascii="宋体" w:eastAsia="宋体" w:hAnsi="宋体"/>
                <w:sz w:val="20"/>
              </w:rPr>
              <w:t>0.14</w:t>
            </w:r>
          </w:p>
        </w:tc>
      </w:tr>
      <w:tr w:rsidR="007E1F4F" w14:paraId="26451653" w14:textId="77777777">
        <w:tblPrEx>
          <w:tblCellMar>
            <w:top w:w="0" w:type="dxa"/>
            <w:bottom w:w="0" w:type="dxa"/>
          </w:tblCellMar>
        </w:tblPrEx>
        <w:tc>
          <w:tcPr>
            <w:tcW w:w="0" w:type="auto"/>
          </w:tcPr>
          <w:p w14:paraId="718F0794" w14:textId="77777777" w:rsidR="007E1F4F" w:rsidRDefault="00000000">
            <w:pPr>
              <w:rPr>
                <w:rFonts w:ascii="宋体" w:eastAsia="宋体" w:hAnsi="宋体"/>
                <w:sz w:val="20"/>
              </w:rPr>
            </w:pPr>
            <w:r>
              <w:rPr>
                <w:rFonts w:ascii="宋体" w:eastAsia="宋体" w:hAnsi="宋体"/>
                <w:sz w:val="20"/>
              </w:rPr>
              <w:t>MLP</w:t>
            </w:r>
          </w:p>
        </w:tc>
        <w:tc>
          <w:tcPr>
            <w:tcW w:w="0" w:type="auto"/>
          </w:tcPr>
          <w:p w14:paraId="1722A1F8" w14:textId="77777777" w:rsidR="007E1F4F" w:rsidRDefault="00000000">
            <w:pPr>
              <w:jc w:val="center"/>
              <w:rPr>
                <w:rFonts w:ascii="宋体" w:eastAsia="宋体" w:hAnsi="宋体"/>
                <w:sz w:val="20"/>
              </w:rPr>
            </w:pPr>
            <w:r>
              <w:rPr>
                <w:rFonts w:ascii="宋体" w:eastAsia="宋体" w:hAnsi="宋体"/>
                <w:sz w:val="20"/>
              </w:rPr>
              <w:t>0.00582</w:t>
            </w:r>
          </w:p>
        </w:tc>
        <w:tc>
          <w:tcPr>
            <w:tcW w:w="0" w:type="auto"/>
          </w:tcPr>
          <w:p w14:paraId="26AC5B78" w14:textId="77777777" w:rsidR="007E1F4F" w:rsidRDefault="00000000">
            <w:pPr>
              <w:jc w:val="center"/>
              <w:rPr>
                <w:rFonts w:ascii="宋体" w:eastAsia="宋体" w:hAnsi="宋体"/>
                <w:sz w:val="20"/>
              </w:rPr>
            </w:pPr>
            <w:r>
              <w:rPr>
                <w:rFonts w:ascii="宋体" w:eastAsia="宋体" w:hAnsi="宋体"/>
                <w:sz w:val="20"/>
              </w:rPr>
              <w:t>0.00948</w:t>
            </w:r>
          </w:p>
        </w:tc>
        <w:tc>
          <w:tcPr>
            <w:tcW w:w="0" w:type="auto"/>
          </w:tcPr>
          <w:p w14:paraId="3D3DE329" w14:textId="77777777" w:rsidR="007E1F4F" w:rsidRDefault="00000000">
            <w:pPr>
              <w:jc w:val="center"/>
              <w:rPr>
                <w:rFonts w:ascii="宋体" w:eastAsia="宋体" w:hAnsi="宋体"/>
                <w:sz w:val="20"/>
              </w:rPr>
            </w:pPr>
            <w:r>
              <w:rPr>
                <w:rFonts w:ascii="宋体" w:eastAsia="宋体" w:hAnsi="宋体"/>
                <w:sz w:val="20"/>
              </w:rPr>
              <w:t>0.9625</w:t>
            </w:r>
          </w:p>
        </w:tc>
        <w:tc>
          <w:tcPr>
            <w:tcW w:w="0" w:type="auto"/>
          </w:tcPr>
          <w:p w14:paraId="0A406A33" w14:textId="77777777" w:rsidR="007E1F4F" w:rsidRDefault="00000000">
            <w:pPr>
              <w:jc w:val="center"/>
              <w:rPr>
                <w:rFonts w:ascii="宋体" w:eastAsia="宋体" w:hAnsi="宋体"/>
                <w:sz w:val="20"/>
              </w:rPr>
            </w:pPr>
            <w:r>
              <w:rPr>
                <w:rFonts w:ascii="宋体" w:eastAsia="宋体" w:hAnsi="宋体"/>
                <w:sz w:val="20"/>
              </w:rPr>
              <w:t>1.87</w:t>
            </w:r>
          </w:p>
        </w:tc>
        <w:tc>
          <w:tcPr>
            <w:tcW w:w="0" w:type="auto"/>
          </w:tcPr>
          <w:p w14:paraId="6436D2E2" w14:textId="77777777" w:rsidR="007E1F4F" w:rsidRDefault="00000000">
            <w:pPr>
              <w:jc w:val="center"/>
              <w:rPr>
                <w:rFonts w:ascii="宋体" w:eastAsia="宋体" w:hAnsi="宋体"/>
                <w:sz w:val="20"/>
              </w:rPr>
            </w:pPr>
            <w:r>
              <w:rPr>
                <w:rFonts w:ascii="宋体" w:eastAsia="宋体" w:hAnsi="宋体"/>
                <w:sz w:val="20"/>
              </w:rPr>
              <w:t>0.005</w:t>
            </w:r>
          </w:p>
        </w:tc>
      </w:tr>
      <w:tr w:rsidR="007E1F4F" w14:paraId="1B5A7043" w14:textId="77777777">
        <w:tblPrEx>
          <w:tblCellMar>
            <w:top w:w="0" w:type="dxa"/>
            <w:bottom w:w="0" w:type="dxa"/>
          </w:tblCellMar>
        </w:tblPrEx>
        <w:tc>
          <w:tcPr>
            <w:tcW w:w="0" w:type="auto"/>
          </w:tcPr>
          <w:p w14:paraId="4376290C" w14:textId="77777777" w:rsidR="007E1F4F" w:rsidRDefault="00000000">
            <w:pPr>
              <w:rPr>
                <w:rFonts w:ascii="宋体" w:eastAsia="宋体" w:hAnsi="宋体"/>
                <w:sz w:val="20"/>
              </w:rPr>
            </w:pPr>
            <w:r>
              <w:rPr>
                <w:rFonts w:ascii="宋体" w:eastAsia="宋体" w:hAnsi="宋体"/>
                <w:sz w:val="20"/>
              </w:rPr>
              <w:t>Decision Tree</w:t>
            </w:r>
          </w:p>
        </w:tc>
        <w:tc>
          <w:tcPr>
            <w:tcW w:w="0" w:type="auto"/>
          </w:tcPr>
          <w:p w14:paraId="2711825C" w14:textId="77777777" w:rsidR="007E1F4F" w:rsidRDefault="00000000">
            <w:pPr>
              <w:jc w:val="center"/>
              <w:rPr>
                <w:rFonts w:ascii="宋体" w:eastAsia="宋体" w:hAnsi="宋体"/>
                <w:sz w:val="20"/>
              </w:rPr>
            </w:pPr>
            <w:r>
              <w:rPr>
                <w:rFonts w:ascii="宋体" w:eastAsia="宋体" w:hAnsi="宋体"/>
                <w:sz w:val="20"/>
              </w:rPr>
              <w:t>0.00537</w:t>
            </w:r>
          </w:p>
        </w:tc>
        <w:tc>
          <w:tcPr>
            <w:tcW w:w="0" w:type="auto"/>
          </w:tcPr>
          <w:p w14:paraId="65C2C475" w14:textId="77777777" w:rsidR="007E1F4F" w:rsidRDefault="00000000">
            <w:pPr>
              <w:jc w:val="center"/>
              <w:rPr>
                <w:rFonts w:ascii="宋体" w:eastAsia="宋体" w:hAnsi="宋体"/>
                <w:sz w:val="20"/>
              </w:rPr>
            </w:pPr>
            <w:r>
              <w:rPr>
                <w:rFonts w:ascii="宋体" w:eastAsia="宋体" w:hAnsi="宋体"/>
                <w:sz w:val="20"/>
              </w:rPr>
              <w:t>0.01235</w:t>
            </w:r>
          </w:p>
        </w:tc>
        <w:tc>
          <w:tcPr>
            <w:tcW w:w="0" w:type="auto"/>
          </w:tcPr>
          <w:p w14:paraId="7BF7AFD1" w14:textId="77777777" w:rsidR="007E1F4F" w:rsidRDefault="00000000">
            <w:pPr>
              <w:jc w:val="center"/>
              <w:rPr>
                <w:rFonts w:ascii="宋体" w:eastAsia="宋体" w:hAnsi="宋体"/>
                <w:sz w:val="20"/>
              </w:rPr>
            </w:pPr>
            <w:r>
              <w:rPr>
                <w:rFonts w:ascii="宋体" w:eastAsia="宋体" w:hAnsi="宋体"/>
                <w:sz w:val="20"/>
              </w:rPr>
              <w:t>0.8702</w:t>
            </w:r>
          </w:p>
        </w:tc>
        <w:tc>
          <w:tcPr>
            <w:tcW w:w="0" w:type="auto"/>
          </w:tcPr>
          <w:p w14:paraId="6820D3AB" w14:textId="77777777" w:rsidR="007E1F4F" w:rsidRDefault="00000000">
            <w:pPr>
              <w:jc w:val="center"/>
              <w:rPr>
                <w:rFonts w:ascii="宋体" w:eastAsia="宋体" w:hAnsi="宋体"/>
                <w:sz w:val="20"/>
              </w:rPr>
            </w:pPr>
            <w:r>
              <w:rPr>
                <w:rFonts w:ascii="宋体" w:eastAsia="宋体" w:hAnsi="宋体"/>
                <w:sz w:val="20"/>
              </w:rPr>
              <w:t>0.03</w:t>
            </w:r>
          </w:p>
        </w:tc>
        <w:tc>
          <w:tcPr>
            <w:tcW w:w="0" w:type="auto"/>
          </w:tcPr>
          <w:p w14:paraId="4E6532CB" w14:textId="77777777" w:rsidR="007E1F4F" w:rsidRDefault="00000000">
            <w:pPr>
              <w:jc w:val="center"/>
              <w:rPr>
                <w:rFonts w:ascii="宋体" w:eastAsia="宋体" w:hAnsi="宋体"/>
                <w:sz w:val="20"/>
              </w:rPr>
            </w:pPr>
            <w:r>
              <w:rPr>
                <w:rFonts w:ascii="宋体" w:eastAsia="宋体" w:hAnsi="宋体"/>
                <w:sz w:val="20"/>
              </w:rPr>
              <w:t>0.004</w:t>
            </w:r>
          </w:p>
        </w:tc>
      </w:tr>
      <w:tr w:rsidR="007E1F4F" w14:paraId="7557B304" w14:textId="77777777">
        <w:tblPrEx>
          <w:tblCellMar>
            <w:top w:w="0" w:type="dxa"/>
            <w:bottom w:w="0" w:type="dxa"/>
          </w:tblCellMar>
        </w:tblPrEx>
        <w:tc>
          <w:tcPr>
            <w:tcW w:w="0" w:type="auto"/>
          </w:tcPr>
          <w:p w14:paraId="77917DFF" w14:textId="77777777" w:rsidR="007E1F4F" w:rsidRDefault="00000000">
            <w:pPr>
              <w:rPr>
                <w:rFonts w:ascii="宋体" w:eastAsia="宋体" w:hAnsi="宋体"/>
                <w:sz w:val="20"/>
              </w:rPr>
            </w:pPr>
            <w:r>
              <w:rPr>
                <w:rFonts w:ascii="宋体" w:eastAsia="宋体" w:hAnsi="宋体"/>
                <w:sz w:val="20"/>
              </w:rPr>
              <w:t>Linear Regression</w:t>
            </w:r>
          </w:p>
        </w:tc>
        <w:tc>
          <w:tcPr>
            <w:tcW w:w="0" w:type="auto"/>
          </w:tcPr>
          <w:p w14:paraId="239BA0AA" w14:textId="77777777" w:rsidR="007E1F4F" w:rsidRDefault="00000000">
            <w:pPr>
              <w:jc w:val="center"/>
              <w:rPr>
                <w:rFonts w:ascii="宋体" w:eastAsia="宋体" w:hAnsi="宋体"/>
                <w:sz w:val="20"/>
              </w:rPr>
            </w:pPr>
            <w:r>
              <w:rPr>
                <w:rFonts w:ascii="宋体" w:eastAsia="宋体" w:hAnsi="宋体"/>
                <w:sz w:val="20"/>
              </w:rPr>
              <w:t>0.02255</w:t>
            </w:r>
          </w:p>
        </w:tc>
        <w:tc>
          <w:tcPr>
            <w:tcW w:w="0" w:type="auto"/>
          </w:tcPr>
          <w:p w14:paraId="246F6B5B" w14:textId="77777777" w:rsidR="007E1F4F" w:rsidRDefault="00000000">
            <w:pPr>
              <w:jc w:val="center"/>
              <w:rPr>
                <w:rFonts w:ascii="宋体" w:eastAsia="宋体" w:hAnsi="宋体"/>
                <w:sz w:val="20"/>
              </w:rPr>
            </w:pPr>
            <w:r>
              <w:rPr>
                <w:rFonts w:ascii="宋体" w:eastAsia="宋体" w:hAnsi="宋体"/>
                <w:sz w:val="20"/>
              </w:rPr>
              <w:t>0.03755</w:t>
            </w:r>
          </w:p>
        </w:tc>
        <w:tc>
          <w:tcPr>
            <w:tcW w:w="0" w:type="auto"/>
          </w:tcPr>
          <w:p w14:paraId="6176547A" w14:textId="77777777" w:rsidR="007E1F4F" w:rsidRDefault="00000000">
            <w:pPr>
              <w:jc w:val="center"/>
              <w:rPr>
                <w:rFonts w:ascii="宋体" w:eastAsia="宋体" w:hAnsi="宋体"/>
                <w:sz w:val="20"/>
              </w:rPr>
            </w:pPr>
            <w:r>
              <w:rPr>
                <w:rFonts w:ascii="宋体" w:eastAsia="宋体" w:hAnsi="宋体"/>
                <w:sz w:val="20"/>
              </w:rPr>
              <w:t>0.6353</w:t>
            </w:r>
          </w:p>
        </w:tc>
        <w:tc>
          <w:tcPr>
            <w:tcW w:w="0" w:type="auto"/>
          </w:tcPr>
          <w:p w14:paraId="1393C508" w14:textId="77777777" w:rsidR="007E1F4F" w:rsidRDefault="00000000">
            <w:pPr>
              <w:jc w:val="center"/>
              <w:rPr>
                <w:rFonts w:ascii="宋体" w:eastAsia="宋体" w:hAnsi="宋体"/>
                <w:sz w:val="20"/>
              </w:rPr>
            </w:pPr>
            <w:r>
              <w:rPr>
                <w:rFonts w:ascii="宋体" w:eastAsia="宋体" w:hAnsi="宋体"/>
                <w:sz w:val="20"/>
              </w:rPr>
              <w:t>0.03</w:t>
            </w:r>
          </w:p>
        </w:tc>
        <w:tc>
          <w:tcPr>
            <w:tcW w:w="0" w:type="auto"/>
          </w:tcPr>
          <w:p w14:paraId="26FA8F49" w14:textId="77777777" w:rsidR="007E1F4F" w:rsidRDefault="00000000">
            <w:pPr>
              <w:jc w:val="center"/>
              <w:rPr>
                <w:rFonts w:ascii="宋体" w:eastAsia="宋体" w:hAnsi="宋体"/>
                <w:sz w:val="20"/>
              </w:rPr>
            </w:pPr>
            <w:r>
              <w:rPr>
                <w:rFonts w:ascii="宋体" w:eastAsia="宋体" w:hAnsi="宋体"/>
                <w:sz w:val="20"/>
              </w:rPr>
              <w:t>0.007</w:t>
            </w:r>
          </w:p>
        </w:tc>
      </w:tr>
    </w:tbl>
    <w:p w14:paraId="407B95F1" w14:textId="77777777" w:rsidR="007E1F4F" w:rsidRDefault="00000000">
      <w:pPr>
        <w:spacing w:line="360" w:lineRule="auto"/>
        <w:ind w:firstLine="480"/>
        <w:jc w:val="both"/>
      </w:pPr>
      <w:r>
        <w:rPr>
          <w:rFonts w:ascii="宋体" w:eastAsia="宋体" w:hAnsi="宋体"/>
          <w:sz w:val="24"/>
        </w:rPr>
        <w:t>耗时为单次运行实测值，不同机器和负载下会有浮动；精度指标在固定随机种子下可复现。</w:t>
      </w:r>
    </w:p>
    <w:p w14:paraId="60341132" w14:textId="77777777" w:rsidR="007E1F4F" w:rsidRDefault="00000000">
      <w:pPr>
        <w:spacing w:line="240" w:lineRule="auto"/>
      </w:pPr>
      <w:r>
        <w:rPr>
          <w:noProof/>
        </w:rPr>
        <w:drawing>
          <wp:inline distT="0" distB="0" distL="0" distR="0" wp14:anchorId="3C070A91" wp14:editId="752D38FC">
            <wp:extent cx="5040000" cy="1391411"/>
            <wp:effectExtent l="0" t="0" r="0" b="0"/>
            <wp:docPr id="4" name="模型评价指标对比" descr="模型评价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模型评价指标对比"/>
                    <pic:cNvPicPr/>
                  </pic:nvPicPr>
                  <pic:blipFill>
                    <a:blip r:embed="rId7" cstate="print"/>
                    <a:stretch>
                      <a:fillRect/>
                    </a:stretch>
                  </pic:blipFill>
                  <pic:spPr>
                    <a:xfrm>
                      <a:off x="0" y="0"/>
                      <a:ext cx="5040000" cy="1391411"/>
                    </a:xfrm>
                    <a:prstGeom prst="rect">
                      <a:avLst/>
                    </a:prstGeom>
                  </pic:spPr>
                </pic:pic>
              </a:graphicData>
            </a:graphic>
          </wp:inline>
        </w:drawing>
      </w:r>
    </w:p>
    <w:p w14:paraId="4884926A" w14:textId="77777777" w:rsidR="007E1F4F" w:rsidRDefault="00000000">
      <w:pPr>
        <w:spacing w:line="360" w:lineRule="auto"/>
        <w:ind w:firstLine="480"/>
        <w:jc w:val="both"/>
      </w:pPr>
      <w:r>
        <w:rPr>
          <w:rFonts w:ascii="宋体" w:eastAsia="宋体" w:hAnsi="宋体"/>
          <w:sz w:val="24"/>
        </w:rPr>
        <w:t>随机森林的 RMSE 最小，综合表现最好；KNN 的 MAE 略低于随机森林，说明邻近环境样本的光谱具有相似性，但它对个别偏差样本的 RMSE 更大，预测时还需逐样本检索邻居，耗时不低。MLP 的 R² 略高于随机森林，MAE 和 RMSE 却都更差——MLP 具备非线性拟合能力，但对标准化、参数设置和数据规模较敏感，在本项目数据条件下随机森林表现更稳定。单棵决策树明显落后于随机</w:t>
      </w:r>
      <w:r>
        <w:rPr>
          <w:rFonts w:ascii="宋体" w:eastAsia="宋体" w:hAnsi="宋体"/>
          <w:sz w:val="24"/>
        </w:rPr>
        <w:lastRenderedPageBreak/>
        <w:t>森林，体现了集成学习的价值。线性回归与其余模型差距很大，说明环境特征与光谱形状之间并非简单线性映射。</w:t>
      </w:r>
    </w:p>
    <w:p w14:paraId="20F1D1E3" w14:textId="77777777" w:rsidR="007E1F4F" w:rsidRDefault="00000000">
      <w:pPr>
        <w:spacing w:line="360" w:lineRule="auto"/>
        <w:ind w:firstLine="480"/>
        <w:jc w:val="both"/>
      </w:pPr>
      <w:r>
        <w:rPr>
          <w:rFonts w:ascii="宋体" w:eastAsia="宋体" w:hAnsi="宋体"/>
          <w:sz w:val="24"/>
        </w:rPr>
        <w:t>按 RMSE 最小原则，以及训练和预测时间优势，最终选择随机森林作为预测模型。</w:t>
      </w:r>
    </w:p>
    <w:p w14:paraId="780DC216" w14:textId="77777777" w:rsidR="007E1F4F" w:rsidRDefault="00000000">
      <w:bookmarkStart w:id="22" w:name="_Toc4c939112"/>
      <w:r>
        <w:rPr>
          <w:rFonts w:ascii="黑体" w:eastAsia="黑体" w:hAnsi="黑体"/>
          <w:b/>
          <w:sz w:val="28"/>
        </w:rPr>
        <w:t>光谱还原效果</w:t>
      </w:r>
      <w:bookmarkEnd w:id="22"/>
    </w:p>
    <w:p w14:paraId="42DBB0EA" w14:textId="77777777" w:rsidR="007E1F4F" w:rsidRDefault="00000000">
      <w:pPr>
        <w:spacing w:line="360" w:lineRule="auto"/>
        <w:ind w:firstLine="480"/>
        <w:jc w:val="both"/>
      </w:pPr>
      <w:r>
        <w:rPr>
          <w:rFonts w:ascii="宋体" w:eastAsia="宋体" w:hAnsi="宋体"/>
          <w:sz w:val="24"/>
        </w:rPr>
        <w:t>确定最佳模型后，我们从测试集取样本检查还原效果。下图样本（晴天、16 时、太阳高度角 29.3°）的预测光谱与实测光谱基本重合，单样本 MAE 约 0.0015：</w:t>
      </w:r>
    </w:p>
    <w:p w14:paraId="011EE2A5" w14:textId="77777777" w:rsidR="007E1F4F" w:rsidRDefault="00000000">
      <w:pPr>
        <w:spacing w:line="240" w:lineRule="auto"/>
      </w:pPr>
      <w:r>
        <w:rPr>
          <w:noProof/>
        </w:rPr>
        <w:drawing>
          <wp:inline distT="0" distB="0" distL="0" distR="0" wp14:anchorId="62F0135B" wp14:editId="2F2374FC">
            <wp:extent cx="5040000" cy="3127753"/>
            <wp:effectExtent l="0" t="0" r="0" b="0"/>
            <wp:docPr id="5" name="预测光谱与实测光谱对比" descr="预测光谱与实测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预测光谱与实测光谱对比"/>
                    <pic:cNvPicPr/>
                  </pic:nvPicPr>
                  <pic:blipFill>
                    <a:blip r:embed="rId8" cstate="print"/>
                    <a:stretch>
                      <a:fillRect/>
                    </a:stretch>
                  </pic:blipFill>
                  <pic:spPr>
                    <a:xfrm>
                      <a:off x="0" y="0"/>
                      <a:ext cx="5040000" cy="3127753"/>
                    </a:xfrm>
                    <a:prstGeom prst="rect">
                      <a:avLst/>
                    </a:prstGeom>
                  </pic:spPr>
                </pic:pic>
              </a:graphicData>
            </a:graphic>
          </wp:inline>
        </w:drawing>
      </w:r>
    </w:p>
    <w:p w14:paraId="18E97B0F" w14:textId="77777777" w:rsidR="007E1F4F" w:rsidRDefault="00000000">
      <w:bookmarkStart w:id="23" w:name="_Toc4d27937d"/>
      <w:r>
        <w:rPr>
          <w:rFonts w:ascii="黑体" w:eastAsia="黑体" w:hAnsi="黑体"/>
          <w:b/>
          <w:sz w:val="28"/>
        </w:rPr>
        <w:t>特征重要性</w:t>
      </w:r>
      <w:bookmarkEnd w:id="23"/>
    </w:p>
    <w:p w14:paraId="50229AE2" w14:textId="77777777" w:rsidR="007E1F4F" w:rsidRDefault="00000000">
      <w:pPr>
        <w:spacing w:line="360" w:lineRule="auto"/>
        <w:ind w:firstLine="480"/>
        <w:jc w:val="both"/>
      </w:pPr>
      <w:r>
        <w:rPr>
          <w:rFonts w:ascii="宋体" w:eastAsia="宋体" w:hAnsi="宋体"/>
          <w:sz w:val="24"/>
        </w:rPr>
        <w:t>随机森林可以输出特征重要性，帮助理解模型主要依赖哪些环境因素：室外照度约占 54%，其后是云量（8.6%）、太阳方位角（6.1%）、天气类别（5.7%）和太阳高度角（4.8%），均为影响光谱的显著因素。室外照度本身综合了太阳位置和天气的影响，其占比最高与物理直觉一致。需要说明，特征重要性反映的是当前数据和当前模型中的影响程度，不能直接等同于物理因果关系。</w:t>
      </w:r>
    </w:p>
    <w:p w14:paraId="5A9CAA6D" w14:textId="77777777" w:rsidR="007E1F4F" w:rsidRDefault="00000000">
      <w:pPr>
        <w:spacing w:line="240" w:lineRule="auto"/>
      </w:pPr>
      <w:r>
        <w:rPr>
          <w:noProof/>
        </w:rPr>
        <w:lastRenderedPageBreak/>
        <w:drawing>
          <wp:inline distT="0" distB="0" distL="0" distR="0" wp14:anchorId="7E4BA2BD" wp14:editId="36AF1988">
            <wp:extent cx="5040000" cy="2966017"/>
            <wp:effectExtent l="0" t="0" r="0" b="0"/>
            <wp:docPr id="6" name="随机森林特征重要性" descr="随机森林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随机森林特征重要性"/>
                    <pic:cNvPicPr/>
                  </pic:nvPicPr>
                  <pic:blipFill>
                    <a:blip r:embed="rId9" cstate="print"/>
                    <a:stretch>
                      <a:fillRect/>
                    </a:stretch>
                  </pic:blipFill>
                  <pic:spPr>
                    <a:xfrm>
                      <a:off x="0" y="0"/>
                      <a:ext cx="5040000" cy="2966017"/>
                    </a:xfrm>
                    <a:prstGeom prst="rect">
                      <a:avLst/>
                    </a:prstGeom>
                  </pic:spPr>
                </pic:pic>
              </a:graphicData>
            </a:graphic>
          </wp:inline>
        </w:drawing>
      </w:r>
    </w:p>
    <w:p w14:paraId="4743036B" w14:textId="77777777" w:rsidR="007E1F4F" w:rsidRDefault="00000000">
      <w:bookmarkStart w:id="24" w:name="_Toc5c78e303"/>
      <w:r>
        <w:rPr>
          <w:rFonts w:ascii="黑体" w:eastAsia="黑体" w:hAnsi="黑体"/>
          <w:b/>
          <w:sz w:val="32"/>
        </w:rPr>
        <w:t>九、模型参数调优</w:t>
      </w:r>
      <w:bookmarkEnd w:id="24"/>
    </w:p>
    <w:p w14:paraId="70E70852" w14:textId="77777777" w:rsidR="007E1F4F" w:rsidRDefault="00000000">
      <w:bookmarkStart w:id="25" w:name="_Toc0a48cff0"/>
      <w:r>
        <w:rPr>
          <w:rFonts w:ascii="黑体" w:eastAsia="黑体" w:hAnsi="黑体"/>
          <w:b/>
          <w:sz w:val="28"/>
        </w:rPr>
        <w:t>调优动机</w:t>
      </w:r>
      <w:bookmarkEnd w:id="25"/>
    </w:p>
    <w:p w14:paraId="6A371391" w14:textId="77777777" w:rsidR="007E1F4F" w:rsidRDefault="00000000">
      <w:pPr>
        <w:spacing w:line="360" w:lineRule="auto"/>
        <w:ind w:firstLine="480"/>
        <w:jc w:val="both"/>
      </w:pPr>
      <w:r>
        <w:rPr>
          <w:rFonts w:ascii="宋体" w:eastAsia="宋体" w:hAnsi="宋体"/>
          <w:sz w:val="24"/>
        </w:rPr>
        <w:t>第八节对比发现随机森林在五个模型中表现最优，但 n_estimators=100, max_depth=20, min_samples_leaf=2 只是一组经验参数。为进一步优化，本项目使用 GridSearchCV 对随机森林进行超参数调优。</w:t>
      </w:r>
    </w:p>
    <w:p w14:paraId="5DF6A386" w14:textId="77777777" w:rsidR="007E1F4F" w:rsidRDefault="00000000">
      <w:bookmarkStart w:id="26" w:name="_Toc1ac6db77"/>
      <w:r>
        <w:rPr>
          <w:rFonts w:ascii="黑体" w:eastAsia="黑体" w:hAnsi="黑体"/>
          <w:b/>
          <w:sz w:val="28"/>
        </w:rPr>
        <w:t>调参方法</w:t>
      </w:r>
      <w:bookmarkEnd w:id="26"/>
    </w:p>
    <w:p w14:paraId="59EC4390" w14:textId="77777777" w:rsidR="007E1F4F" w:rsidRDefault="00000000">
      <w:pPr>
        <w:spacing w:line="360" w:lineRule="auto"/>
        <w:ind w:firstLine="480"/>
        <w:jc w:val="both"/>
      </w:pPr>
      <w:r>
        <w:rPr>
          <w:rFonts w:ascii="宋体" w:eastAsia="宋体" w:hAnsi="宋体"/>
          <w:sz w:val="24"/>
        </w:rPr>
        <w:t>调参策略包含两个层次：先在 PCA 空间做 5 折交叉验证，再对每组参数在全量训练集上拟合、测试集上预测，逆变换回光谱空间计算 MAE / RMSE / R²。综合 RMSE（主指标）和训练时间（效率指标）选出最优参数。</w:t>
      </w:r>
    </w:p>
    <w:p w14:paraId="57E8DD21" w14:textId="77777777" w:rsidR="007E1F4F" w:rsidRDefault="00000000">
      <w:pPr>
        <w:spacing w:line="360" w:lineRule="auto"/>
        <w:ind w:firstLine="480"/>
        <w:jc w:val="both"/>
      </w:pPr>
      <w:r>
        <w:rPr>
          <w:rFonts w:ascii="宋体" w:eastAsia="宋体" w:hAnsi="宋体"/>
          <w:sz w:val="24"/>
        </w:rPr>
        <w:t>参数网格如下：</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8"/>
        <w:gridCol w:w="2085"/>
        <w:gridCol w:w="3507"/>
      </w:tblGrid>
      <w:tr w:rsidR="007E1F4F" w14:paraId="361D2A9E" w14:textId="77777777">
        <w:tblPrEx>
          <w:tblCellMar>
            <w:top w:w="0" w:type="dxa"/>
            <w:bottom w:w="0" w:type="dxa"/>
          </w:tblCellMar>
        </w:tblPrEx>
        <w:tc>
          <w:tcPr>
            <w:tcW w:w="0" w:type="auto"/>
          </w:tcPr>
          <w:p w14:paraId="1B781175" w14:textId="77777777" w:rsidR="007E1F4F" w:rsidRDefault="00000000">
            <w:pPr>
              <w:jc w:val="center"/>
              <w:rPr>
                <w:rFonts w:ascii="黑体" w:eastAsia="黑体" w:hAnsi="黑体"/>
                <w:b/>
                <w:sz w:val="20"/>
              </w:rPr>
            </w:pPr>
            <w:r>
              <w:rPr>
                <w:rFonts w:ascii="黑体" w:eastAsia="黑体" w:hAnsi="黑体"/>
                <w:b/>
                <w:sz w:val="20"/>
              </w:rPr>
              <w:t>参数</w:t>
            </w:r>
          </w:p>
        </w:tc>
        <w:tc>
          <w:tcPr>
            <w:tcW w:w="0" w:type="auto"/>
          </w:tcPr>
          <w:p w14:paraId="68428081" w14:textId="77777777" w:rsidR="007E1F4F" w:rsidRDefault="00000000">
            <w:pPr>
              <w:jc w:val="center"/>
              <w:rPr>
                <w:rFonts w:ascii="黑体" w:eastAsia="黑体" w:hAnsi="黑体"/>
                <w:b/>
                <w:sz w:val="20"/>
              </w:rPr>
            </w:pPr>
            <w:r>
              <w:rPr>
                <w:rFonts w:ascii="黑体" w:eastAsia="黑体" w:hAnsi="黑体"/>
                <w:b/>
                <w:sz w:val="20"/>
              </w:rPr>
              <w:t>取值</w:t>
            </w:r>
          </w:p>
        </w:tc>
        <w:tc>
          <w:tcPr>
            <w:tcW w:w="0" w:type="auto"/>
          </w:tcPr>
          <w:p w14:paraId="5A48CE3F" w14:textId="77777777" w:rsidR="007E1F4F" w:rsidRDefault="00000000">
            <w:pPr>
              <w:jc w:val="center"/>
              <w:rPr>
                <w:rFonts w:ascii="黑体" w:eastAsia="黑体" w:hAnsi="黑体"/>
                <w:b/>
                <w:sz w:val="20"/>
              </w:rPr>
            </w:pPr>
            <w:r>
              <w:rPr>
                <w:rFonts w:ascii="黑体" w:eastAsia="黑体" w:hAnsi="黑体"/>
                <w:b/>
                <w:sz w:val="20"/>
              </w:rPr>
              <w:t>说明</w:t>
            </w:r>
          </w:p>
        </w:tc>
      </w:tr>
      <w:tr w:rsidR="007E1F4F" w14:paraId="5575E941" w14:textId="77777777">
        <w:tblPrEx>
          <w:tblCellMar>
            <w:top w:w="0" w:type="dxa"/>
            <w:bottom w:w="0" w:type="dxa"/>
          </w:tblCellMar>
        </w:tblPrEx>
        <w:tc>
          <w:tcPr>
            <w:tcW w:w="0" w:type="auto"/>
          </w:tcPr>
          <w:p w14:paraId="17F8C02D" w14:textId="77777777" w:rsidR="007E1F4F" w:rsidRDefault="00000000">
            <w:pPr>
              <w:rPr>
                <w:rFonts w:ascii="宋体" w:eastAsia="宋体" w:hAnsi="宋体"/>
                <w:sz w:val="20"/>
              </w:rPr>
            </w:pPr>
            <w:r>
              <w:rPr>
                <w:rFonts w:ascii="宋体" w:eastAsia="宋体" w:hAnsi="宋体"/>
                <w:sz w:val="20"/>
              </w:rPr>
              <w:t>n_estimators</w:t>
            </w:r>
          </w:p>
        </w:tc>
        <w:tc>
          <w:tcPr>
            <w:tcW w:w="0" w:type="auto"/>
          </w:tcPr>
          <w:p w14:paraId="3CF12A7B" w14:textId="77777777" w:rsidR="007E1F4F" w:rsidRDefault="00000000">
            <w:pPr>
              <w:rPr>
                <w:rFonts w:ascii="宋体" w:eastAsia="宋体" w:hAnsi="宋体"/>
                <w:sz w:val="20"/>
              </w:rPr>
            </w:pPr>
            <w:r>
              <w:rPr>
                <w:rFonts w:ascii="宋体" w:eastAsia="宋体" w:hAnsi="宋体"/>
                <w:sz w:val="20"/>
              </w:rPr>
              <w:t>100, 200, 300</w:t>
            </w:r>
          </w:p>
        </w:tc>
        <w:tc>
          <w:tcPr>
            <w:tcW w:w="0" w:type="auto"/>
          </w:tcPr>
          <w:p w14:paraId="0AF78A00" w14:textId="77777777" w:rsidR="007E1F4F" w:rsidRDefault="00000000">
            <w:pPr>
              <w:rPr>
                <w:rFonts w:ascii="宋体" w:eastAsia="宋体" w:hAnsi="宋体"/>
                <w:sz w:val="20"/>
              </w:rPr>
            </w:pPr>
            <w:r>
              <w:rPr>
                <w:rFonts w:ascii="宋体" w:eastAsia="宋体" w:hAnsi="宋体"/>
                <w:sz w:val="20"/>
              </w:rPr>
              <w:t>决策树数量</w:t>
            </w:r>
          </w:p>
        </w:tc>
      </w:tr>
      <w:tr w:rsidR="007E1F4F" w14:paraId="0089C6B8" w14:textId="77777777">
        <w:tblPrEx>
          <w:tblCellMar>
            <w:top w:w="0" w:type="dxa"/>
            <w:bottom w:w="0" w:type="dxa"/>
          </w:tblCellMar>
        </w:tblPrEx>
        <w:tc>
          <w:tcPr>
            <w:tcW w:w="0" w:type="auto"/>
          </w:tcPr>
          <w:p w14:paraId="278258DA" w14:textId="77777777" w:rsidR="007E1F4F" w:rsidRDefault="00000000">
            <w:pPr>
              <w:rPr>
                <w:rFonts w:ascii="宋体" w:eastAsia="宋体" w:hAnsi="宋体"/>
                <w:sz w:val="20"/>
              </w:rPr>
            </w:pPr>
            <w:r>
              <w:rPr>
                <w:rFonts w:ascii="宋体" w:eastAsia="宋体" w:hAnsi="宋体"/>
                <w:sz w:val="20"/>
              </w:rPr>
              <w:t>max_depth</w:t>
            </w:r>
          </w:p>
        </w:tc>
        <w:tc>
          <w:tcPr>
            <w:tcW w:w="0" w:type="auto"/>
          </w:tcPr>
          <w:p w14:paraId="4E976ECC" w14:textId="77777777" w:rsidR="007E1F4F" w:rsidRDefault="00000000">
            <w:pPr>
              <w:rPr>
                <w:rFonts w:ascii="宋体" w:eastAsia="宋体" w:hAnsi="宋体"/>
                <w:sz w:val="20"/>
              </w:rPr>
            </w:pPr>
            <w:r>
              <w:rPr>
                <w:rFonts w:ascii="宋体" w:eastAsia="宋体" w:hAnsi="宋体"/>
                <w:sz w:val="20"/>
              </w:rPr>
              <w:t>10, 20, None</w:t>
            </w:r>
          </w:p>
        </w:tc>
        <w:tc>
          <w:tcPr>
            <w:tcW w:w="0" w:type="auto"/>
          </w:tcPr>
          <w:p w14:paraId="22826C84" w14:textId="77777777" w:rsidR="007E1F4F" w:rsidRDefault="00000000">
            <w:pPr>
              <w:rPr>
                <w:rFonts w:ascii="宋体" w:eastAsia="宋体" w:hAnsi="宋体"/>
                <w:sz w:val="20"/>
              </w:rPr>
            </w:pPr>
            <w:r>
              <w:rPr>
                <w:rFonts w:ascii="宋体" w:eastAsia="宋体" w:hAnsi="宋体"/>
                <w:sz w:val="20"/>
              </w:rPr>
              <w:t>树的最大深度</w:t>
            </w:r>
          </w:p>
        </w:tc>
      </w:tr>
      <w:tr w:rsidR="007E1F4F" w14:paraId="3833BCFE" w14:textId="77777777">
        <w:tblPrEx>
          <w:tblCellMar>
            <w:top w:w="0" w:type="dxa"/>
            <w:bottom w:w="0" w:type="dxa"/>
          </w:tblCellMar>
        </w:tblPrEx>
        <w:tc>
          <w:tcPr>
            <w:tcW w:w="0" w:type="auto"/>
          </w:tcPr>
          <w:p w14:paraId="40992E40" w14:textId="77777777" w:rsidR="007E1F4F" w:rsidRDefault="00000000">
            <w:pPr>
              <w:rPr>
                <w:rFonts w:ascii="宋体" w:eastAsia="宋体" w:hAnsi="宋体"/>
                <w:sz w:val="20"/>
              </w:rPr>
            </w:pPr>
            <w:r>
              <w:rPr>
                <w:rFonts w:ascii="宋体" w:eastAsia="宋体" w:hAnsi="宋体"/>
                <w:sz w:val="20"/>
              </w:rPr>
              <w:t>min_samples_split</w:t>
            </w:r>
          </w:p>
        </w:tc>
        <w:tc>
          <w:tcPr>
            <w:tcW w:w="0" w:type="auto"/>
          </w:tcPr>
          <w:p w14:paraId="4F9029F0" w14:textId="77777777" w:rsidR="007E1F4F" w:rsidRDefault="00000000">
            <w:pPr>
              <w:rPr>
                <w:rFonts w:ascii="宋体" w:eastAsia="宋体" w:hAnsi="宋体"/>
                <w:sz w:val="20"/>
              </w:rPr>
            </w:pPr>
            <w:r>
              <w:rPr>
                <w:rFonts w:ascii="宋体" w:eastAsia="宋体" w:hAnsi="宋体"/>
                <w:sz w:val="20"/>
              </w:rPr>
              <w:t>2, 5, 10</w:t>
            </w:r>
          </w:p>
        </w:tc>
        <w:tc>
          <w:tcPr>
            <w:tcW w:w="0" w:type="auto"/>
          </w:tcPr>
          <w:p w14:paraId="68A5B593" w14:textId="77777777" w:rsidR="007E1F4F" w:rsidRDefault="00000000">
            <w:pPr>
              <w:rPr>
                <w:rFonts w:ascii="宋体" w:eastAsia="宋体" w:hAnsi="宋体"/>
                <w:sz w:val="20"/>
              </w:rPr>
            </w:pPr>
            <w:r>
              <w:rPr>
                <w:rFonts w:ascii="宋体" w:eastAsia="宋体" w:hAnsi="宋体"/>
                <w:sz w:val="20"/>
              </w:rPr>
              <w:t>节点分裂所需最小样本数</w:t>
            </w:r>
          </w:p>
        </w:tc>
      </w:tr>
    </w:tbl>
    <w:p w14:paraId="33E62807" w14:textId="77777777" w:rsidR="007E1F4F" w:rsidRDefault="00000000">
      <w:pPr>
        <w:spacing w:line="360" w:lineRule="auto"/>
        <w:ind w:firstLine="480"/>
        <w:jc w:val="both"/>
      </w:pPr>
      <w:r>
        <w:rPr>
          <w:rFonts w:ascii="宋体" w:eastAsia="宋体" w:hAnsi="宋体"/>
          <w:sz w:val="24"/>
        </w:rPr>
        <w:t>共 3 × 3 × 3 = 27 组参数组合，每组完成 5 折交叉验证。实现代码位于 src/hyperparameter_tuning.py，核心逻辑为：</w:t>
      </w:r>
    </w:p>
    <w:p w14:paraId="1F9A6086" w14:textId="77777777" w:rsidR="007E1F4F" w:rsidRDefault="00000000">
      <w:pPr>
        <w:shd w:val="clear" w:color="auto" w:fill="F2F2F2"/>
        <w:spacing w:before="120" w:after="120" w:line="240" w:lineRule="auto"/>
      </w:pPr>
      <w:r>
        <w:rPr>
          <w:rFonts w:ascii="Courier New" w:eastAsia="宋体" w:hAnsi="Courier New"/>
          <w:sz w:val="20"/>
        </w:rPr>
        <w:t>grid = GridSearchCV(</w:t>
      </w:r>
      <w:r>
        <w:rPr>
          <w:rFonts w:ascii="Courier New" w:eastAsia="宋体" w:hAnsi="Courier New"/>
          <w:sz w:val="20"/>
        </w:rPr>
        <w:br/>
        <w:t xml:space="preserve">    estimator=pipeline,</w:t>
      </w:r>
      <w:r>
        <w:rPr>
          <w:rFonts w:ascii="Courier New" w:eastAsia="宋体" w:hAnsi="Courier New"/>
          <w:sz w:val="20"/>
        </w:rPr>
        <w:br/>
        <w:t xml:space="preserve">    param_grid=param_grid,</w:t>
      </w:r>
      <w:r>
        <w:rPr>
          <w:rFonts w:ascii="Courier New" w:eastAsia="宋体" w:hAnsi="Courier New"/>
          <w:sz w:val="20"/>
        </w:rPr>
        <w:br/>
        <w:t xml:space="preserve">    cv=5,</w:t>
      </w:r>
      <w:r>
        <w:rPr>
          <w:rFonts w:ascii="Courier New" w:eastAsia="宋体" w:hAnsi="Courier New"/>
          <w:sz w:val="20"/>
        </w:rPr>
        <w:br/>
        <w:t xml:space="preserve">    scoring="neg_root_mean_squared_error",</w:t>
      </w:r>
      <w:r>
        <w:rPr>
          <w:rFonts w:ascii="Courier New" w:eastAsia="宋体" w:hAnsi="Courier New"/>
          <w:sz w:val="20"/>
        </w:rPr>
        <w:br/>
        <w:t xml:space="preserve">    n_jobs=-1,</w:t>
      </w:r>
      <w:r>
        <w:rPr>
          <w:rFonts w:ascii="Courier New" w:eastAsia="宋体" w:hAnsi="Courier New"/>
          <w:sz w:val="20"/>
        </w:rPr>
        <w:br/>
        <w:t xml:space="preserve">    refit=True,</w:t>
      </w:r>
      <w:r>
        <w:rPr>
          <w:rFonts w:ascii="Courier New" w:eastAsia="宋体" w:hAnsi="Courier New"/>
          <w:sz w:val="20"/>
        </w:rPr>
        <w:br/>
        <w:t>)</w:t>
      </w:r>
      <w:r>
        <w:rPr>
          <w:rFonts w:ascii="Courier New" w:eastAsia="宋体" w:hAnsi="Courier New"/>
          <w:sz w:val="20"/>
        </w:rPr>
        <w:br/>
        <w:t>grid.fit(x_train, y_train_pca)</w:t>
      </w:r>
    </w:p>
    <w:p w14:paraId="0075AF34" w14:textId="77777777" w:rsidR="007E1F4F" w:rsidRDefault="00000000">
      <w:bookmarkStart w:id="27" w:name="_Tocdf59e451"/>
      <w:r>
        <w:rPr>
          <w:rFonts w:ascii="黑体" w:eastAsia="黑体" w:hAnsi="黑体"/>
          <w:b/>
          <w:sz w:val="28"/>
        </w:rPr>
        <w:t>各参数影响分析</w:t>
      </w:r>
      <w:bookmarkEnd w:id="27"/>
    </w:p>
    <w:p w14:paraId="3DCF0C0C" w14:textId="77777777" w:rsidR="007E1F4F" w:rsidRDefault="00000000">
      <w:pPr>
        <w:spacing w:line="360" w:lineRule="auto"/>
        <w:ind w:firstLine="480"/>
        <w:jc w:val="both"/>
      </w:pPr>
      <w:r>
        <w:rPr>
          <w:rFonts w:ascii="宋体" w:eastAsia="宋体" w:hAnsi="宋体"/>
          <w:sz w:val="24"/>
        </w:rPr>
        <w:lastRenderedPageBreak/>
        <w:t>从 27 组结果中可以看到：</w:t>
      </w:r>
    </w:p>
    <w:p w14:paraId="4B0DFE01" w14:textId="77777777" w:rsidR="007E1F4F" w:rsidRDefault="00000000">
      <w:pPr>
        <w:spacing w:line="360" w:lineRule="auto"/>
        <w:ind w:firstLine="480"/>
        <w:jc w:val="both"/>
      </w:pPr>
      <w:r>
        <w:rPr>
          <w:rFonts w:ascii="宋体" w:eastAsia="宋体" w:hAnsi="宋体"/>
          <w:sz w:val="24"/>
        </w:rPr>
        <w:t>n_estimators（树的数量）：100 棵 RMSE=0.009017，200 棵 0.009031，300 棵 0.009053。树越多 RMSE 反而略升，说明 100 棵已经足够收敛，加树只增加训练时间（0.17s → 0.28s → 0.61s），没有实质收益。</w:t>
      </w:r>
    </w:p>
    <w:p w14:paraId="72D642E7" w14:textId="77777777" w:rsidR="007E1F4F" w:rsidRDefault="00000000">
      <w:pPr>
        <w:spacing w:line="360" w:lineRule="auto"/>
        <w:ind w:firstLine="480"/>
        <w:jc w:val="both"/>
      </w:pPr>
      <w:r>
        <w:rPr>
          <w:rFonts w:ascii="宋体" w:eastAsia="宋体" w:hAnsi="宋体"/>
          <w:sz w:val="24"/>
        </w:rPr>
        <w:t>max_depth（最大深度）：深度 10 时 RMSE 普遍在 0.0092–0.0097，明显大于深度 20 或不限深度的组合，说明树太浅导致欠拟合；深度 20 与不限深度的 RMSE 差距在 0.0001 以内，几乎无差别。选 20 比不限深度训练更快且无精度损失。</w:t>
      </w:r>
    </w:p>
    <w:p w14:paraId="20D19041" w14:textId="77777777" w:rsidR="007E1F4F" w:rsidRDefault="00000000">
      <w:pPr>
        <w:spacing w:line="360" w:lineRule="auto"/>
        <w:ind w:firstLine="480"/>
        <w:jc w:val="both"/>
      </w:pPr>
      <w:r>
        <w:rPr>
          <w:rFonts w:ascii="宋体" w:eastAsia="宋体" w:hAnsi="宋体"/>
          <w:sz w:val="24"/>
        </w:rPr>
        <w:t>min_samples_split（节点分裂最小样本数）：取值 5 时 RMSE 最优（0.0090–0.0092），比默认值 2 略好——适当限制分裂可以抑制过拟合；取值 10 时 RMSE 上升到 0.0092–0.0094，说明限制过强会轻微抑制树的生长。</w:t>
      </w:r>
    </w:p>
    <w:p w14:paraId="2297DC84" w14:textId="77777777" w:rsidR="007E1F4F" w:rsidRDefault="00000000">
      <w:bookmarkStart w:id="28" w:name="_Toce5983f7f"/>
      <w:r>
        <w:rPr>
          <w:rFonts w:ascii="黑体" w:eastAsia="黑体" w:hAnsi="黑体"/>
          <w:b/>
          <w:sz w:val="28"/>
        </w:rPr>
        <w:t>最优参数与最终结果</w:t>
      </w:r>
      <w:bookmarkEnd w:id="28"/>
    </w:p>
    <w:p w14:paraId="36F371B2" w14:textId="77777777" w:rsidR="007E1F4F" w:rsidRDefault="00000000">
      <w:pPr>
        <w:spacing w:line="360" w:lineRule="auto"/>
        <w:ind w:firstLine="480"/>
        <w:jc w:val="both"/>
      </w:pPr>
      <w:r>
        <w:rPr>
          <w:rFonts w:ascii="宋体" w:eastAsia="宋体" w:hAnsi="宋体"/>
          <w:sz w:val="24"/>
        </w:rPr>
        <w:t>综合 RMSE 最小和训练效率，最终选出的最优参数为 n_estimators=100, max_depth=20, min_samples_split=5。用该参数在全量训练集上训练最终模型，测试集评估结果如下：</w:t>
      </w: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3"/>
        <w:gridCol w:w="3579"/>
      </w:tblGrid>
      <w:tr w:rsidR="007E1F4F" w14:paraId="3D3D1C87" w14:textId="77777777">
        <w:tblPrEx>
          <w:tblCellMar>
            <w:top w:w="0" w:type="dxa"/>
            <w:bottom w:w="0" w:type="dxa"/>
          </w:tblCellMar>
        </w:tblPrEx>
        <w:tc>
          <w:tcPr>
            <w:tcW w:w="0" w:type="auto"/>
          </w:tcPr>
          <w:p w14:paraId="345D86EB" w14:textId="77777777" w:rsidR="007E1F4F" w:rsidRDefault="00000000">
            <w:pPr>
              <w:jc w:val="center"/>
              <w:rPr>
                <w:rFonts w:ascii="黑体" w:eastAsia="黑体" w:hAnsi="黑体"/>
                <w:b/>
                <w:sz w:val="20"/>
              </w:rPr>
            </w:pPr>
            <w:r>
              <w:rPr>
                <w:rFonts w:ascii="黑体" w:eastAsia="黑体" w:hAnsi="黑体"/>
                <w:b/>
                <w:sz w:val="20"/>
              </w:rPr>
              <w:t>指标</w:t>
            </w:r>
          </w:p>
        </w:tc>
        <w:tc>
          <w:tcPr>
            <w:tcW w:w="0" w:type="auto"/>
          </w:tcPr>
          <w:p w14:paraId="030DA344" w14:textId="77777777" w:rsidR="007E1F4F" w:rsidRDefault="00000000">
            <w:pPr>
              <w:jc w:val="center"/>
              <w:rPr>
                <w:rFonts w:ascii="黑体" w:eastAsia="黑体" w:hAnsi="黑体"/>
                <w:b/>
                <w:sz w:val="20"/>
              </w:rPr>
            </w:pPr>
            <w:r>
              <w:rPr>
                <w:rFonts w:ascii="黑体" w:eastAsia="黑体" w:hAnsi="黑体"/>
                <w:b/>
                <w:sz w:val="20"/>
              </w:rPr>
              <w:t>值</w:t>
            </w:r>
          </w:p>
        </w:tc>
      </w:tr>
      <w:tr w:rsidR="007E1F4F" w14:paraId="1354CF73" w14:textId="77777777">
        <w:tblPrEx>
          <w:tblCellMar>
            <w:top w:w="0" w:type="dxa"/>
            <w:bottom w:w="0" w:type="dxa"/>
          </w:tblCellMar>
        </w:tblPrEx>
        <w:tc>
          <w:tcPr>
            <w:tcW w:w="0" w:type="auto"/>
          </w:tcPr>
          <w:p w14:paraId="6C7C430E" w14:textId="77777777" w:rsidR="007E1F4F" w:rsidRDefault="00000000">
            <w:pPr>
              <w:rPr>
                <w:rFonts w:ascii="宋体" w:eastAsia="宋体" w:hAnsi="宋体"/>
                <w:sz w:val="20"/>
              </w:rPr>
            </w:pPr>
            <w:r>
              <w:rPr>
                <w:rFonts w:ascii="宋体" w:eastAsia="宋体" w:hAnsi="宋体"/>
                <w:sz w:val="20"/>
              </w:rPr>
              <w:t>MAE</w:t>
            </w:r>
          </w:p>
        </w:tc>
        <w:tc>
          <w:tcPr>
            <w:tcW w:w="0" w:type="auto"/>
          </w:tcPr>
          <w:p w14:paraId="76256306" w14:textId="77777777" w:rsidR="007E1F4F" w:rsidRDefault="00000000">
            <w:pPr>
              <w:jc w:val="center"/>
              <w:rPr>
                <w:rFonts w:ascii="宋体" w:eastAsia="宋体" w:hAnsi="宋体"/>
                <w:sz w:val="20"/>
              </w:rPr>
            </w:pPr>
            <w:r>
              <w:rPr>
                <w:rFonts w:ascii="宋体" w:eastAsia="宋体" w:hAnsi="宋体"/>
                <w:sz w:val="20"/>
              </w:rPr>
              <w:t>0.0051</w:t>
            </w:r>
          </w:p>
        </w:tc>
      </w:tr>
      <w:tr w:rsidR="007E1F4F" w14:paraId="1C6442B1" w14:textId="77777777">
        <w:tblPrEx>
          <w:tblCellMar>
            <w:top w:w="0" w:type="dxa"/>
            <w:bottom w:w="0" w:type="dxa"/>
          </w:tblCellMar>
        </w:tblPrEx>
        <w:tc>
          <w:tcPr>
            <w:tcW w:w="0" w:type="auto"/>
          </w:tcPr>
          <w:p w14:paraId="37A72267" w14:textId="77777777" w:rsidR="007E1F4F" w:rsidRDefault="00000000">
            <w:pPr>
              <w:rPr>
                <w:rFonts w:ascii="宋体" w:eastAsia="宋体" w:hAnsi="宋体"/>
                <w:sz w:val="20"/>
              </w:rPr>
            </w:pPr>
            <w:r>
              <w:rPr>
                <w:rFonts w:ascii="宋体" w:eastAsia="宋体" w:hAnsi="宋体"/>
                <w:sz w:val="20"/>
              </w:rPr>
              <w:t>RMSE</w:t>
            </w:r>
          </w:p>
        </w:tc>
        <w:tc>
          <w:tcPr>
            <w:tcW w:w="0" w:type="auto"/>
          </w:tcPr>
          <w:p w14:paraId="21DFA907" w14:textId="77777777" w:rsidR="007E1F4F" w:rsidRDefault="00000000">
            <w:pPr>
              <w:jc w:val="center"/>
              <w:rPr>
                <w:rFonts w:ascii="宋体" w:eastAsia="宋体" w:hAnsi="宋体"/>
                <w:sz w:val="20"/>
              </w:rPr>
            </w:pPr>
            <w:r>
              <w:rPr>
                <w:rFonts w:ascii="宋体" w:eastAsia="宋体" w:hAnsi="宋体"/>
                <w:sz w:val="20"/>
              </w:rPr>
              <w:t>0.0090</w:t>
            </w:r>
          </w:p>
        </w:tc>
      </w:tr>
      <w:tr w:rsidR="007E1F4F" w14:paraId="7A38ECFD" w14:textId="77777777">
        <w:tblPrEx>
          <w:tblCellMar>
            <w:top w:w="0" w:type="dxa"/>
            <w:bottom w:w="0" w:type="dxa"/>
          </w:tblCellMar>
        </w:tblPrEx>
        <w:tc>
          <w:tcPr>
            <w:tcW w:w="0" w:type="auto"/>
          </w:tcPr>
          <w:p w14:paraId="4D5F4F46" w14:textId="77777777" w:rsidR="007E1F4F" w:rsidRDefault="00000000">
            <w:pPr>
              <w:rPr>
                <w:rFonts w:ascii="宋体" w:eastAsia="宋体" w:hAnsi="宋体"/>
                <w:sz w:val="20"/>
              </w:rPr>
            </w:pPr>
            <w:r>
              <w:rPr>
                <w:rFonts w:ascii="宋体" w:eastAsia="宋体" w:hAnsi="宋体"/>
                <w:sz w:val="20"/>
              </w:rPr>
              <w:t>R²</w:t>
            </w:r>
          </w:p>
        </w:tc>
        <w:tc>
          <w:tcPr>
            <w:tcW w:w="0" w:type="auto"/>
          </w:tcPr>
          <w:p w14:paraId="5C711B80" w14:textId="77777777" w:rsidR="007E1F4F" w:rsidRDefault="00000000">
            <w:pPr>
              <w:jc w:val="center"/>
              <w:rPr>
                <w:rFonts w:ascii="宋体" w:eastAsia="宋体" w:hAnsi="宋体"/>
                <w:sz w:val="20"/>
              </w:rPr>
            </w:pPr>
            <w:r>
              <w:rPr>
                <w:rFonts w:ascii="宋体" w:eastAsia="宋体" w:hAnsi="宋体"/>
                <w:sz w:val="20"/>
              </w:rPr>
              <w:t>0.9513</w:t>
            </w:r>
          </w:p>
        </w:tc>
      </w:tr>
      <w:tr w:rsidR="007E1F4F" w14:paraId="6B63D2D8" w14:textId="77777777">
        <w:tblPrEx>
          <w:tblCellMar>
            <w:top w:w="0" w:type="dxa"/>
            <w:bottom w:w="0" w:type="dxa"/>
          </w:tblCellMar>
        </w:tblPrEx>
        <w:tc>
          <w:tcPr>
            <w:tcW w:w="0" w:type="auto"/>
          </w:tcPr>
          <w:p w14:paraId="74E8B0E6" w14:textId="77777777" w:rsidR="007E1F4F" w:rsidRDefault="00000000">
            <w:pPr>
              <w:rPr>
                <w:rFonts w:ascii="宋体" w:eastAsia="宋体" w:hAnsi="宋体"/>
                <w:sz w:val="20"/>
              </w:rPr>
            </w:pPr>
            <w:r>
              <w:rPr>
                <w:rFonts w:ascii="宋体" w:eastAsia="宋体" w:hAnsi="宋体"/>
                <w:sz w:val="20"/>
              </w:rPr>
              <w:t>训练时间</w:t>
            </w:r>
          </w:p>
        </w:tc>
        <w:tc>
          <w:tcPr>
            <w:tcW w:w="0" w:type="auto"/>
          </w:tcPr>
          <w:p w14:paraId="1DD765A9" w14:textId="77777777" w:rsidR="007E1F4F" w:rsidRDefault="00000000">
            <w:pPr>
              <w:jc w:val="center"/>
              <w:rPr>
                <w:rFonts w:ascii="宋体" w:eastAsia="宋体" w:hAnsi="宋体"/>
                <w:sz w:val="20"/>
              </w:rPr>
            </w:pPr>
            <w:r>
              <w:rPr>
                <w:rFonts w:ascii="宋体" w:eastAsia="宋体" w:hAnsi="宋体"/>
                <w:sz w:val="20"/>
              </w:rPr>
              <w:t>0.17s</w:t>
            </w:r>
          </w:p>
        </w:tc>
      </w:tr>
      <w:tr w:rsidR="007E1F4F" w14:paraId="7AE3D406" w14:textId="77777777">
        <w:tblPrEx>
          <w:tblCellMar>
            <w:top w:w="0" w:type="dxa"/>
            <w:bottom w:w="0" w:type="dxa"/>
          </w:tblCellMar>
        </w:tblPrEx>
        <w:tc>
          <w:tcPr>
            <w:tcW w:w="0" w:type="auto"/>
          </w:tcPr>
          <w:p w14:paraId="6F9C8920" w14:textId="77777777" w:rsidR="007E1F4F" w:rsidRDefault="00000000">
            <w:pPr>
              <w:rPr>
                <w:rFonts w:ascii="宋体" w:eastAsia="宋体" w:hAnsi="宋体"/>
                <w:sz w:val="20"/>
              </w:rPr>
            </w:pPr>
            <w:r>
              <w:rPr>
                <w:rFonts w:ascii="宋体" w:eastAsia="宋体" w:hAnsi="宋体"/>
                <w:sz w:val="20"/>
              </w:rPr>
              <w:t>预测时间</w:t>
            </w:r>
          </w:p>
        </w:tc>
        <w:tc>
          <w:tcPr>
            <w:tcW w:w="0" w:type="auto"/>
          </w:tcPr>
          <w:p w14:paraId="6345769A" w14:textId="77777777" w:rsidR="007E1F4F" w:rsidRDefault="00000000">
            <w:pPr>
              <w:jc w:val="center"/>
              <w:rPr>
                <w:rFonts w:ascii="宋体" w:eastAsia="宋体" w:hAnsi="宋体"/>
                <w:sz w:val="20"/>
              </w:rPr>
            </w:pPr>
            <w:r>
              <w:rPr>
                <w:rFonts w:ascii="宋体" w:eastAsia="宋体" w:hAnsi="宋体"/>
                <w:sz w:val="20"/>
              </w:rPr>
              <w:t>0.016s</w:t>
            </w:r>
          </w:p>
        </w:tc>
      </w:tr>
    </w:tbl>
    <w:p w14:paraId="1149E178" w14:textId="77777777" w:rsidR="007E1F4F" w:rsidRDefault="00000000">
      <w:pPr>
        <w:spacing w:line="360" w:lineRule="auto"/>
        <w:ind w:firstLine="480"/>
        <w:jc w:val="both"/>
      </w:pPr>
      <w:r>
        <w:rPr>
          <w:rFonts w:ascii="宋体" w:eastAsia="宋体" w:hAnsi="宋体"/>
          <w:sz w:val="24"/>
        </w:rPr>
        <w:t>相比原始经验值（100, 20, 2），调优后的参数更精简（100 棵树、更深但有上限的树），精度略有提升且速度更快。</w:t>
      </w:r>
    </w:p>
    <w:p w14:paraId="5A5B72A9" w14:textId="77777777" w:rsidR="007E1F4F" w:rsidRDefault="00000000">
      <w:bookmarkStart w:id="29" w:name="_Toc8c63fed5"/>
      <w:r>
        <w:rPr>
          <w:rFonts w:ascii="黑体" w:eastAsia="黑体" w:hAnsi="黑体"/>
          <w:b/>
          <w:sz w:val="32"/>
        </w:rPr>
        <w:t>十、室内照明补偿算法</w:t>
      </w:r>
      <w:bookmarkEnd w:id="29"/>
    </w:p>
    <w:p w14:paraId="014AB4D6" w14:textId="77777777" w:rsidR="007E1F4F" w:rsidRDefault="00000000">
      <w:bookmarkStart w:id="30" w:name="_Toc35d72e17"/>
      <w:r>
        <w:rPr>
          <w:rFonts w:ascii="黑体" w:eastAsia="黑体" w:hAnsi="黑体"/>
          <w:b/>
          <w:sz w:val="28"/>
        </w:rPr>
        <w:t>从预测光谱到补偿建议</w:t>
      </w:r>
      <w:bookmarkEnd w:id="30"/>
    </w:p>
    <w:p w14:paraId="2A081763" w14:textId="77777777" w:rsidR="007E1F4F" w:rsidRDefault="00000000">
      <w:pPr>
        <w:spacing w:line="360" w:lineRule="auto"/>
        <w:ind w:firstLine="480"/>
        <w:jc w:val="both"/>
      </w:pPr>
      <w:r>
        <w:rPr>
          <w:rFonts w:ascii="宋体" w:eastAsia="宋体" w:hAnsi="宋体"/>
          <w:sz w:val="24"/>
        </w:rPr>
        <w:t>模型给出当前自然光的相对光谱后，补偿算法需要确定七个 LED 通道各自的权重。基本思路如下：以实测晴天高太阳高度角日光的平均光谱为目标光谱（由真实数据计算，非人工设定）；按室外照度估计自然光在室内的贡献比例；计算目标光谱与当前自然光贡献的差值；用非负最小二乘求解 LED 通道权重，使混光尽量拟合该差值。</w:t>
      </w:r>
    </w:p>
    <w:p w14:paraId="1375F9CD" w14:textId="77777777" w:rsidR="007E1F4F" w:rsidRDefault="00000000">
      <w:pPr>
        <w:spacing w:line="360" w:lineRule="auto"/>
        <w:ind w:firstLine="480"/>
        <w:jc w:val="both"/>
      </w:pPr>
      <w:r>
        <w:rPr>
          <w:rFonts w:ascii="宋体" w:eastAsia="宋体" w:hAnsi="宋体"/>
          <w:sz w:val="24"/>
        </w:rPr>
        <w:t xml:space="preserve">设七通道 LED 光谱矩阵为 A = [S₁(λ), …, S₇(λ)]，通道权重 w ≥ 0，优化目标为 min_{w≥0} ‖Aw - (S_target - S_current)‖₂²。这对应 </w:t>
      </w:r>
      <w:r>
        <w:rPr>
          <w:rFonts w:ascii="宋体" w:eastAsia="宋体" w:hAnsi="宋体"/>
          <w:sz w:val="24"/>
        </w:rPr>
        <w:lastRenderedPageBreak/>
        <w:t>lighting_compensation.py 中的投影梯度法实现。相比人工凭经验调灯，算法计算结果更稳定；相比传统双色温调节，七通道在更多波段上具备精细修正能力。LED 通道光谱全部来自公开实测 LED 数据。</w:t>
      </w:r>
    </w:p>
    <w:p w14:paraId="2FFCDB5E" w14:textId="77777777" w:rsidR="007E1F4F" w:rsidRDefault="00000000">
      <w:bookmarkStart w:id="31" w:name="_Toce449c098"/>
      <w:r>
        <w:rPr>
          <w:rFonts w:ascii="黑体" w:eastAsia="黑体" w:hAnsi="黑体"/>
          <w:b/>
          <w:sz w:val="28"/>
        </w:rPr>
        <w:t>传统双色温 LED 对照</w:t>
      </w:r>
      <w:bookmarkEnd w:id="31"/>
    </w:p>
    <w:p w14:paraId="12787596" w14:textId="77777777" w:rsidR="007E1F4F" w:rsidRDefault="00000000">
      <w:pPr>
        <w:spacing w:line="360" w:lineRule="auto"/>
        <w:ind w:firstLine="480"/>
        <w:jc w:val="both"/>
      </w:pPr>
      <w:r>
        <w:rPr>
          <w:rFonts w:ascii="宋体" w:eastAsia="宋体" w:hAnsi="宋体"/>
          <w:sz w:val="24"/>
        </w:rPr>
        <w:t>为了说明多通道补偿相对常见方案的优势，本项目另外实现了一个传统双色温 LED 基线。市面上常见的双色温灯具只有冷暖配比和亮度两个调节维度，其混光可表示为 S_dual(λ) = g · [a · S_warm(λ) + (1-a) · S_cool(λ)]，其中 a ∈ [0,1] 为暖白占比，g 为亮度系数。代码在 a 上做网格搜索，每个 a 下 g 有最小二乘闭式解（截断到非负），最终取与目标光谱误差最小的组合。对照规则与多通道方案一致，均以“自然光 + LED 混光尽量接近目标光谱”为目标，保证两种方案在同一标准下比较。暖白、冷白光谱与七通道方案用的是同一份实测数据。</w:t>
      </w:r>
    </w:p>
    <w:p w14:paraId="3243C1D0" w14:textId="77777777" w:rsidR="007E1F4F" w:rsidRDefault="00000000">
      <w:bookmarkStart w:id="32" w:name="_Tocecfa6025"/>
      <w:r>
        <w:rPr>
          <w:rFonts w:ascii="黑体" w:eastAsia="黑体" w:hAnsi="黑体"/>
          <w:b/>
          <w:sz w:val="28"/>
        </w:rPr>
        <w:t>补偿效果</w:t>
      </w:r>
      <w:bookmarkEnd w:id="32"/>
    </w:p>
    <w:p w14:paraId="6C6F213D" w14:textId="77777777" w:rsidR="007E1F4F" w:rsidRDefault="00000000">
      <w:pPr>
        <w:spacing w:line="360" w:lineRule="auto"/>
        <w:ind w:firstLine="480"/>
        <w:jc w:val="both"/>
      </w:pPr>
      <w:r>
        <w:rPr>
          <w:rFonts w:ascii="宋体" w:eastAsia="宋体" w:hAnsi="宋体"/>
          <w:sz w:val="24"/>
        </w:rPr>
        <w:t>以第八节的测试样本为例（学习场景、目标照度 500 lux、室外照度 50000 lux），补偿前后的光谱 RMSE 从 0.4863 降到 0.2690，误差下降 44.7%。分波段看，黄绿敏感区改善 87.4%，橙红暖色段改善 75.4%，短波蓝光和深红边缘改善有限——这两段处在七通道 LED 覆盖能力的边缘，是硬件光谱本身的限制。</w:t>
      </w:r>
    </w:p>
    <w:p w14:paraId="7E5B0D17" w14:textId="77777777" w:rsidR="007E1F4F" w:rsidRDefault="00000000">
      <w:pPr>
        <w:spacing w:line="240" w:lineRule="auto"/>
      </w:pPr>
      <w:r>
        <w:rPr>
          <w:noProof/>
        </w:rPr>
        <w:drawing>
          <wp:inline distT="0" distB="0" distL="0" distR="0" wp14:anchorId="76734D65" wp14:editId="406D1779">
            <wp:extent cx="2700000" cy="844064"/>
            <wp:effectExtent l="0" t="0" r="0" b="0"/>
            <wp:docPr id="7" name="七通道 LED 补偿比例与补偿前后光谱对比" descr="七通道 LED 补偿比例与补偿前后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七通道 LED 补偿比例与补偿前后光谱对比"/>
                    <pic:cNvPicPr/>
                  </pic:nvPicPr>
                  <pic:blipFill>
                    <a:blip r:embed="rId10" cstate="print"/>
                    <a:stretch>
                      <a:fillRect/>
                    </a:stretch>
                  </pic:blipFill>
                  <pic:spPr>
                    <a:xfrm>
                      <a:off x="0" y="0"/>
                      <a:ext cx="2700000" cy="844064"/>
                    </a:xfrm>
                    <a:prstGeom prst="rect">
                      <a:avLst/>
                    </a:prstGeom>
                  </pic:spPr>
                </pic:pic>
              </a:graphicData>
            </a:graphic>
          </wp:inline>
        </w:drawing>
      </w:r>
    </w:p>
    <w:p w14:paraId="06123168" w14:textId="77777777" w:rsidR="007E1F4F" w:rsidRDefault="00000000">
      <w:pPr>
        <w:spacing w:line="240" w:lineRule="auto"/>
      </w:pPr>
      <w:r>
        <w:rPr>
          <w:noProof/>
        </w:rPr>
        <w:drawing>
          <wp:inline distT="0" distB="0" distL="0" distR="0" wp14:anchorId="342A597F" wp14:editId="57B81D20">
            <wp:extent cx="2700000" cy="1840636"/>
            <wp:effectExtent l="0" t="0" r="0" b="0"/>
            <wp:docPr id="8" name="分波段误差下降" descr="分波段误差下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分波段误差下降"/>
                    <pic:cNvPicPr/>
                  </pic:nvPicPr>
                  <pic:blipFill>
                    <a:blip r:embed="rId11" cstate="print"/>
                    <a:stretch>
                      <a:fillRect/>
                    </a:stretch>
                  </pic:blipFill>
                  <pic:spPr>
                    <a:xfrm>
                      <a:off x="0" y="0"/>
                      <a:ext cx="2700000" cy="1840636"/>
                    </a:xfrm>
                    <a:prstGeom prst="rect">
                      <a:avLst/>
                    </a:prstGeom>
                  </pic:spPr>
                </pic:pic>
              </a:graphicData>
            </a:graphic>
          </wp:inline>
        </w:drawing>
      </w:r>
    </w:p>
    <w:p w14:paraId="02FE149D" w14:textId="77777777" w:rsidR="007E1F4F" w:rsidRDefault="00000000">
      <w:bookmarkStart w:id="33" w:name="_Toc0d35f719"/>
      <w:r>
        <w:rPr>
          <w:rFonts w:ascii="黑体" w:eastAsia="黑体" w:hAnsi="黑体"/>
          <w:b/>
          <w:sz w:val="32"/>
        </w:rPr>
        <w:t>十一、应用展示</w:t>
      </w:r>
      <w:bookmarkEnd w:id="33"/>
    </w:p>
    <w:p w14:paraId="6869767E" w14:textId="77777777" w:rsidR="007E1F4F" w:rsidRDefault="00000000">
      <w:bookmarkStart w:id="34" w:name="_Toc49fffc64"/>
      <w:r>
        <w:rPr>
          <w:rFonts w:ascii="黑体" w:eastAsia="黑体" w:hAnsi="黑体"/>
          <w:b/>
          <w:sz w:val="28"/>
        </w:rPr>
        <w:t>应用环境演示</w:t>
      </w:r>
      <w:bookmarkEnd w:id="34"/>
    </w:p>
    <w:p w14:paraId="30F3A71A" w14:textId="77777777" w:rsidR="007E1F4F" w:rsidRDefault="00000000">
      <w:pPr>
        <w:spacing w:line="360" w:lineRule="auto"/>
        <w:ind w:firstLine="480"/>
        <w:jc w:val="both"/>
      </w:pPr>
      <w:r>
        <w:rPr>
          <w:rFonts w:ascii="宋体" w:eastAsia="宋体" w:hAnsi="宋体"/>
          <w:sz w:val="24"/>
        </w:rPr>
        <w:lastRenderedPageBreak/>
        <w:t>在应用展示部分，项目设置了晴天中午、多云下午、阴雨天气、傍晚低太阳高度角四类天气场景。每个场景的参数均来自真实数据：先在数据集中筛出对应场景的样本子集，数值特征取中位数、类别特征取众数，再覆盖少量场景标志值（如正午把小时定为 12），使生成的输入与训练数据保持同分布。系统根据场景参数预测自然光相对光谱，进一步计算多通道 LED 补偿方案，并用上一节的传统双色温 LED 方案作对照，比较两者与目标光谱之间的误差。四个场景都支持改为自定义参数。</w:t>
      </w:r>
    </w:p>
    <w:p w14:paraId="0E5E6D6F" w14:textId="77777777" w:rsidR="007E1F4F" w:rsidRDefault="00000000">
      <w:pPr>
        <w:spacing w:line="360" w:lineRule="auto"/>
        <w:ind w:firstLine="480"/>
        <w:jc w:val="both"/>
      </w:pPr>
      <w:r>
        <w:rPr>
          <w:rFonts w:ascii="宋体" w:eastAsia="宋体" w:hAnsi="宋体"/>
          <w:sz w:val="24"/>
        </w:rPr>
        <w:t>四个预设的运行结果如下（由 outputs/results/application_preset_summary.csv 导出）：</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5"/>
        <w:gridCol w:w="1095"/>
        <w:gridCol w:w="1474"/>
        <w:gridCol w:w="1474"/>
        <w:gridCol w:w="1372"/>
        <w:gridCol w:w="1360"/>
      </w:tblGrid>
      <w:tr w:rsidR="007E1F4F" w14:paraId="3ED4350E" w14:textId="77777777">
        <w:tblPrEx>
          <w:tblCellMar>
            <w:top w:w="0" w:type="dxa"/>
            <w:bottom w:w="0" w:type="dxa"/>
          </w:tblCellMar>
        </w:tblPrEx>
        <w:tc>
          <w:tcPr>
            <w:tcW w:w="0" w:type="auto"/>
          </w:tcPr>
          <w:p w14:paraId="5798FEC2" w14:textId="77777777" w:rsidR="007E1F4F" w:rsidRDefault="00000000">
            <w:pPr>
              <w:jc w:val="center"/>
              <w:rPr>
                <w:rFonts w:ascii="黑体" w:eastAsia="黑体" w:hAnsi="黑体"/>
                <w:b/>
                <w:sz w:val="20"/>
              </w:rPr>
            </w:pPr>
            <w:r>
              <w:rPr>
                <w:rFonts w:ascii="黑体" w:eastAsia="黑体" w:hAnsi="黑体"/>
                <w:b/>
                <w:sz w:val="20"/>
              </w:rPr>
              <w:t>天气预设</w:t>
            </w:r>
          </w:p>
        </w:tc>
        <w:tc>
          <w:tcPr>
            <w:tcW w:w="0" w:type="auto"/>
          </w:tcPr>
          <w:p w14:paraId="2372449A" w14:textId="77777777" w:rsidR="007E1F4F" w:rsidRDefault="00000000">
            <w:pPr>
              <w:jc w:val="center"/>
              <w:rPr>
                <w:rFonts w:ascii="黑体" w:eastAsia="黑体" w:hAnsi="黑体"/>
                <w:b/>
                <w:sz w:val="20"/>
              </w:rPr>
            </w:pPr>
            <w:r>
              <w:rPr>
                <w:rFonts w:ascii="黑体" w:eastAsia="黑体" w:hAnsi="黑体"/>
                <w:b/>
                <w:sz w:val="20"/>
              </w:rPr>
              <w:t>未补偿 RMSE</w:t>
            </w:r>
          </w:p>
        </w:tc>
        <w:tc>
          <w:tcPr>
            <w:tcW w:w="0" w:type="auto"/>
          </w:tcPr>
          <w:p w14:paraId="71BE7F8A" w14:textId="77777777" w:rsidR="007E1F4F" w:rsidRDefault="00000000">
            <w:pPr>
              <w:jc w:val="center"/>
              <w:rPr>
                <w:rFonts w:ascii="黑体" w:eastAsia="黑体" w:hAnsi="黑体"/>
                <w:b/>
                <w:sz w:val="20"/>
              </w:rPr>
            </w:pPr>
            <w:r>
              <w:rPr>
                <w:rFonts w:ascii="黑体" w:eastAsia="黑体" w:hAnsi="黑体"/>
                <w:b/>
                <w:sz w:val="20"/>
              </w:rPr>
              <w:t>多通道补偿 RMSE</w:t>
            </w:r>
          </w:p>
        </w:tc>
        <w:tc>
          <w:tcPr>
            <w:tcW w:w="0" w:type="auto"/>
          </w:tcPr>
          <w:p w14:paraId="342FC8CB" w14:textId="77777777" w:rsidR="007E1F4F" w:rsidRDefault="00000000">
            <w:pPr>
              <w:jc w:val="center"/>
              <w:rPr>
                <w:rFonts w:ascii="黑体" w:eastAsia="黑体" w:hAnsi="黑体"/>
                <w:b/>
                <w:sz w:val="20"/>
              </w:rPr>
            </w:pPr>
            <w:r>
              <w:rPr>
                <w:rFonts w:ascii="黑体" w:eastAsia="黑体" w:hAnsi="黑体"/>
                <w:b/>
                <w:sz w:val="20"/>
              </w:rPr>
              <w:t>双色温对照 RMSE</w:t>
            </w:r>
          </w:p>
        </w:tc>
        <w:tc>
          <w:tcPr>
            <w:tcW w:w="0" w:type="auto"/>
          </w:tcPr>
          <w:p w14:paraId="2836F0BC" w14:textId="77777777" w:rsidR="007E1F4F" w:rsidRDefault="00000000">
            <w:pPr>
              <w:jc w:val="center"/>
              <w:rPr>
                <w:rFonts w:ascii="黑体" w:eastAsia="黑体" w:hAnsi="黑体"/>
                <w:b/>
                <w:sz w:val="20"/>
              </w:rPr>
            </w:pPr>
            <w:r>
              <w:rPr>
                <w:rFonts w:ascii="黑体" w:eastAsia="黑体" w:hAnsi="黑体"/>
                <w:b/>
                <w:sz w:val="20"/>
              </w:rPr>
              <w:t>多通道误差下降</w:t>
            </w:r>
          </w:p>
        </w:tc>
        <w:tc>
          <w:tcPr>
            <w:tcW w:w="0" w:type="auto"/>
          </w:tcPr>
          <w:p w14:paraId="5EBE1FBB" w14:textId="77777777" w:rsidR="007E1F4F" w:rsidRDefault="00000000">
            <w:pPr>
              <w:jc w:val="center"/>
              <w:rPr>
                <w:rFonts w:ascii="黑体" w:eastAsia="黑体" w:hAnsi="黑体"/>
                <w:b/>
                <w:sz w:val="20"/>
              </w:rPr>
            </w:pPr>
            <w:r>
              <w:rPr>
                <w:rFonts w:ascii="黑体" w:eastAsia="黑体" w:hAnsi="黑体"/>
                <w:b/>
                <w:sz w:val="20"/>
              </w:rPr>
              <w:t>双色温暖白占比</w:t>
            </w:r>
          </w:p>
        </w:tc>
      </w:tr>
      <w:tr w:rsidR="007E1F4F" w14:paraId="22A3CA42" w14:textId="77777777">
        <w:tblPrEx>
          <w:tblCellMar>
            <w:top w:w="0" w:type="dxa"/>
            <w:bottom w:w="0" w:type="dxa"/>
          </w:tblCellMar>
        </w:tblPrEx>
        <w:tc>
          <w:tcPr>
            <w:tcW w:w="0" w:type="auto"/>
          </w:tcPr>
          <w:p w14:paraId="6E04380B" w14:textId="77777777" w:rsidR="007E1F4F" w:rsidRDefault="00000000">
            <w:pPr>
              <w:rPr>
                <w:rFonts w:ascii="宋体" w:eastAsia="宋体" w:hAnsi="宋体"/>
                <w:sz w:val="20"/>
              </w:rPr>
            </w:pPr>
            <w:r>
              <w:rPr>
                <w:rFonts w:ascii="宋体" w:eastAsia="宋体" w:hAnsi="宋体"/>
                <w:sz w:val="20"/>
              </w:rPr>
              <w:t>晴天中午</w:t>
            </w:r>
          </w:p>
        </w:tc>
        <w:tc>
          <w:tcPr>
            <w:tcW w:w="0" w:type="auto"/>
          </w:tcPr>
          <w:p w14:paraId="32E6F5A8" w14:textId="77777777" w:rsidR="007E1F4F" w:rsidRDefault="00000000">
            <w:pPr>
              <w:jc w:val="center"/>
              <w:rPr>
                <w:rFonts w:ascii="宋体" w:eastAsia="宋体" w:hAnsi="宋体"/>
                <w:sz w:val="20"/>
              </w:rPr>
            </w:pPr>
            <w:r>
              <w:rPr>
                <w:rFonts w:ascii="宋体" w:eastAsia="宋体" w:hAnsi="宋体"/>
                <w:sz w:val="20"/>
              </w:rPr>
              <w:t>0.3562</w:t>
            </w:r>
          </w:p>
        </w:tc>
        <w:tc>
          <w:tcPr>
            <w:tcW w:w="0" w:type="auto"/>
          </w:tcPr>
          <w:p w14:paraId="616B0B04" w14:textId="77777777" w:rsidR="007E1F4F" w:rsidRDefault="00000000">
            <w:pPr>
              <w:jc w:val="center"/>
              <w:rPr>
                <w:rFonts w:ascii="宋体" w:eastAsia="宋体" w:hAnsi="宋体"/>
                <w:sz w:val="20"/>
              </w:rPr>
            </w:pPr>
            <w:r>
              <w:rPr>
                <w:rFonts w:ascii="宋体" w:eastAsia="宋体" w:hAnsi="宋体"/>
                <w:sz w:val="20"/>
              </w:rPr>
              <w:t>0.1989</w:t>
            </w:r>
          </w:p>
        </w:tc>
        <w:tc>
          <w:tcPr>
            <w:tcW w:w="0" w:type="auto"/>
          </w:tcPr>
          <w:p w14:paraId="62928240" w14:textId="77777777" w:rsidR="007E1F4F" w:rsidRDefault="00000000">
            <w:pPr>
              <w:jc w:val="center"/>
              <w:rPr>
                <w:rFonts w:ascii="宋体" w:eastAsia="宋体" w:hAnsi="宋体"/>
                <w:sz w:val="20"/>
              </w:rPr>
            </w:pPr>
            <w:r>
              <w:rPr>
                <w:rFonts w:ascii="宋体" w:eastAsia="宋体" w:hAnsi="宋体"/>
                <w:sz w:val="20"/>
              </w:rPr>
              <w:t>0.2219</w:t>
            </w:r>
          </w:p>
        </w:tc>
        <w:tc>
          <w:tcPr>
            <w:tcW w:w="0" w:type="auto"/>
          </w:tcPr>
          <w:p w14:paraId="299BBD60" w14:textId="77777777" w:rsidR="007E1F4F" w:rsidRDefault="00000000">
            <w:pPr>
              <w:jc w:val="center"/>
              <w:rPr>
                <w:rFonts w:ascii="宋体" w:eastAsia="宋体" w:hAnsi="宋体"/>
                <w:sz w:val="20"/>
              </w:rPr>
            </w:pPr>
            <w:r>
              <w:rPr>
                <w:rFonts w:ascii="宋体" w:eastAsia="宋体" w:hAnsi="宋体"/>
                <w:sz w:val="20"/>
              </w:rPr>
              <w:t>44.2%</w:t>
            </w:r>
          </w:p>
        </w:tc>
        <w:tc>
          <w:tcPr>
            <w:tcW w:w="0" w:type="auto"/>
          </w:tcPr>
          <w:p w14:paraId="56BCC379" w14:textId="77777777" w:rsidR="007E1F4F" w:rsidRDefault="00000000">
            <w:pPr>
              <w:jc w:val="center"/>
              <w:rPr>
                <w:rFonts w:ascii="宋体" w:eastAsia="宋体" w:hAnsi="宋体"/>
                <w:sz w:val="20"/>
              </w:rPr>
            </w:pPr>
            <w:r>
              <w:rPr>
                <w:rFonts w:ascii="宋体" w:eastAsia="宋体" w:hAnsi="宋体"/>
                <w:sz w:val="20"/>
              </w:rPr>
              <w:t>43%</w:t>
            </w:r>
          </w:p>
        </w:tc>
      </w:tr>
      <w:tr w:rsidR="007E1F4F" w14:paraId="55D7B6FA" w14:textId="77777777">
        <w:tblPrEx>
          <w:tblCellMar>
            <w:top w:w="0" w:type="dxa"/>
            <w:bottom w:w="0" w:type="dxa"/>
          </w:tblCellMar>
        </w:tblPrEx>
        <w:tc>
          <w:tcPr>
            <w:tcW w:w="0" w:type="auto"/>
          </w:tcPr>
          <w:p w14:paraId="0092FC87" w14:textId="77777777" w:rsidR="007E1F4F" w:rsidRDefault="00000000">
            <w:pPr>
              <w:rPr>
                <w:rFonts w:ascii="宋体" w:eastAsia="宋体" w:hAnsi="宋体"/>
                <w:sz w:val="20"/>
              </w:rPr>
            </w:pPr>
            <w:r>
              <w:rPr>
                <w:rFonts w:ascii="宋体" w:eastAsia="宋体" w:hAnsi="宋体"/>
                <w:sz w:val="20"/>
              </w:rPr>
              <w:t>多云下午</w:t>
            </w:r>
          </w:p>
        </w:tc>
        <w:tc>
          <w:tcPr>
            <w:tcW w:w="0" w:type="auto"/>
          </w:tcPr>
          <w:p w14:paraId="21EE8383" w14:textId="77777777" w:rsidR="007E1F4F" w:rsidRDefault="00000000">
            <w:pPr>
              <w:jc w:val="center"/>
              <w:rPr>
                <w:rFonts w:ascii="宋体" w:eastAsia="宋体" w:hAnsi="宋体"/>
                <w:sz w:val="20"/>
              </w:rPr>
            </w:pPr>
            <w:r>
              <w:rPr>
                <w:rFonts w:ascii="宋体" w:eastAsia="宋体" w:hAnsi="宋体"/>
                <w:sz w:val="20"/>
              </w:rPr>
              <w:t>0.6080</w:t>
            </w:r>
          </w:p>
        </w:tc>
        <w:tc>
          <w:tcPr>
            <w:tcW w:w="0" w:type="auto"/>
          </w:tcPr>
          <w:p w14:paraId="56380278" w14:textId="77777777" w:rsidR="007E1F4F" w:rsidRDefault="00000000">
            <w:pPr>
              <w:jc w:val="center"/>
              <w:rPr>
                <w:rFonts w:ascii="宋体" w:eastAsia="宋体" w:hAnsi="宋体"/>
                <w:sz w:val="20"/>
              </w:rPr>
            </w:pPr>
            <w:r>
              <w:rPr>
                <w:rFonts w:ascii="宋体" w:eastAsia="宋体" w:hAnsi="宋体"/>
                <w:sz w:val="20"/>
              </w:rPr>
              <w:t>0.3342</w:t>
            </w:r>
          </w:p>
        </w:tc>
        <w:tc>
          <w:tcPr>
            <w:tcW w:w="0" w:type="auto"/>
          </w:tcPr>
          <w:p w14:paraId="3DC39EAE" w14:textId="77777777" w:rsidR="007E1F4F" w:rsidRDefault="00000000">
            <w:pPr>
              <w:jc w:val="center"/>
              <w:rPr>
                <w:rFonts w:ascii="宋体" w:eastAsia="宋体" w:hAnsi="宋体"/>
                <w:sz w:val="20"/>
              </w:rPr>
            </w:pPr>
            <w:r>
              <w:rPr>
                <w:rFonts w:ascii="宋体" w:eastAsia="宋体" w:hAnsi="宋体"/>
                <w:sz w:val="20"/>
              </w:rPr>
              <w:t>0.3737</w:t>
            </w:r>
          </w:p>
        </w:tc>
        <w:tc>
          <w:tcPr>
            <w:tcW w:w="0" w:type="auto"/>
          </w:tcPr>
          <w:p w14:paraId="14AB5CB8" w14:textId="77777777" w:rsidR="007E1F4F" w:rsidRDefault="00000000">
            <w:pPr>
              <w:jc w:val="center"/>
              <w:rPr>
                <w:rFonts w:ascii="宋体" w:eastAsia="宋体" w:hAnsi="宋体"/>
                <w:sz w:val="20"/>
              </w:rPr>
            </w:pPr>
            <w:r>
              <w:rPr>
                <w:rFonts w:ascii="宋体" w:eastAsia="宋体" w:hAnsi="宋体"/>
                <w:sz w:val="20"/>
              </w:rPr>
              <w:t>45.0%</w:t>
            </w:r>
          </w:p>
        </w:tc>
        <w:tc>
          <w:tcPr>
            <w:tcW w:w="0" w:type="auto"/>
          </w:tcPr>
          <w:p w14:paraId="0D10BAB7" w14:textId="77777777" w:rsidR="007E1F4F" w:rsidRDefault="00000000">
            <w:pPr>
              <w:jc w:val="center"/>
              <w:rPr>
                <w:rFonts w:ascii="宋体" w:eastAsia="宋体" w:hAnsi="宋体"/>
                <w:sz w:val="20"/>
              </w:rPr>
            </w:pPr>
            <w:r>
              <w:rPr>
                <w:rFonts w:ascii="宋体" w:eastAsia="宋体" w:hAnsi="宋体"/>
                <w:sz w:val="20"/>
              </w:rPr>
              <w:t>45%</w:t>
            </w:r>
          </w:p>
        </w:tc>
      </w:tr>
      <w:tr w:rsidR="007E1F4F" w14:paraId="51298339" w14:textId="77777777">
        <w:tblPrEx>
          <w:tblCellMar>
            <w:top w:w="0" w:type="dxa"/>
            <w:bottom w:w="0" w:type="dxa"/>
          </w:tblCellMar>
        </w:tblPrEx>
        <w:tc>
          <w:tcPr>
            <w:tcW w:w="0" w:type="auto"/>
          </w:tcPr>
          <w:p w14:paraId="4F936D03" w14:textId="77777777" w:rsidR="007E1F4F" w:rsidRDefault="00000000">
            <w:pPr>
              <w:rPr>
                <w:rFonts w:ascii="宋体" w:eastAsia="宋体" w:hAnsi="宋体"/>
                <w:sz w:val="20"/>
              </w:rPr>
            </w:pPr>
            <w:r>
              <w:rPr>
                <w:rFonts w:ascii="宋体" w:eastAsia="宋体" w:hAnsi="宋体"/>
                <w:sz w:val="20"/>
              </w:rPr>
              <w:t>阴雨天气</w:t>
            </w:r>
          </w:p>
        </w:tc>
        <w:tc>
          <w:tcPr>
            <w:tcW w:w="0" w:type="auto"/>
          </w:tcPr>
          <w:p w14:paraId="65C9DDE9" w14:textId="77777777" w:rsidR="007E1F4F" w:rsidRDefault="00000000">
            <w:pPr>
              <w:jc w:val="center"/>
              <w:rPr>
                <w:rFonts w:ascii="宋体" w:eastAsia="宋体" w:hAnsi="宋体"/>
                <w:sz w:val="20"/>
              </w:rPr>
            </w:pPr>
            <w:r>
              <w:rPr>
                <w:rFonts w:ascii="宋体" w:eastAsia="宋体" w:hAnsi="宋体"/>
                <w:sz w:val="20"/>
              </w:rPr>
              <w:t>0.7424</w:t>
            </w:r>
          </w:p>
        </w:tc>
        <w:tc>
          <w:tcPr>
            <w:tcW w:w="0" w:type="auto"/>
          </w:tcPr>
          <w:p w14:paraId="0C531AF9" w14:textId="77777777" w:rsidR="007E1F4F" w:rsidRDefault="00000000">
            <w:pPr>
              <w:jc w:val="center"/>
              <w:rPr>
                <w:rFonts w:ascii="宋体" w:eastAsia="宋体" w:hAnsi="宋体"/>
                <w:sz w:val="20"/>
              </w:rPr>
            </w:pPr>
            <w:r>
              <w:rPr>
                <w:rFonts w:ascii="宋体" w:eastAsia="宋体" w:hAnsi="宋体"/>
                <w:sz w:val="20"/>
              </w:rPr>
              <w:t>0.4126</w:t>
            </w:r>
          </w:p>
        </w:tc>
        <w:tc>
          <w:tcPr>
            <w:tcW w:w="0" w:type="auto"/>
          </w:tcPr>
          <w:p w14:paraId="6B3E8870" w14:textId="77777777" w:rsidR="007E1F4F" w:rsidRDefault="00000000">
            <w:pPr>
              <w:jc w:val="center"/>
              <w:rPr>
                <w:rFonts w:ascii="宋体" w:eastAsia="宋体" w:hAnsi="宋体"/>
                <w:sz w:val="20"/>
              </w:rPr>
            </w:pPr>
            <w:r>
              <w:rPr>
                <w:rFonts w:ascii="宋体" w:eastAsia="宋体" w:hAnsi="宋体"/>
                <w:sz w:val="20"/>
              </w:rPr>
              <w:t>0.4603</w:t>
            </w:r>
          </w:p>
        </w:tc>
        <w:tc>
          <w:tcPr>
            <w:tcW w:w="0" w:type="auto"/>
          </w:tcPr>
          <w:p w14:paraId="5905238D" w14:textId="77777777" w:rsidR="007E1F4F" w:rsidRDefault="00000000">
            <w:pPr>
              <w:jc w:val="center"/>
              <w:rPr>
                <w:rFonts w:ascii="宋体" w:eastAsia="宋体" w:hAnsi="宋体"/>
                <w:sz w:val="20"/>
              </w:rPr>
            </w:pPr>
            <w:r>
              <w:rPr>
                <w:rFonts w:ascii="宋体" w:eastAsia="宋体" w:hAnsi="宋体"/>
                <w:sz w:val="20"/>
              </w:rPr>
              <w:t>44.4%</w:t>
            </w:r>
          </w:p>
        </w:tc>
        <w:tc>
          <w:tcPr>
            <w:tcW w:w="0" w:type="auto"/>
          </w:tcPr>
          <w:p w14:paraId="3531C399" w14:textId="77777777" w:rsidR="007E1F4F" w:rsidRDefault="00000000">
            <w:pPr>
              <w:jc w:val="center"/>
              <w:rPr>
                <w:rFonts w:ascii="宋体" w:eastAsia="宋体" w:hAnsi="宋体"/>
                <w:sz w:val="20"/>
              </w:rPr>
            </w:pPr>
            <w:r>
              <w:rPr>
                <w:rFonts w:ascii="宋体" w:eastAsia="宋体" w:hAnsi="宋体"/>
                <w:sz w:val="20"/>
              </w:rPr>
              <w:t>44%</w:t>
            </w:r>
          </w:p>
        </w:tc>
      </w:tr>
      <w:tr w:rsidR="007E1F4F" w14:paraId="6D034D2D" w14:textId="77777777">
        <w:tblPrEx>
          <w:tblCellMar>
            <w:top w:w="0" w:type="dxa"/>
            <w:bottom w:w="0" w:type="dxa"/>
          </w:tblCellMar>
        </w:tblPrEx>
        <w:tc>
          <w:tcPr>
            <w:tcW w:w="0" w:type="auto"/>
          </w:tcPr>
          <w:p w14:paraId="409BF5DA" w14:textId="77777777" w:rsidR="007E1F4F" w:rsidRDefault="00000000">
            <w:pPr>
              <w:rPr>
                <w:rFonts w:ascii="宋体" w:eastAsia="宋体" w:hAnsi="宋体"/>
                <w:sz w:val="20"/>
              </w:rPr>
            </w:pPr>
            <w:r>
              <w:rPr>
                <w:rFonts w:ascii="宋体" w:eastAsia="宋体" w:hAnsi="宋体"/>
                <w:sz w:val="20"/>
              </w:rPr>
              <w:t>傍晚低太阳高度角</w:t>
            </w:r>
          </w:p>
        </w:tc>
        <w:tc>
          <w:tcPr>
            <w:tcW w:w="0" w:type="auto"/>
          </w:tcPr>
          <w:p w14:paraId="3A33855C" w14:textId="77777777" w:rsidR="007E1F4F" w:rsidRDefault="00000000">
            <w:pPr>
              <w:jc w:val="center"/>
              <w:rPr>
                <w:rFonts w:ascii="宋体" w:eastAsia="宋体" w:hAnsi="宋体"/>
                <w:sz w:val="20"/>
              </w:rPr>
            </w:pPr>
            <w:r>
              <w:rPr>
                <w:rFonts w:ascii="宋体" w:eastAsia="宋体" w:hAnsi="宋体"/>
                <w:sz w:val="20"/>
              </w:rPr>
              <w:t>0.7500</w:t>
            </w:r>
          </w:p>
        </w:tc>
        <w:tc>
          <w:tcPr>
            <w:tcW w:w="0" w:type="auto"/>
          </w:tcPr>
          <w:p w14:paraId="658FFA1A" w14:textId="77777777" w:rsidR="007E1F4F" w:rsidRDefault="00000000">
            <w:pPr>
              <w:jc w:val="center"/>
              <w:rPr>
                <w:rFonts w:ascii="宋体" w:eastAsia="宋体" w:hAnsi="宋体"/>
                <w:sz w:val="20"/>
              </w:rPr>
            </w:pPr>
            <w:r>
              <w:rPr>
                <w:rFonts w:ascii="宋体" w:eastAsia="宋体" w:hAnsi="宋体"/>
                <w:sz w:val="20"/>
              </w:rPr>
              <w:t>0.4161</w:t>
            </w:r>
          </w:p>
        </w:tc>
        <w:tc>
          <w:tcPr>
            <w:tcW w:w="0" w:type="auto"/>
          </w:tcPr>
          <w:p w14:paraId="5F7AB5EC" w14:textId="77777777" w:rsidR="007E1F4F" w:rsidRDefault="00000000">
            <w:pPr>
              <w:jc w:val="center"/>
              <w:rPr>
                <w:rFonts w:ascii="宋体" w:eastAsia="宋体" w:hAnsi="宋体"/>
                <w:sz w:val="20"/>
              </w:rPr>
            </w:pPr>
            <w:r>
              <w:rPr>
                <w:rFonts w:ascii="宋体" w:eastAsia="宋体" w:hAnsi="宋体"/>
                <w:sz w:val="20"/>
              </w:rPr>
              <w:t>0.4640</w:t>
            </w:r>
          </w:p>
        </w:tc>
        <w:tc>
          <w:tcPr>
            <w:tcW w:w="0" w:type="auto"/>
          </w:tcPr>
          <w:p w14:paraId="01A20FF5" w14:textId="77777777" w:rsidR="007E1F4F" w:rsidRDefault="00000000">
            <w:pPr>
              <w:jc w:val="center"/>
              <w:rPr>
                <w:rFonts w:ascii="宋体" w:eastAsia="宋体" w:hAnsi="宋体"/>
                <w:sz w:val="20"/>
              </w:rPr>
            </w:pPr>
            <w:r>
              <w:rPr>
                <w:rFonts w:ascii="宋体" w:eastAsia="宋体" w:hAnsi="宋体"/>
                <w:sz w:val="20"/>
              </w:rPr>
              <w:t>44.5%</w:t>
            </w:r>
          </w:p>
        </w:tc>
        <w:tc>
          <w:tcPr>
            <w:tcW w:w="0" w:type="auto"/>
          </w:tcPr>
          <w:p w14:paraId="414AC8BA" w14:textId="77777777" w:rsidR="007E1F4F" w:rsidRDefault="00000000">
            <w:pPr>
              <w:jc w:val="center"/>
              <w:rPr>
                <w:rFonts w:ascii="宋体" w:eastAsia="宋体" w:hAnsi="宋体"/>
                <w:sz w:val="20"/>
              </w:rPr>
            </w:pPr>
            <w:r>
              <w:rPr>
                <w:rFonts w:ascii="宋体" w:eastAsia="宋体" w:hAnsi="宋体"/>
                <w:sz w:val="20"/>
              </w:rPr>
              <w:t>45%</w:t>
            </w:r>
          </w:p>
        </w:tc>
      </w:tr>
    </w:tbl>
    <w:p w14:paraId="32B4B933" w14:textId="77777777" w:rsidR="007E1F4F" w:rsidRDefault="00000000">
      <w:pPr>
        <w:spacing w:line="360" w:lineRule="auto"/>
        <w:ind w:firstLine="480"/>
        <w:jc w:val="both"/>
      </w:pPr>
      <w:r>
        <w:rPr>
          <w:rFonts w:ascii="宋体" w:eastAsia="宋体" w:hAnsi="宋体"/>
          <w:sz w:val="24"/>
        </w:rPr>
        <w:t>两类方案在每个场景下均有稳定差距。从光谱曲线看原因更为直观：双色温方案在 460nm～540nm 青绿过渡段整体塌陷，仅靠暖白和冷白配比难以还原该段形状，多通道方案则通过青光、绿光通道弥补了这一缺口。</w:t>
      </w:r>
    </w:p>
    <w:p w14:paraId="5A31AB1F" w14:textId="77777777" w:rsidR="007E1F4F" w:rsidRDefault="00000000">
      <w:pPr>
        <w:spacing w:line="240" w:lineRule="auto"/>
      </w:pPr>
      <w:r>
        <w:rPr>
          <w:noProof/>
        </w:rPr>
        <w:drawing>
          <wp:inline distT="0" distB="0" distL="0" distR="0" wp14:anchorId="4D42331C" wp14:editId="7FAF94E1">
            <wp:extent cx="5400000" cy="1665292"/>
            <wp:effectExtent l="0" t="0" r="0" b="0"/>
            <wp:docPr id="9" name="七通道 LED 光谱贡献分解与应用演示光谱对比" descr="七通道 LED 光谱贡献分解与应用演示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七通道 LED 光谱贡献分解与应用演示光谱对比"/>
                    <pic:cNvPicPr/>
                  </pic:nvPicPr>
                  <pic:blipFill>
                    <a:blip r:embed="rId12" cstate="print"/>
                    <a:stretch>
                      <a:fillRect/>
                    </a:stretch>
                  </pic:blipFill>
                  <pic:spPr>
                    <a:xfrm>
                      <a:off x="0" y="0"/>
                      <a:ext cx="5400000" cy="1665292"/>
                    </a:xfrm>
                    <a:prstGeom prst="rect">
                      <a:avLst/>
                    </a:prstGeom>
                  </pic:spPr>
                </pic:pic>
              </a:graphicData>
            </a:graphic>
          </wp:inline>
        </w:drawing>
      </w:r>
    </w:p>
    <w:p w14:paraId="3E7EBD0C" w14:textId="77777777" w:rsidR="007E1F4F" w:rsidRDefault="00000000">
      <w:pPr>
        <w:spacing w:line="360" w:lineRule="auto"/>
        <w:ind w:firstLine="480"/>
        <w:jc w:val="both"/>
      </w:pPr>
      <w:r>
        <w:rPr>
          <w:rFonts w:ascii="宋体" w:eastAsia="宋体" w:hAnsi="宋体"/>
          <w:sz w:val="24"/>
        </w:rPr>
        <w:t>最后，系统把不同光谱通过 CIE 2015 标准观察者函数换算为屏幕 RGB，以圆形光斑形式展示其色度差异。几个圆统一大小、统一背景，亮度归一化后只比较色度。晴天中午场景下，多通道补偿后的光斑色度接近目标，双色温方案则明显偏暖粉。</w:t>
      </w:r>
    </w:p>
    <w:p w14:paraId="1F2747B5" w14:textId="77777777" w:rsidR="007E1F4F" w:rsidRDefault="00000000">
      <w:pPr>
        <w:spacing w:line="240" w:lineRule="auto"/>
      </w:pPr>
      <w:r>
        <w:rPr>
          <w:noProof/>
        </w:rPr>
        <w:lastRenderedPageBreak/>
        <w:drawing>
          <wp:inline distT="0" distB="0" distL="0" distR="0" wp14:anchorId="0DEF8888" wp14:editId="39558892">
            <wp:extent cx="4320000" cy="1302923"/>
            <wp:effectExtent l="0" t="0" r="0" b="0"/>
            <wp:docPr id="10" name="近似色度白圆对比（晴天中午）" descr="近似色度白圆对比（晴天中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近似色度白圆对比（晴天中午）"/>
                    <pic:cNvPicPr/>
                  </pic:nvPicPr>
                  <pic:blipFill>
                    <a:blip r:embed="rId13" cstate="print"/>
                    <a:stretch>
                      <a:fillRect/>
                    </a:stretch>
                  </pic:blipFill>
                  <pic:spPr>
                    <a:xfrm>
                      <a:off x="0" y="0"/>
                      <a:ext cx="4320000" cy="1302923"/>
                    </a:xfrm>
                    <a:prstGeom prst="rect">
                      <a:avLst/>
                    </a:prstGeom>
                  </pic:spPr>
                </pic:pic>
              </a:graphicData>
            </a:graphic>
          </wp:inline>
        </w:drawing>
      </w:r>
    </w:p>
    <w:p w14:paraId="40F6B622" w14:textId="77777777" w:rsidR="007E1F4F" w:rsidRDefault="00000000">
      <w:pPr>
        <w:spacing w:line="360" w:lineRule="auto"/>
        <w:ind w:firstLine="480"/>
        <w:jc w:val="both"/>
      </w:pPr>
      <w:r>
        <w:rPr>
          <w:rFonts w:ascii="宋体" w:eastAsia="宋体" w:hAnsi="宋体"/>
          <w:sz w:val="24"/>
        </w:rPr>
        <w:t>需注意，屏幕颜色仅为根据光谱计算得到的近似色度预览，不能替代真实光谱视觉效果。不同光谱可能在屏幕上显示为相近颜色，但其光谱组成仍然不同。</w:t>
      </w:r>
    </w:p>
    <w:p w14:paraId="53B605D9" w14:textId="77777777" w:rsidR="007E1F4F" w:rsidRDefault="00000000">
      <w:bookmarkStart w:id="35" w:name="_Toc3d7c4cad"/>
      <w:r>
        <w:rPr>
          <w:rFonts w:ascii="黑体" w:eastAsia="黑体" w:hAnsi="黑体"/>
          <w:b/>
          <w:sz w:val="28"/>
        </w:rPr>
        <w:t>Notebook 演示</w:t>
      </w:r>
      <w:bookmarkEnd w:id="35"/>
    </w:p>
    <w:p w14:paraId="090B4B53" w14:textId="77777777" w:rsidR="007E1F4F" w:rsidRDefault="00000000">
      <w:pPr>
        <w:spacing w:line="360" w:lineRule="auto"/>
        <w:ind w:firstLine="480"/>
        <w:jc w:val="both"/>
      </w:pPr>
      <w:r>
        <w:rPr>
          <w:rFonts w:ascii="宋体" w:eastAsia="宋体" w:hAnsi="宋体"/>
          <w:sz w:val="24"/>
        </w:rPr>
        <w:t>main.ipynb 按七个章节组织演示：数据来源与下载、数据观察与预处理、特征工程与光谱 PCA、模型训练（逐个打印五个模型的训练状态和耗时）、模型评估与最优模型选择、光谱预测与还原、照明补偿应用展示。第七节为上述应用环境演示的完整流程：选择天气预设、展示模型输入、输出 PCA 主成分系数和预测光谱、计算多通道补偿与双色温对照、绘制光谱对比和白圆色度对比、给出误差对比表。</w:t>
      </w:r>
    </w:p>
    <w:p w14:paraId="11555B70" w14:textId="77777777" w:rsidR="007E1F4F" w:rsidRDefault="00000000">
      <w:pPr>
        <w:spacing w:line="360" w:lineRule="auto"/>
        <w:jc w:val="both"/>
      </w:pPr>
      <w:r>
        <w:rPr>
          <w:rFonts w:ascii="宋体" w:eastAsia="宋体" w:hAnsi="宋体"/>
          <w:sz w:val="24"/>
        </w:rPr>
        <w:t>演示截图：</w:t>
      </w:r>
    </w:p>
    <w:p w14:paraId="12A19894" w14:textId="77777777" w:rsidR="007E1F4F" w:rsidRDefault="00000000">
      <w:pPr>
        <w:spacing w:line="240" w:lineRule="auto"/>
      </w:pPr>
      <w:r>
        <w:rPr>
          <w:noProof/>
        </w:rPr>
        <w:drawing>
          <wp:inline distT="0" distB="0" distL="0" distR="0" wp14:anchorId="2165279A" wp14:editId="40ACFB43">
            <wp:extent cx="3060000" cy="2668066"/>
            <wp:effectExtent l="0" t="0" r="0" b="0"/>
            <wp:docPr id="11" name="Notebook 数据下载与观察截图" descr="Notebook 数据下载与观察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tebook 数据下载与观察截图"/>
                    <pic:cNvPicPr/>
                  </pic:nvPicPr>
                  <pic:blipFill>
                    <a:blip r:embed="rId14" cstate="print"/>
                    <a:stretch>
                      <a:fillRect/>
                    </a:stretch>
                  </pic:blipFill>
                  <pic:spPr>
                    <a:xfrm>
                      <a:off x="0" y="0"/>
                      <a:ext cx="3060000" cy="2668066"/>
                    </a:xfrm>
                    <a:prstGeom prst="rect">
                      <a:avLst/>
                    </a:prstGeom>
                  </pic:spPr>
                </pic:pic>
              </a:graphicData>
            </a:graphic>
          </wp:inline>
        </w:drawing>
      </w:r>
    </w:p>
    <w:p w14:paraId="5C6724C7" w14:textId="77777777" w:rsidR="007E1F4F" w:rsidRDefault="00000000">
      <w:pPr>
        <w:spacing w:line="240" w:lineRule="auto"/>
      </w:pPr>
      <w:r>
        <w:rPr>
          <w:noProof/>
        </w:rPr>
        <w:lastRenderedPageBreak/>
        <w:drawing>
          <wp:inline distT="0" distB="0" distL="0" distR="0" wp14:anchorId="47301BA5" wp14:editId="1BA16EC6">
            <wp:extent cx="3060000" cy="2677500"/>
            <wp:effectExtent l="0" t="0" r="0" b="0"/>
            <wp:docPr id="12" name="Notebook 模型训练与评估截图" descr="Notebook 模型训练与评估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tebook 模型训练与评估截图"/>
                    <pic:cNvPicPr/>
                  </pic:nvPicPr>
                  <pic:blipFill>
                    <a:blip r:embed="rId15" cstate="print"/>
                    <a:stretch>
                      <a:fillRect/>
                    </a:stretch>
                  </pic:blipFill>
                  <pic:spPr>
                    <a:xfrm>
                      <a:off x="0" y="0"/>
                      <a:ext cx="3060000" cy="2677500"/>
                    </a:xfrm>
                    <a:prstGeom prst="rect">
                      <a:avLst/>
                    </a:prstGeom>
                  </pic:spPr>
                </pic:pic>
              </a:graphicData>
            </a:graphic>
          </wp:inline>
        </w:drawing>
      </w:r>
    </w:p>
    <w:p w14:paraId="7BFADD47" w14:textId="77777777" w:rsidR="007E1F4F" w:rsidRDefault="00000000">
      <w:pPr>
        <w:spacing w:line="240" w:lineRule="auto"/>
      </w:pPr>
      <w:r>
        <w:rPr>
          <w:noProof/>
        </w:rPr>
        <w:drawing>
          <wp:inline distT="0" distB="0" distL="0" distR="0" wp14:anchorId="1B234FA3" wp14:editId="34B2F26A">
            <wp:extent cx="5760000" cy="5040000"/>
            <wp:effectExtent l="0" t="0" r="0" b="0"/>
            <wp:docPr id="13" name="Notebook 预测与补偿截图" descr="Notebook 预测与补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otebook 预测与补偿截图"/>
                    <pic:cNvPicPr/>
                  </pic:nvPicPr>
                  <pic:blipFill>
                    <a:blip r:embed="rId16" cstate="print"/>
                    <a:stretch>
                      <a:fillRect/>
                    </a:stretch>
                  </pic:blipFill>
                  <pic:spPr>
                    <a:xfrm>
                      <a:off x="0" y="0"/>
                      <a:ext cx="5760000" cy="5040000"/>
                    </a:xfrm>
                    <a:prstGeom prst="rect">
                      <a:avLst/>
                    </a:prstGeom>
                  </pic:spPr>
                </pic:pic>
              </a:graphicData>
            </a:graphic>
          </wp:inline>
        </w:drawing>
      </w:r>
    </w:p>
    <w:p w14:paraId="6207D7B7" w14:textId="77777777" w:rsidR="007E1F4F" w:rsidRDefault="00000000">
      <w:bookmarkStart w:id="36" w:name="_Toc859a8033"/>
      <w:r>
        <w:rPr>
          <w:rFonts w:ascii="黑体" w:eastAsia="黑体" w:hAnsi="黑体"/>
          <w:b/>
          <w:sz w:val="28"/>
        </w:rPr>
        <w:t>Streamlit 演示网页</w:t>
      </w:r>
      <w:bookmarkEnd w:id="36"/>
    </w:p>
    <w:p w14:paraId="61EB691C" w14:textId="77777777" w:rsidR="007E1F4F" w:rsidRDefault="00000000">
      <w:pPr>
        <w:spacing w:line="360" w:lineRule="auto"/>
        <w:ind w:firstLine="480"/>
        <w:jc w:val="both"/>
      </w:pPr>
      <w:r>
        <w:rPr>
          <w:rFonts w:ascii="宋体" w:eastAsia="宋体" w:hAnsi="宋体"/>
          <w:sz w:val="24"/>
        </w:rPr>
        <w:t>app.py 是五个板块的课程演示看板，对应项目流程：数据概览（来源、样本数、站点、时间范围、数据预览）、光谱 PCA（解释方差图与主成分数量）、模型训练与对比（五模型指标表和对比图、最佳模型）、光谱预测结果（样本</w:t>
      </w:r>
      <w:r>
        <w:rPr>
          <w:rFonts w:ascii="宋体" w:eastAsia="宋体" w:hAnsi="宋体"/>
          <w:sz w:val="24"/>
        </w:rPr>
        <w:lastRenderedPageBreak/>
        <w:t>选择器与随机抽样按钮、实测与预测曲线、样本误差）、照明补偿应用演示。最后一个板块按“天气场景 → 光谱预测 → 照明补偿”组织：左侧选择天气预设或展开自定义参数，中间展示当前输入参数、PCA 主成分系数和多通道补偿比例，下方是四条光谱曲线对比、白圆色度对比和误差对比表。</w:t>
      </w:r>
    </w:p>
    <w:p w14:paraId="1F2C4B03" w14:textId="77777777" w:rsidR="007E1F4F" w:rsidRDefault="00000000">
      <w:pPr>
        <w:spacing w:line="360" w:lineRule="auto"/>
        <w:jc w:val="both"/>
      </w:pPr>
      <w:r>
        <w:rPr>
          <w:rFonts w:ascii="宋体" w:eastAsia="宋体" w:hAnsi="宋体"/>
          <w:sz w:val="24"/>
        </w:rPr>
        <w:t>演示截图：</w:t>
      </w:r>
    </w:p>
    <w:p w14:paraId="014684E4" w14:textId="77777777" w:rsidR="007E1F4F" w:rsidRDefault="00000000">
      <w:pPr>
        <w:spacing w:line="240" w:lineRule="auto"/>
      </w:pPr>
      <w:r>
        <w:rPr>
          <w:noProof/>
        </w:rPr>
        <w:drawing>
          <wp:inline distT="0" distB="0" distL="0" distR="0" wp14:anchorId="500A89F3" wp14:editId="3F5B0705">
            <wp:extent cx="3060000" cy="2151562"/>
            <wp:effectExtent l="0" t="0" r="0" b="0"/>
            <wp:docPr id="14" name="Streamlit 数据概览截图" descr="Streamlit 数据概览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reamlit 数据概览截图"/>
                    <pic:cNvPicPr/>
                  </pic:nvPicPr>
                  <pic:blipFill>
                    <a:blip r:embed="rId17" cstate="print"/>
                    <a:stretch>
                      <a:fillRect/>
                    </a:stretch>
                  </pic:blipFill>
                  <pic:spPr>
                    <a:xfrm>
                      <a:off x="0" y="0"/>
                      <a:ext cx="3060000" cy="2151562"/>
                    </a:xfrm>
                    <a:prstGeom prst="rect">
                      <a:avLst/>
                    </a:prstGeom>
                  </pic:spPr>
                </pic:pic>
              </a:graphicData>
            </a:graphic>
          </wp:inline>
        </w:drawing>
      </w:r>
    </w:p>
    <w:p w14:paraId="0964C74B" w14:textId="77777777" w:rsidR="007E1F4F" w:rsidRDefault="00000000">
      <w:pPr>
        <w:spacing w:line="240" w:lineRule="auto"/>
      </w:pPr>
      <w:r>
        <w:rPr>
          <w:noProof/>
        </w:rPr>
        <w:drawing>
          <wp:inline distT="0" distB="0" distL="0" distR="0" wp14:anchorId="22291932" wp14:editId="1DB8467E">
            <wp:extent cx="3060000" cy="2151562"/>
            <wp:effectExtent l="0" t="0" r="0" b="0"/>
            <wp:docPr id="15" name="Streamlit 光谱 PCA 截图" descr="Streamlit 光谱 PCA 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reamlit 光谱 PCA 截图"/>
                    <pic:cNvPicPr/>
                  </pic:nvPicPr>
                  <pic:blipFill>
                    <a:blip r:embed="rId18" cstate="print"/>
                    <a:stretch>
                      <a:fillRect/>
                    </a:stretch>
                  </pic:blipFill>
                  <pic:spPr>
                    <a:xfrm>
                      <a:off x="0" y="0"/>
                      <a:ext cx="3060000" cy="2151562"/>
                    </a:xfrm>
                    <a:prstGeom prst="rect">
                      <a:avLst/>
                    </a:prstGeom>
                  </pic:spPr>
                </pic:pic>
              </a:graphicData>
            </a:graphic>
          </wp:inline>
        </w:drawing>
      </w:r>
    </w:p>
    <w:p w14:paraId="7A3E3F04" w14:textId="77777777" w:rsidR="007E1F4F" w:rsidRDefault="00000000">
      <w:pPr>
        <w:spacing w:line="240" w:lineRule="auto"/>
      </w:pPr>
      <w:r>
        <w:rPr>
          <w:noProof/>
        </w:rPr>
        <w:drawing>
          <wp:inline distT="0" distB="0" distL="0" distR="0" wp14:anchorId="41751382" wp14:editId="437A43DC">
            <wp:extent cx="3060000" cy="2151562"/>
            <wp:effectExtent l="0" t="0" r="0" b="0"/>
            <wp:docPr id="16" name="Streamlit 模型对比截图" descr="Streamlit 模型对比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reamlit 模型对比截图"/>
                    <pic:cNvPicPr/>
                  </pic:nvPicPr>
                  <pic:blipFill>
                    <a:blip r:embed="rId19" cstate="print"/>
                    <a:stretch>
                      <a:fillRect/>
                    </a:stretch>
                  </pic:blipFill>
                  <pic:spPr>
                    <a:xfrm>
                      <a:off x="0" y="0"/>
                      <a:ext cx="3060000" cy="2151562"/>
                    </a:xfrm>
                    <a:prstGeom prst="rect">
                      <a:avLst/>
                    </a:prstGeom>
                  </pic:spPr>
                </pic:pic>
              </a:graphicData>
            </a:graphic>
          </wp:inline>
        </w:drawing>
      </w:r>
    </w:p>
    <w:p w14:paraId="41047FB1" w14:textId="77777777" w:rsidR="007E1F4F" w:rsidRDefault="00000000">
      <w:pPr>
        <w:spacing w:line="240" w:lineRule="auto"/>
      </w:pPr>
      <w:r>
        <w:rPr>
          <w:noProof/>
        </w:rPr>
        <w:lastRenderedPageBreak/>
        <w:drawing>
          <wp:inline distT="0" distB="0" distL="0" distR="0" wp14:anchorId="448A1C66" wp14:editId="017047DB">
            <wp:extent cx="3060000" cy="2151562"/>
            <wp:effectExtent l="0" t="0" r="0" b="0"/>
            <wp:docPr id="17" name="Streamlit 光谱预测截图" descr="Streamlit 光谱预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reamlit 光谱预测截图"/>
                    <pic:cNvPicPr/>
                  </pic:nvPicPr>
                  <pic:blipFill>
                    <a:blip r:embed="rId20" cstate="print"/>
                    <a:stretch>
                      <a:fillRect/>
                    </a:stretch>
                  </pic:blipFill>
                  <pic:spPr>
                    <a:xfrm>
                      <a:off x="0" y="0"/>
                      <a:ext cx="3060000" cy="2151562"/>
                    </a:xfrm>
                    <a:prstGeom prst="rect">
                      <a:avLst/>
                    </a:prstGeom>
                  </pic:spPr>
                </pic:pic>
              </a:graphicData>
            </a:graphic>
          </wp:inline>
        </w:drawing>
      </w:r>
    </w:p>
    <w:p w14:paraId="64A37580" w14:textId="77777777" w:rsidR="007E1F4F" w:rsidRDefault="00000000">
      <w:pPr>
        <w:spacing w:line="240" w:lineRule="auto"/>
      </w:pPr>
      <w:r>
        <w:rPr>
          <w:noProof/>
        </w:rPr>
        <w:drawing>
          <wp:inline distT="0" distB="0" distL="0" distR="0" wp14:anchorId="4B814505" wp14:editId="3941ADF4">
            <wp:extent cx="5760000" cy="4050000"/>
            <wp:effectExtent l="0" t="0" r="0" b="0"/>
            <wp:docPr id="18" name="Streamlit 照明补偿截图" descr="Streamlit 照明补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reamlit 照明补偿截图"/>
                    <pic:cNvPicPr/>
                  </pic:nvPicPr>
                  <pic:blipFill>
                    <a:blip r:embed="rId21" cstate="print"/>
                    <a:stretch>
                      <a:fillRect/>
                    </a:stretch>
                  </pic:blipFill>
                  <pic:spPr>
                    <a:xfrm>
                      <a:off x="0" y="0"/>
                      <a:ext cx="5760000" cy="4050000"/>
                    </a:xfrm>
                    <a:prstGeom prst="rect">
                      <a:avLst/>
                    </a:prstGeom>
                  </pic:spPr>
                </pic:pic>
              </a:graphicData>
            </a:graphic>
          </wp:inline>
        </w:drawing>
      </w:r>
    </w:p>
    <w:p w14:paraId="6DDFA549" w14:textId="77777777" w:rsidR="007E1F4F" w:rsidRDefault="00000000">
      <w:bookmarkStart w:id="37" w:name="_Toc7b9d50e1"/>
      <w:r>
        <w:rPr>
          <w:rFonts w:ascii="黑体" w:eastAsia="黑体" w:hAnsi="黑体"/>
          <w:b/>
          <w:sz w:val="32"/>
        </w:rPr>
        <w:t>十二、方案对比与项目特色</w:t>
      </w:r>
      <w:bookmarkEnd w:id="37"/>
    </w:p>
    <w:p w14:paraId="37D4D00A" w14:textId="77777777" w:rsidR="007E1F4F" w:rsidRDefault="00000000">
      <w:bookmarkStart w:id="38" w:name="_Toc12327721"/>
      <w:r>
        <w:rPr>
          <w:rFonts w:ascii="黑体" w:eastAsia="黑体" w:hAnsi="黑体"/>
          <w:b/>
          <w:sz w:val="28"/>
        </w:rPr>
        <w:t>三种获取自然光光谱的方案</w:t>
      </w:r>
      <w:bookmarkEnd w:id="38"/>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4190"/>
        <w:gridCol w:w="3126"/>
      </w:tblGrid>
      <w:tr w:rsidR="007E1F4F" w14:paraId="2E97CADB" w14:textId="77777777">
        <w:tblPrEx>
          <w:tblCellMar>
            <w:top w:w="0" w:type="dxa"/>
            <w:bottom w:w="0" w:type="dxa"/>
          </w:tblCellMar>
        </w:tblPrEx>
        <w:tc>
          <w:tcPr>
            <w:tcW w:w="0" w:type="auto"/>
          </w:tcPr>
          <w:p w14:paraId="7A3DE679" w14:textId="77777777" w:rsidR="007E1F4F" w:rsidRDefault="00000000">
            <w:pPr>
              <w:jc w:val="center"/>
              <w:rPr>
                <w:rFonts w:ascii="黑体" w:eastAsia="黑体" w:hAnsi="黑体"/>
                <w:b/>
                <w:sz w:val="20"/>
              </w:rPr>
            </w:pPr>
            <w:r>
              <w:rPr>
                <w:rFonts w:ascii="黑体" w:eastAsia="黑体" w:hAnsi="黑体"/>
                <w:b/>
                <w:sz w:val="20"/>
              </w:rPr>
              <w:t>方案</w:t>
            </w:r>
          </w:p>
        </w:tc>
        <w:tc>
          <w:tcPr>
            <w:tcW w:w="0" w:type="auto"/>
          </w:tcPr>
          <w:p w14:paraId="33BF9DCE" w14:textId="77777777" w:rsidR="007E1F4F" w:rsidRDefault="00000000">
            <w:pPr>
              <w:jc w:val="center"/>
              <w:rPr>
                <w:rFonts w:ascii="黑体" w:eastAsia="黑体" w:hAnsi="黑体"/>
                <w:b/>
                <w:sz w:val="20"/>
              </w:rPr>
            </w:pPr>
            <w:r>
              <w:rPr>
                <w:rFonts w:ascii="黑体" w:eastAsia="黑体" w:hAnsi="黑体"/>
                <w:b/>
                <w:sz w:val="20"/>
              </w:rPr>
              <w:t>优点</w:t>
            </w:r>
          </w:p>
        </w:tc>
        <w:tc>
          <w:tcPr>
            <w:tcW w:w="0" w:type="auto"/>
          </w:tcPr>
          <w:p w14:paraId="5915A640" w14:textId="77777777" w:rsidR="007E1F4F" w:rsidRDefault="00000000">
            <w:pPr>
              <w:jc w:val="center"/>
              <w:rPr>
                <w:rFonts w:ascii="黑体" w:eastAsia="黑体" w:hAnsi="黑体"/>
                <w:b/>
                <w:sz w:val="20"/>
              </w:rPr>
            </w:pPr>
            <w:r>
              <w:rPr>
                <w:rFonts w:ascii="黑体" w:eastAsia="黑体" w:hAnsi="黑体"/>
                <w:b/>
                <w:sz w:val="20"/>
              </w:rPr>
              <w:t>局限</w:t>
            </w:r>
          </w:p>
        </w:tc>
      </w:tr>
      <w:tr w:rsidR="007E1F4F" w14:paraId="5F1DA668" w14:textId="77777777">
        <w:tblPrEx>
          <w:tblCellMar>
            <w:top w:w="0" w:type="dxa"/>
            <w:bottom w:w="0" w:type="dxa"/>
          </w:tblCellMar>
        </w:tblPrEx>
        <w:tc>
          <w:tcPr>
            <w:tcW w:w="0" w:type="auto"/>
          </w:tcPr>
          <w:p w14:paraId="104DF2BA" w14:textId="77777777" w:rsidR="007E1F4F" w:rsidRDefault="00000000">
            <w:pPr>
              <w:rPr>
                <w:rFonts w:ascii="宋体" w:eastAsia="宋体" w:hAnsi="宋体"/>
                <w:sz w:val="20"/>
              </w:rPr>
            </w:pPr>
            <w:r>
              <w:rPr>
                <w:rFonts w:ascii="宋体" w:eastAsia="宋体" w:hAnsi="宋体"/>
                <w:sz w:val="20"/>
              </w:rPr>
              <w:t>每个家庭部署光谱仪</w:t>
            </w:r>
          </w:p>
        </w:tc>
        <w:tc>
          <w:tcPr>
            <w:tcW w:w="0" w:type="auto"/>
          </w:tcPr>
          <w:p w14:paraId="196581C5" w14:textId="77777777" w:rsidR="007E1F4F" w:rsidRDefault="00000000">
            <w:pPr>
              <w:rPr>
                <w:rFonts w:ascii="宋体" w:eastAsia="宋体" w:hAnsi="宋体"/>
                <w:sz w:val="20"/>
              </w:rPr>
            </w:pPr>
            <w:r>
              <w:rPr>
                <w:rFonts w:ascii="宋体" w:eastAsia="宋体" w:hAnsi="宋体"/>
                <w:sz w:val="20"/>
              </w:rPr>
              <w:t>本地实测，精度高</w:t>
            </w:r>
          </w:p>
        </w:tc>
        <w:tc>
          <w:tcPr>
            <w:tcW w:w="0" w:type="auto"/>
          </w:tcPr>
          <w:p w14:paraId="66301EE2" w14:textId="77777777" w:rsidR="007E1F4F" w:rsidRDefault="00000000">
            <w:pPr>
              <w:rPr>
                <w:rFonts w:ascii="宋体" w:eastAsia="宋体" w:hAnsi="宋体"/>
                <w:sz w:val="20"/>
              </w:rPr>
            </w:pPr>
            <w:r>
              <w:rPr>
                <w:rFonts w:ascii="宋体" w:eastAsia="宋体" w:hAnsi="宋体"/>
                <w:sz w:val="20"/>
              </w:rPr>
              <w:t>设备成本高，维护复杂，难以普及</w:t>
            </w:r>
          </w:p>
        </w:tc>
      </w:tr>
      <w:tr w:rsidR="007E1F4F" w14:paraId="6DAD4825" w14:textId="77777777">
        <w:tblPrEx>
          <w:tblCellMar>
            <w:top w:w="0" w:type="dxa"/>
            <w:bottom w:w="0" w:type="dxa"/>
          </w:tblCellMar>
        </w:tblPrEx>
        <w:tc>
          <w:tcPr>
            <w:tcW w:w="0" w:type="auto"/>
          </w:tcPr>
          <w:p w14:paraId="0F85C99D" w14:textId="77777777" w:rsidR="007E1F4F" w:rsidRDefault="00000000">
            <w:pPr>
              <w:rPr>
                <w:rFonts w:ascii="宋体" w:eastAsia="宋体" w:hAnsi="宋体"/>
                <w:sz w:val="20"/>
              </w:rPr>
            </w:pPr>
            <w:r>
              <w:rPr>
                <w:rFonts w:ascii="宋体" w:eastAsia="宋体" w:hAnsi="宋体"/>
                <w:sz w:val="20"/>
              </w:rPr>
              <w:t>区域光谱观测站</w:t>
            </w:r>
          </w:p>
        </w:tc>
        <w:tc>
          <w:tcPr>
            <w:tcW w:w="0" w:type="auto"/>
          </w:tcPr>
          <w:p w14:paraId="1A9439BE" w14:textId="77777777" w:rsidR="007E1F4F" w:rsidRDefault="00000000">
            <w:pPr>
              <w:rPr>
                <w:rFonts w:ascii="宋体" w:eastAsia="宋体" w:hAnsi="宋体"/>
                <w:sz w:val="20"/>
              </w:rPr>
            </w:pPr>
            <w:r>
              <w:rPr>
                <w:rFonts w:ascii="宋体" w:eastAsia="宋体" w:hAnsi="宋体"/>
                <w:sz w:val="20"/>
              </w:rPr>
              <w:t>数据质量高，可像天气服务一样分发</w:t>
            </w:r>
          </w:p>
        </w:tc>
        <w:tc>
          <w:tcPr>
            <w:tcW w:w="0" w:type="auto"/>
          </w:tcPr>
          <w:p w14:paraId="43780038" w14:textId="77777777" w:rsidR="007E1F4F" w:rsidRDefault="00000000">
            <w:pPr>
              <w:rPr>
                <w:rFonts w:ascii="宋体" w:eastAsia="宋体" w:hAnsi="宋体"/>
                <w:sz w:val="20"/>
              </w:rPr>
            </w:pPr>
            <w:r>
              <w:rPr>
                <w:rFonts w:ascii="宋体" w:eastAsia="宋体" w:hAnsi="宋体"/>
                <w:sz w:val="20"/>
              </w:rPr>
              <w:t>建设成本高，需要机构或城市级推动，目前尚未大规模落地</w:t>
            </w:r>
          </w:p>
        </w:tc>
      </w:tr>
      <w:tr w:rsidR="007E1F4F" w14:paraId="03FF4A0A" w14:textId="77777777">
        <w:tblPrEx>
          <w:tblCellMar>
            <w:top w:w="0" w:type="dxa"/>
            <w:bottom w:w="0" w:type="dxa"/>
          </w:tblCellMar>
        </w:tblPrEx>
        <w:tc>
          <w:tcPr>
            <w:tcW w:w="0" w:type="auto"/>
          </w:tcPr>
          <w:p w14:paraId="2BB5B18C" w14:textId="77777777" w:rsidR="007E1F4F" w:rsidRDefault="00000000">
            <w:pPr>
              <w:rPr>
                <w:rFonts w:ascii="宋体" w:eastAsia="宋体" w:hAnsi="宋体"/>
                <w:sz w:val="20"/>
              </w:rPr>
            </w:pPr>
            <w:r>
              <w:rPr>
                <w:rFonts w:ascii="宋体" w:eastAsia="宋体" w:hAnsi="宋体"/>
                <w:sz w:val="20"/>
              </w:rPr>
              <w:t>本项目方案</w:t>
            </w:r>
          </w:p>
        </w:tc>
        <w:tc>
          <w:tcPr>
            <w:tcW w:w="0" w:type="auto"/>
          </w:tcPr>
          <w:p w14:paraId="7469164E" w14:textId="77777777" w:rsidR="007E1F4F" w:rsidRDefault="00000000">
            <w:pPr>
              <w:rPr>
                <w:rFonts w:ascii="宋体" w:eastAsia="宋体" w:hAnsi="宋体"/>
                <w:sz w:val="20"/>
              </w:rPr>
            </w:pPr>
            <w:r>
              <w:rPr>
                <w:rFonts w:ascii="宋体" w:eastAsia="宋体" w:hAnsi="宋体"/>
                <w:sz w:val="20"/>
              </w:rPr>
              <w:t>用公开真实数据训练模型，应用端只需天气、时间、地点、太阳位置等低成本特征，部署灵活</w:t>
            </w:r>
          </w:p>
        </w:tc>
        <w:tc>
          <w:tcPr>
            <w:tcW w:w="0" w:type="auto"/>
          </w:tcPr>
          <w:p w14:paraId="7E89B55A" w14:textId="77777777" w:rsidR="007E1F4F" w:rsidRDefault="00000000">
            <w:pPr>
              <w:rPr>
                <w:rFonts w:ascii="宋体" w:eastAsia="宋体" w:hAnsi="宋体"/>
                <w:sz w:val="20"/>
              </w:rPr>
            </w:pPr>
            <w:r>
              <w:rPr>
                <w:rFonts w:ascii="宋体" w:eastAsia="宋体" w:hAnsi="宋体"/>
                <w:sz w:val="20"/>
              </w:rPr>
              <w:t>属于估计方案，不能等同于现场实测，也反映不了每个房间内部情况</w:t>
            </w:r>
          </w:p>
        </w:tc>
      </w:tr>
    </w:tbl>
    <w:p w14:paraId="73C81D59" w14:textId="77777777" w:rsidR="007E1F4F" w:rsidRDefault="00000000">
      <w:pPr>
        <w:spacing w:line="360" w:lineRule="auto"/>
        <w:ind w:firstLine="480"/>
        <w:jc w:val="both"/>
      </w:pPr>
      <w:r>
        <w:rPr>
          <w:rFonts w:ascii="宋体" w:eastAsia="宋体" w:hAnsi="宋体"/>
          <w:sz w:val="24"/>
        </w:rPr>
        <w:t>本项目定位为一种介于昂贵实测与普通照明控制之间的轻量化光谱估计方案，旨在验证以低成本环境特征估计自然光光谱的可行性。</w:t>
      </w:r>
    </w:p>
    <w:p w14:paraId="5F1AD69E" w14:textId="77777777" w:rsidR="007E1F4F" w:rsidRDefault="00000000">
      <w:bookmarkStart w:id="39" w:name="_Toc9c91055b"/>
      <w:r>
        <w:rPr>
          <w:rFonts w:ascii="黑体" w:eastAsia="黑体" w:hAnsi="黑体"/>
          <w:b/>
          <w:sz w:val="28"/>
        </w:rPr>
        <w:lastRenderedPageBreak/>
        <w:t>项目特色</w:t>
      </w:r>
      <w:bookmarkEnd w:id="39"/>
    </w:p>
    <w:p w14:paraId="23A84BD5" w14:textId="77777777" w:rsidR="007E1F4F" w:rsidRDefault="00000000">
      <w:pPr>
        <w:spacing w:line="360" w:lineRule="auto"/>
        <w:ind w:firstLine="480"/>
        <w:jc w:val="both"/>
      </w:pPr>
      <w:r>
        <w:rPr>
          <w:rFonts w:ascii="宋体" w:eastAsia="宋体" w:hAnsi="宋体"/>
          <w:sz w:val="24"/>
        </w:rPr>
        <w:t>1. 真实公开光谱数据支撑——数据下载、清洗、合并全部由 Python 代码自动化完成；</w:t>
      </w:r>
    </w:p>
    <w:p w14:paraId="0A71FB74" w14:textId="77777777" w:rsidR="007E1F4F" w:rsidRDefault="00000000">
      <w:pPr>
        <w:spacing w:line="360" w:lineRule="auto"/>
        <w:ind w:firstLine="480"/>
        <w:jc w:val="both"/>
      </w:pPr>
      <w:r>
        <w:rPr>
          <w:rFonts w:ascii="宋体" w:eastAsia="宋体" w:hAnsi="宋体"/>
          <w:sz w:val="24"/>
        </w:rPr>
        <w:t>2. 输入端低成本——应用时只需要天气、时间、地点、太阳位置等容易获得的特征；</w:t>
      </w:r>
    </w:p>
    <w:p w14:paraId="51C85925" w14:textId="77777777" w:rsidR="007E1F4F" w:rsidRDefault="00000000">
      <w:pPr>
        <w:spacing w:line="360" w:lineRule="auto"/>
        <w:ind w:firstLine="480"/>
        <w:jc w:val="both"/>
      </w:pPr>
      <w:r>
        <w:rPr>
          <w:rFonts w:ascii="宋体" w:eastAsia="宋体" w:hAnsi="宋体"/>
          <w:sz w:val="24"/>
        </w:rPr>
        <w:t>3. PCA 降维表示高维光谱——41 维压缩到 5 个主成分，累计解释方差 98.3%；</w:t>
      </w:r>
    </w:p>
    <w:p w14:paraId="0E10CFA3" w14:textId="77777777" w:rsidR="007E1F4F" w:rsidRDefault="00000000">
      <w:pPr>
        <w:spacing w:line="360" w:lineRule="auto"/>
        <w:ind w:firstLine="480"/>
        <w:jc w:val="both"/>
      </w:pPr>
      <w:r>
        <w:rPr>
          <w:rFonts w:ascii="宋体" w:eastAsia="宋体" w:hAnsi="宋体"/>
          <w:sz w:val="24"/>
        </w:rPr>
        <w:t>4. 多模型真实对比——五个模型统一指标评价，结论由数据决定；</w:t>
      </w:r>
    </w:p>
    <w:p w14:paraId="35FA68F9" w14:textId="77777777" w:rsidR="007E1F4F" w:rsidRDefault="00000000">
      <w:pPr>
        <w:spacing w:line="360" w:lineRule="auto"/>
        <w:ind w:firstLine="480"/>
        <w:jc w:val="both"/>
      </w:pPr>
      <w:r>
        <w:rPr>
          <w:rFonts w:ascii="宋体" w:eastAsia="宋体" w:hAnsi="宋体"/>
          <w:sz w:val="24"/>
        </w:rPr>
        <w:t>5. 系统化参数调优——GridSearchCV 交叉验证，27 组参数组合，兼顾精度和效率；</w:t>
      </w:r>
    </w:p>
    <w:p w14:paraId="6299DA3E" w14:textId="77777777" w:rsidR="007E1F4F" w:rsidRDefault="00000000">
      <w:pPr>
        <w:spacing w:line="360" w:lineRule="auto"/>
        <w:ind w:firstLine="480"/>
        <w:jc w:val="both"/>
      </w:pPr>
      <w:r>
        <w:rPr>
          <w:rFonts w:ascii="宋体" w:eastAsia="宋体" w:hAnsi="宋体"/>
          <w:sz w:val="24"/>
        </w:rPr>
        <w:t>6. 预测结果进入照明补偿应用——从环境特征到 LED 通道比例和误差改善的完整链路。</w:t>
      </w:r>
    </w:p>
    <w:p w14:paraId="435668CC" w14:textId="77777777" w:rsidR="007E1F4F" w:rsidRDefault="00000000">
      <w:bookmarkStart w:id="40" w:name="_Tocbf779082"/>
      <w:r>
        <w:rPr>
          <w:rFonts w:ascii="黑体" w:eastAsia="黑体" w:hAnsi="黑体"/>
          <w:b/>
          <w:sz w:val="32"/>
        </w:rPr>
        <w:t>十三、实现过程中的困难与解决</w:t>
      </w:r>
      <w:bookmarkEnd w:id="40"/>
    </w:p>
    <w:p w14:paraId="64FF1FA4" w14:textId="77777777" w:rsidR="007E1F4F" w:rsidRDefault="00000000">
      <w:pPr>
        <w:spacing w:line="360" w:lineRule="auto"/>
        <w:ind w:firstLine="480"/>
        <w:jc w:val="both"/>
      </w:pPr>
      <w:r>
        <w:rPr>
          <w:rFonts w:ascii="宋体" w:eastAsia="宋体" w:hAnsi="宋体"/>
          <w:sz w:val="24"/>
        </w:rPr>
        <w:t>真实数据文件多、字段关系复杂。  SKYSPECTRA 把光谱、地点、天气状况、太阳位置分散在多个文件里，时间戳带时区后缀，坐标写成 "45.78 N" 这样的字符串。逐个文件检查字段含义后，编写坐标解析和时间对齐函数，并在合并的每一步打印行数，确认样本未在某次合并中意外丢失。</w:t>
      </w:r>
    </w:p>
    <w:p w14:paraId="2A6DC600" w14:textId="77777777" w:rsidR="007E1F4F" w:rsidRDefault="00000000">
      <w:pPr>
        <w:spacing w:line="360" w:lineRule="auto"/>
        <w:ind w:firstLine="480"/>
        <w:jc w:val="both"/>
      </w:pPr>
      <w:r>
        <w:rPr>
          <w:rFonts w:ascii="宋体" w:eastAsia="宋体" w:hAnsi="宋体"/>
          <w:sz w:val="24"/>
        </w:rPr>
        <w:t>光谱维度高，直接预测难度大。  41 维连续输出增加了训练负担，也不利于结果解释。引入 PCA 后模型只需预测 5 个系数，解释方差图为主成分数量的选择提供了依据。</w:t>
      </w:r>
    </w:p>
    <w:p w14:paraId="5051A54C" w14:textId="77777777" w:rsidR="007E1F4F" w:rsidRDefault="00000000">
      <w:pPr>
        <w:spacing w:line="360" w:lineRule="auto"/>
        <w:ind w:firstLine="480"/>
        <w:jc w:val="both"/>
      </w:pPr>
      <w:r>
        <w:rPr>
          <w:rFonts w:ascii="宋体" w:eastAsia="宋体" w:hAnsi="宋体"/>
          <w:sz w:val="24"/>
        </w:rPr>
        <w:t>模型选择没有固定答案。  不确定哪类模型适合这个问题，于是把五个模型放在完全相同的条件下对比，以统一指标作为评判依据，避免“先选模型再找理由”。</w:t>
      </w:r>
    </w:p>
    <w:p w14:paraId="673F3065" w14:textId="77777777" w:rsidR="007E1F4F" w:rsidRDefault="00000000">
      <w:pPr>
        <w:spacing w:line="360" w:lineRule="auto"/>
        <w:ind w:firstLine="480"/>
        <w:jc w:val="both"/>
      </w:pPr>
      <w:r>
        <w:rPr>
          <w:rFonts w:ascii="宋体" w:eastAsia="宋体" w:hAnsi="宋体"/>
          <w:sz w:val="24"/>
        </w:rPr>
        <w:t>MLP 调参不稳定。  早期尝试中 MLP 多次不收敛或结果波动大。后来固定随机种子、开启早停、控制网络规模，训练才趋于稳定。模型复杂度不等于预测精度，最终它的 R² 略高但 RMSE 不如随机森林。</w:t>
      </w:r>
    </w:p>
    <w:p w14:paraId="7E308015" w14:textId="77777777" w:rsidR="007E1F4F" w:rsidRDefault="00000000">
      <w:pPr>
        <w:spacing w:line="360" w:lineRule="auto"/>
        <w:ind w:firstLine="480"/>
        <w:jc w:val="both"/>
      </w:pPr>
      <w:r>
        <w:rPr>
          <w:rFonts w:ascii="宋体" w:eastAsia="宋体" w:hAnsi="宋体"/>
          <w:sz w:val="24"/>
        </w:rPr>
        <w:t>绝对光谱与相对光谱的选择。  最初模型直接预测绝对光谱，结果室外照度一个特征的重要性超过 90%，模型实际拟合的是亮度而非光谱形状。将目标改为按行归一化的相对光谱后，照度交给输入特征表达，特征重要性的分布趋于合理，与下游补偿算法的需求也更为匹配。</w:t>
      </w:r>
    </w:p>
    <w:p w14:paraId="25AEAD53" w14:textId="77777777" w:rsidR="007E1F4F" w:rsidRDefault="00000000">
      <w:pPr>
        <w:spacing w:line="360" w:lineRule="auto"/>
        <w:ind w:firstLine="480"/>
        <w:jc w:val="both"/>
      </w:pPr>
      <w:r>
        <w:rPr>
          <w:rFonts w:ascii="宋体" w:eastAsia="宋体" w:hAnsi="宋体"/>
          <w:sz w:val="24"/>
        </w:rPr>
        <w:lastRenderedPageBreak/>
        <w:t>照明补偿是简化算法。  没有真实灯具可接，我们把范围简化到算法演示：用实测 LED 光谱数据做通道、用非负最小二乘求解。</w:t>
      </w:r>
    </w:p>
    <w:p w14:paraId="393C2132" w14:textId="77777777" w:rsidR="007E1F4F" w:rsidRDefault="00000000">
      <w:bookmarkStart w:id="41" w:name="_Toc88a694e9"/>
      <w:r>
        <w:rPr>
          <w:rFonts w:ascii="黑体" w:eastAsia="黑体" w:hAnsi="黑体"/>
          <w:b/>
          <w:sz w:val="32"/>
        </w:rPr>
        <w:t>十四、不足与改进方向</w:t>
      </w:r>
      <w:bookmarkEnd w:id="41"/>
    </w:p>
    <w:p w14:paraId="52D23F0C" w14:textId="77777777" w:rsidR="007E1F4F" w:rsidRDefault="00000000">
      <w:pPr>
        <w:spacing w:line="360" w:lineRule="auto"/>
        <w:ind w:firstLine="480"/>
        <w:jc w:val="both"/>
      </w:pPr>
      <w:r>
        <w:rPr>
          <w:rFonts w:ascii="宋体" w:eastAsia="宋体" w:hAnsi="宋体"/>
          <w:sz w:val="24"/>
        </w:rPr>
        <w:t>不足之处主要有五点。天气特征是按地点和时间对齐的历史数据，与光谱测量不一定完全同步；模型估计不能替代现场光谱仪实测；有效样本几乎全部来自法国一个站点（新加坡仅 28 条，国内缺失），跨地区泛化能力有限；未考虑真实房间的窗户朝向、反射、遮挡和灯具硬件差异；公开免费的中国地区天光光谱数据较难获取，当前数据集缺少中国样本。</w:t>
      </w:r>
    </w:p>
    <w:p w14:paraId="66C99EED" w14:textId="77777777" w:rsidR="007E1F4F" w:rsidRDefault="00000000">
      <w:pPr>
        <w:spacing w:line="360" w:lineRule="auto"/>
        <w:ind w:firstLine="480"/>
        <w:jc w:val="both"/>
      </w:pPr>
      <w:r>
        <w:rPr>
          <w:rFonts w:ascii="宋体" w:eastAsia="宋体" w:hAnsi="宋体"/>
          <w:sz w:val="24"/>
        </w:rPr>
        <w:t>后续可以从这些方向继续做：接入实时天气 API，让估计随当前天气更新；在室内加入廉价照度、色温或低精度色彩传感器辅助校正；接入真实多通道灯具验证补偿效果；寻找或采集更多地区（尤其是中国）的实测光谱数据，做跨地点测试；如果输入扩展到天空图像或时间序列，可以尝试 CNN 等更适合此类数据的模型；还可以引入 Melanopic EDI 等健康照明指标[8]做更完整的评价。</w:t>
      </w:r>
    </w:p>
    <w:p w14:paraId="5FE2D5B1" w14:textId="77777777" w:rsidR="007E1F4F" w:rsidRDefault="00000000">
      <w:bookmarkStart w:id="42" w:name="_Tocd65fcbb1"/>
      <w:r>
        <w:rPr>
          <w:rFonts w:ascii="黑体" w:eastAsia="黑体" w:hAnsi="黑体"/>
          <w:b/>
          <w:sz w:val="32"/>
        </w:rPr>
        <w:t>十五、小组分工</w:t>
      </w:r>
      <w:bookmarkEnd w:id="42"/>
    </w:p>
    <w:p w14:paraId="1C2CE136" w14:textId="77777777" w:rsidR="007E1F4F" w:rsidRDefault="00000000">
      <w:pPr>
        <w:spacing w:line="360" w:lineRule="auto"/>
        <w:jc w:val="both"/>
      </w:pPr>
      <w:r>
        <w:rPr>
          <w:rFonts w:ascii="宋体" w:eastAsia="宋体" w:hAnsi="宋体"/>
          <w:sz w:val="24"/>
        </w:rPr>
        <w:t>李安逸：负责数据收集与处理、数据调整、可视化调整、课程报告撰稿与编写。</w:t>
      </w:r>
    </w:p>
    <w:p w14:paraId="00C89C67" w14:textId="77777777" w:rsidR="007E1F4F" w:rsidRDefault="00000000">
      <w:pPr>
        <w:spacing w:line="360" w:lineRule="auto"/>
        <w:jc w:val="both"/>
      </w:pPr>
      <w:r>
        <w:rPr>
          <w:rFonts w:ascii="宋体" w:eastAsia="宋体" w:hAnsi="宋体"/>
          <w:sz w:val="24"/>
        </w:rPr>
        <w:t>黄奕滔：负责数据处理、代码实现、可视化实现、课程报告检查和补充。</w:t>
      </w:r>
    </w:p>
    <w:p w14:paraId="2B24CF58" w14:textId="77777777" w:rsidR="007E1F4F" w:rsidRDefault="00000000">
      <w:pPr>
        <w:spacing w:line="360" w:lineRule="auto"/>
        <w:jc w:val="both"/>
      </w:pPr>
      <w:r>
        <w:rPr>
          <w:rFonts w:ascii="宋体" w:eastAsia="宋体" w:hAnsi="宋体"/>
          <w:sz w:val="24"/>
        </w:rPr>
        <w:t>共同完成：主题讨论、文献查阅、幻灯片制作、答辩准备、结果检查和最终材料整理。</w:t>
      </w:r>
    </w:p>
    <w:p w14:paraId="3E333817" w14:textId="77777777" w:rsidR="007E1F4F" w:rsidRDefault="00000000">
      <w:pPr>
        <w:spacing w:line="360" w:lineRule="auto"/>
        <w:ind w:firstLine="480"/>
        <w:jc w:val="both"/>
      </w:pPr>
      <w:r>
        <w:rPr>
          <w:rFonts w:ascii="宋体" w:eastAsia="宋体" w:hAnsi="宋体"/>
          <w:sz w:val="24"/>
        </w:rPr>
        <w:t>大模型使用情况：我们在以下环节使用了大模型辅助——数据源收集和汇总，专业知识调查和分析；报告结构整理和辅助编写；代码注释与编写辅助；可视化表达相关代码编写。</w:t>
      </w:r>
    </w:p>
    <w:p w14:paraId="4DFB9685" w14:textId="77777777" w:rsidR="007E1F4F" w:rsidRDefault="00000000">
      <w:bookmarkStart w:id="43" w:name="_Toc374846c1"/>
      <w:r>
        <w:rPr>
          <w:rFonts w:ascii="黑体" w:eastAsia="黑体" w:hAnsi="黑体"/>
          <w:b/>
          <w:sz w:val="32"/>
        </w:rPr>
        <w:t>十六、总结</w:t>
      </w:r>
      <w:bookmarkEnd w:id="43"/>
    </w:p>
    <w:p w14:paraId="47CA4B7A" w14:textId="77777777" w:rsidR="007E1F4F" w:rsidRDefault="00000000">
      <w:pPr>
        <w:spacing w:line="360" w:lineRule="auto"/>
        <w:ind w:firstLine="480"/>
        <w:jc w:val="both"/>
      </w:pPr>
      <w:r>
        <w:rPr>
          <w:rFonts w:ascii="宋体" w:eastAsia="宋体" w:hAnsi="宋体"/>
          <w:sz w:val="24"/>
        </w:rPr>
        <w:t>本项目以 SKYSPECTRA 公开实测天光光谱数据为基础，构建了从数据处理、光谱 PCA 降维、多模型训练对比到室内 LED 照明补偿的完整流程。实现上以 Python 为主要工具，依次完成数据清洗、波长插值、时间对齐、相对光谱归一化和五种 sklearn 回归模型的统一评估；在此基础上，用 GridSearchCV 对随机森林进行 27 组参数 × 5 折交叉验证的系统化调优，以最优参数训练最终模型，并将预测光谱接入七通道 LED 补偿算法，输出各通道比例与补偿前后的误差改善。</w:t>
      </w:r>
    </w:p>
    <w:p w14:paraId="36BE5506" w14:textId="77777777" w:rsidR="007E1F4F" w:rsidRDefault="00000000">
      <w:pPr>
        <w:spacing w:line="360" w:lineRule="auto"/>
        <w:ind w:firstLine="480"/>
        <w:jc w:val="both"/>
      </w:pPr>
      <w:r>
        <w:rPr>
          <w:rFonts w:ascii="宋体" w:eastAsia="宋体" w:hAnsi="宋体"/>
          <w:sz w:val="24"/>
        </w:rPr>
        <w:lastRenderedPageBreak/>
        <w:t>从工程实现角度看，有三个环节值得单独说明。数据合并与质量检查决定了训练数据的可靠性——光谱、天气、太阳位置来自不同数据源，时间粒度不一致，合并过程中任何一步的样本丢失都可能导致训练偏差。PCA 将 41 维连续光谱压缩为 5 个主成分，在保留 98.3% 方差的同时大幅降低模型输出维度，使回归训练变得更稳定、结果更易解释。模型评估方面，单一指标不足以反映预测质量——R² 高不代表每个波段都准确，RMSE 低也不代表训练成本可接受，最终选择需要综合预测曲线形态、分波段误差分布和训练效率一并判断。</w:t>
      </w:r>
    </w:p>
    <w:p w14:paraId="3ED08884" w14:textId="77777777" w:rsidR="007E1F4F" w:rsidRDefault="00000000">
      <w:pPr>
        <w:spacing w:line="360" w:lineRule="auto"/>
        <w:ind w:firstLine="480"/>
        <w:jc w:val="both"/>
      </w:pPr>
      <w:r>
        <w:rPr>
          <w:rFonts w:ascii="宋体" w:eastAsia="宋体" w:hAnsi="宋体"/>
          <w:sz w:val="24"/>
        </w:rPr>
        <w:t>本项目在课程设计范围内验证了一条可行路径：以低成本环境特征（天气、时间、太阳位置、室外照度）为输入，通过机器学习估计自然光相对光谱，再将估计结果用于室内照明补偿。专业光谱仪成本较高，但气象数据和基本传感器容易获取，模型有望将这些信息转化为光谱层面的判断依据。作为课程实验，项目在数据代表性、现场同步性和硬件验证方面仍有不足，但所建立的技术流程在已有数据上完成了端到端的验证，为后续的工程化探索提供了可复用的基础。</w:t>
      </w:r>
    </w:p>
    <w:p w14:paraId="611218C7" w14:textId="77777777" w:rsidR="007E1F4F" w:rsidRDefault="00000000">
      <w:r>
        <w:br w:type="page"/>
      </w:r>
    </w:p>
    <w:p w14:paraId="0E4D688E" w14:textId="77777777" w:rsidR="007E1F4F" w:rsidRDefault="00000000">
      <w:bookmarkStart w:id="44" w:name="_Toc1c739e80"/>
      <w:r>
        <w:rPr>
          <w:rFonts w:ascii="黑体" w:eastAsia="黑体" w:hAnsi="黑体"/>
          <w:b/>
          <w:sz w:val="32"/>
        </w:rPr>
        <w:lastRenderedPageBreak/>
        <w:t>脚注与参考资料</w:t>
      </w:r>
      <w:bookmarkEnd w:id="44"/>
    </w:p>
    <w:p w14:paraId="4AB0D665" w14:textId="77777777" w:rsidR="007E1F4F" w:rsidRDefault="00000000">
      <w:pPr>
        <w:spacing w:line="360" w:lineRule="auto"/>
      </w:pPr>
      <w:r>
        <w:rPr>
          <w:rFonts w:ascii="Times New Roman" w:eastAsia="宋体" w:hAnsi="Times New Roman"/>
          <w:sz w:val="21"/>
        </w:rPr>
        <w:t>[1] Berson, D. M., Dunn, F. A., &amp; Takao, M. (2002). Phototransduction by retinal ganglion cells that set the circadian clock. Science, 295(5557), 1070-1073.</w:t>
      </w:r>
    </w:p>
    <w:p w14:paraId="7D1DAD1D" w14:textId="77777777" w:rsidR="007E1F4F" w:rsidRDefault="00000000">
      <w:pPr>
        <w:spacing w:line="360" w:lineRule="auto"/>
      </w:pPr>
      <w:r>
        <w:rPr>
          <w:rFonts w:ascii="Times New Roman" w:eastAsia="宋体" w:hAnsi="Times New Roman"/>
          <w:sz w:val="21"/>
        </w:rPr>
        <w:t>[2] Blume, C., Garbazza, C., &amp; Spitschan, M. (2019). Effects of light on human circadian physiology, sleep and mood. Somnologie, 23, 147-156.</w:t>
      </w:r>
    </w:p>
    <w:p w14:paraId="76873C39" w14:textId="77777777" w:rsidR="007E1F4F" w:rsidRDefault="00000000">
      <w:pPr>
        <w:spacing w:line="360" w:lineRule="auto"/>
      </w:pPr>
      <w:r>
        <w:rPr>
          <w:rFonts w:ascii="Times New Roman" w:eastAsia="宋体" w:hAnsi="Times New Roman"/>
          <w:sz w:val="21"/>
        </w:rPr>
        <w:t>[3] Rose, K. A., Morgan, I. G., Ip, J., Kifley, A., Huynh, S., Smith, W., &amp; Mitchell, P. (2008). Outdoor activity reduces the prevalence of myopia in children. Ophthalmology, 115(8), 1279-1285.</w:t>
      </w:r>
    </w:p>
    <w:p w14:paraId="3D1E5F4D" w14:textId="77777777" w:rsidR="007E1F4F" w:rsidRDefault="00000000">
      <w:pPr>
        <w:spacing w:line="360" w:lineRule="auto"/>
      </w:pPr>
      <w:r>
        <w:rPr>
          <w:rFonts w:ascii="Times New Roman" w:eastAsia="宋体" w:hAnsi="Times New Roman"/>
          <w:sz w:val="21"/>
        </w:rPr>
        <w:t xml:space="preserve">[4] SKYSPECTRA </w:t>
      </w:r>
      <w:r>
        <w:rPr>
          <w:rFonts w:ascii="Times New Roman" w:eastAsia="宋体" w:hAnsi="Times New Roman"/>
          <w:sz w:val="21"/>
        </w:rPr>
        <w:t>数据集：</w:t>
      </w:r>
      <w:r>
        <w:rPr>
          <w:rFonts w:ascii="Times New Roman" w:eastAsia="宋体" w:hAnsi="Times New Roman"/>
          <w:sz w:val="21"/>
        </w:rPr>
        <w:t>Zenodo, SKYSPECTRA: an opensource data package for worldwide spectral daylight, record 8147546, https://zenodo.org/records/8147546.</w:t>
      </w:r>
    </w:p>
    <w:p w14:paraId="513AEBE8" w14:textId="77777777" w:rsidR="007E1F4F" w:rsidRDefault="00000000">
      <w:pPr>
        <w:spacing w:line="360" w:lineRule="auto"/>
      </w:pPr>
      <w:r>
        <w:rPr>
          <w:rFonts w:ascii="Times New Roman" w:eastAsia="宋体" w:hAnsi="Times New Roman"/>
          <w:sz w:val="21"/>
        </w:rPr>
        <w:t xml:space="preserve">[5] Open-Meteo Historical Weather API </w:t>
      </w:r>
      <w:r>
        <w:rPr>
          <w:rFonts w:ascii="Times New Roman" w:eastAsia="宋体" w:hAnsi="Times New Roman"/>
          <w:sz w:val="21"/>
        </w:rPr>
        <w:t>文档：</w:t>
      </w:r>
      <w:r>
        <w:rPr>
          <w:rFonts w:ascii="Times New Roman" w:eastAsia="宋体" w:hAnsi="Times New Roman"/>
          <w:sz w:val="21"/>
        </w:rPr>
        <w:t>https://open-meteo.com/en/docs/historical-weather-api.</w:t>
      </w:r>
    </w:p>
    <w:p w14:paraId="5C790270" w14:textId="77777777" w:rsidR="007E1F4F" w:rsidRDefault="00000000">
      <w:pPr>
        <w:spacing w:line="360" w:lineRule="auto"/>
      </w:pPr>
      <w:r>
        <w:rPr>
          <w:rFonts w:ascii="Times New Roman" w:eastAsia="宋体" w:hAnsi="Times New Roman"/>
          <w:sz w:val="21"/>
        </w:rPr>
        <w:t>[6] Harald Brendel, Spectral Power Distribution of LED, https://haraldbrendel.com/ledspd.html.</w:t>
      </w:r>
    </w:p>
    <w:p w14:paraId="295F76C1" w14:textId="77777777" w:rsidR="007E1F4F" w:rsidRDefault="00000000">
      <w:pPr>
        <w:spacing w:line="360" w:lineRule="auto"/>
      </w:pPr>
      <w:r>
        <w:rPr>
          <w:rFonts w:ascii="Times New Roman" w:eastAsia="宋体" w:hAnsi="Times New Roman"/>
          <w:sz w:val="21"/>
        </w:rPr>
        <w:t xml:space="preserve">[7] CVRL (Colour &amp; Vision Research Laboratory, UCL), CIE 2015 XYZ colour matching functions (10°), </w:t>
      </w:r>
      <w:r>
        <w:rPr>
          <w:rFonts w:ascii="Times New Roman" w:eastAsia="宋体" w:hAnsi="Times New Roman"/>
          <w:sz w:val="21"/>
        </w:rPr>
        <w:t>基于</w:t>
      </w:r>
      <w:r>
        <w:rPr>
          <w:rFonts w:ascii="Times New Roman" w:eastAsia="宋体" w:hAnsi="Times New Roman"/>
          <w:sz w:val="21"/>
        </w:rPr>
        <w:t xml:space="preserve"> CIE 170-2:2015 / CIE 2006 </w:t>
      </w:r>
      <w:r>
        <w:rPr>
          <w:rFonts w:ascii="Times New Roman" w:eastAsia="宋体" w:hAnsi="Times New Roman"/>
          <w:sz w:val="21"/>
        </w:rPr>
        <w:t>生理学数据，</w:t>
      </w:r>
      <w:r>
        <w:rPr>
          <w:rFonts w:ascii="Times New Roman" w:eastAsia="宋体" w:hAnsi="Times New Roman"/>
          <w:sz w:val="21"/>
        </w:rPr>
        <w:t>http://www.cvrl.org/.</w:t>
      </w:r>
    </w:p>
    <w:p w14:paraId="4E5B8B73" w14:textId="77777777" w:rsidR="007E1F4F" w:rsidRDefault="00000000">
      <w:pPr>
        <w:spacing w:line="360" w:lineRule="auto"/>
      </w:pPr>
      <w:r>
        <w:rPr>
          <w:rFonts w:ascii="Times New Roman" w:eastAsia="宋体" w:hAnsi="Times New Roman"/>
          <w:sz w:val="21"/>
        </w:rPr>
        <w:t>[8] CIE S 026/E:2018, System for Metrology of Optical Radiation for ipRGC-Influenced Responses to Light, International Commission on Illumination.</w:t>
      </w:r>
    </w:p>
    <w:sectPr w:rsidR="007E1F4F">
      <w:pgSz w:w="11906" w:h="16838"/>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grammar="clean"/>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F4F"/>
    <w:rsid w:val="001B68F1"/>
    <w:rsid w:val="007E1F4F"/>
    <w:rsid w:val="00A51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DB2D1D"/>
  <w15:docId w15:val="{D18C886D-5DB7-1C43-9BFD-A34C635B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11">
    <w:name w:val="TOC 11"/>
    <w:basedOn w:val="a"/>
    <w:qFormat/>
    <w:rPr>
      <w:rFonts w:ascii="黑体" w:eastAsia="黑体" w:hAnsi="黑体"/>
      <w:b/>
      <w:sz w:val="24"/>
    </w:rPr>
  </w:style>
  <w:style w:type="paragraph" w:customStyle="1" w:styleId="TOC21">
    <w:name w:val="TOC 21"/>
    <w:basedOn w:val="a"/>
    <w:qFormat/>
    <w:pPr>
      <w:ind w:left="480"/>
    </w:pPr>
    <w:rPr>
      <w:rFonts w:ascii="宋体" w:eastAsia="宋体" w:hAnsi="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2585</Words>
  <Characters>14735</Characters>
  <Application>Microsoft Office Word</Application>
  <DocSecurity>0</DocSecurity>
  <Lines>122</Lines>
  <Paragraphs>34</Paragraphs>
  <ScaleCrop>false</ScaleCrop>
  <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a27237</cp:lastModifiedBy>
  <cp:revision>2</cp:revision>
  <dcterms:created xsi:type="dcterms:W3CDTF">2026-06-18T07:55:00Z</dcterms:created>
  <dcterms:modified xsi:type="dcterms:W3CDTF">2026-06-18T08:00:00Z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1.0.114</vt:lpwstr>
  </property>
  <property fmtid="{D5CDD505-2E9C-101B-9397-08002B2CF9AE}" pid="3" name="OfficeCLI.LastModified">
    <vt:lpwstr>2026-06-18T07:55:27Z</vt:lpwstr>
  </property>
</Properties>
</file>