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C5067" w14:textId="77777777" w:rsidR="00EC6C51" w:rsidRPr="00DA3031" w:rsidRDefault="00EC6C51" w:rsidP="003C73E2">
      <w:pPr>
        <w:pStyle w:val="Heading1"/>
        <w:ind w:left="567" w:hanging="567"/>
      </w:pPr>
      <w:r w:rsidRPr="00DA3031">
        <w:t>SAPIENZA UNIVERSITY OF ROME, ITALY</w:t>
      </w:r>
    </w:p>
    <w:p w14:paraId="044F9498" w14:textId="31C87DF3" w:rsidR="00EC6C51" w:rsidRPr="00DA3031" w:rsidRDefault="00EC6C51" w:rsidP="00EC6C51">
      <w:pPr>
        <w:jc w:val="both"/>
      </w:pPr>
      <w:r w:rsidRPr="00DA3031">
        <w:t>Sapienza University of Rome was founded in 1303 by Pope Boniface VIII, resulting one of the oldest universities in the world. It is a top performer in international university rankings.</w:t>
      </w:r>
      <w:r w:rsidR="00320819">
        <w:t xml:space="preserve"> </w:t>
      </w:r>
      <w:r w:rsidRPr="00DA3031">
        <w:t>It is a university that merges centuries of tradition with cutting-edge didactic activities, research and innovation. The main campus is a real city within the city located in the heart of Rome. With over 120,000 students, Sapienza is the biggest university in Europe. Ten Nobel Prize winners and internationally renowned scientists have taught and/or studied at Sapienza.</w:t>
      </w:r>
    </w:p>
    <w:p w14:paraId="7C0441FD" w14:textId="529ECB79" w:rsidR="00EC6C51" w:rsidRPr="00DA3031" w:rsidRDefault="00EC6C51" w:rsidP="00EC6C51">
      <w:pPr>
        <w:jc w:val="both"/>
      </w:pPr>
      <w:r w:rsidRPr="00DA3031">
        <w:t xml:space="preserve">The first Engineering Study </w:t>
      </w:r>
      <w:r w:rsidR="00320819" w:rsidRPr="00DA3031">
        <w:t>Program</w:t>
      </w:r>
      <w:r w:rsidRPr="00DA3031">
        <w:t xml:space="preserve"> born in Italy was established in our faculty, by Pope Pius VII in 1817. All the engineers that studied there were trained as civil engineers, and it was only in 1913 that the school began to provide two different training </w:t>
      </w:r>
      <w:r w:rsidR="00320819" w:rsidRPr="00DA3031">
        <w:t>programs</w:t>
      </w:r>
      <w:r w:rsidRPr="00DA3031">
        <w:t xml:space="preserve">: Civil and Industrial Engineering. In 1935 the school became the Faculty of Engineering of the University of Rome. In 1960 a special provision was issued which officially reorganized the Engineering Study </w:t>
      </w:r>
      <w:r w:rsidR="00320819" w:rsidRPr="00DA3031">
        <w:t>Programs</w:t>
      </w:r>
      <w:r w:rsidRPr="00DA3031">
        <w:t>. This provision led to the creation of nine different Civil Engineering Degrees: Mechanical Engineering, Electrical Engineering, Chemical Engineering, Marine and Mechanical Engineering, Aeronautical Engineering, Mining Engineering, Electronic and Nuclear Engineering. The first Full Professor related to the degree of Nuclear Engineering was Maurizio Cumo, who is the leader of the nuclear research unit and in 1976 starts the college class of ‘Nuclear Power Plants’.</w:t>
      </w:r>
    </w:p>
    <w:p w14:paraId="4A647EA5" w14:textId="590B4805" w:rsidR="00EC6C51" w:rsidRPr="00DA3031" w:rsidRDefault="00EC6C51" w:rsidP="00EC6C51">
      <w:pPr>
        <w:spacing w:after="120"/>
        <w:ind w:left="11" w:hanging="11"/>
        <w:jc w:val="both"/>
      </w:pPr>
      <w:r w:rsidRPr="00DA3031">
        <w:t xml:space="preserve">Nowadays, the Nuclear </w:t>
      </w:r>
      <w:r w:rsidR="009D1C08">
        <w:t>Engineering Research Group</w:t>
      </w:r>
      <w:r w:rsidRPr="00DA3031">
        <w:t xml:space="preserve"> (N</w:t>
      </w:r>
      <w:r w:rsidR="009D1C08">
        <w:t>ERG</w:t>
      </w:r>
      <w:r w:rsidRPr="00DA3031">
        <w:t xml:space="preserve">) is part of the Department of Electrical and Energy Engineering. The research activities carried out at </w:t>
      </w:r>
      <w:r w:rsidR="009D1C08">
        <w:t>NERG</w:t>
      </w:r>
      <w:r w:rsidRPr="00DA3031">
        <w:t xml:space="preserve"> involve several fields, in particular: i) theoretical and experimental analyses associated with heat and mass transfer; ii) two-phase thermal-hydraulics (also coupled with neutron kinetics); iii) MagnetoHydroDynamics; iv) Severe accidents; v) Thermo-mechanical analyses; vi) study, design, construction and testing of innovative components (test sections, heat exchangers, etc.) and innovative fluid systems for heat removal. Such studies are related to both nuclear fission and fusion applications. Projects where </w:t>
      </w:r>
      <w:r w:rsidR="009D1C08">
        <w:t>NERG</w:t>
      </w:r>
      <w:r w:rsidRPr="00DA3031">
        <w:t xml:space="preserve"> has been or is currently involved and that are worth </w:t>
      </w:r>
      <w:r w:rsidR="009D1C08" w:rsidRPr="00DA3031">
        <w:t>mentioning</w:t>
      </w:r>
      <w:r w:rsidRPr="00DA3031">
        <w:t xml:space="preserve"> are: GEN-IV (ALFRED, SFR</w:t>
      </w:r>
      <w:r w:rsidR="009D1C08">
        <w:t>s</w:t>
      </w:r>
      <w:r w:rsidRPr="00DA3031">
        <w:t xml:space="preserve">, </w:t>
      </w:r>
      <w:r w:rsidRPr="00462541">
        <w:t xml:space="preserve">Westinghouse </w:t>
      </w:r>
      <w:r w:rsidR="009D1C08" w:rsidRPr="00462541">
        <w:t xml:space="preserve">and </w:t>
      </w:r>
      <w:r w:rsidR="009D1C08" w:rsidRPr="00462541">
        <w:rPr>
          <w:i/>
          <w:iCs/>
        </w:rPr>
        <w:t>newcleo</w:t>
      </w:r>
      <w:r w:rsidR="009D1C08" w:rsidRPr="00462541">
        <w:t xml:space="preserve"> </w:t>
      </w:r>
      <w:r w:rsidRPr="00462541">
        <w:t>LFR</w:t>
      </w:r>
      <w:r w:rsidR="009D1C08" w:rsidRPr="00462541">
        <w:t>s</w:t>
      </w:r>
      <w:r w:rsidRPr="00462541">
        <w:t>), SMR</w:t>
      </w:r>
      <w:r w:rsidR="009D1C08" w:rsidRPr="00462541">
        <w:t>s</w:t>
      </w:r>
      <w:r w:rsidRPr="00462541">
        <w:t xml:space="preserve"> (MARS, mini-MARS</w:t>
      </w:r>
      <w:r w:rsidR="009D1C08" w:rsidRPr="00462541">
        <w:t>, iPWRs</w:t>
      </w:r>
      <w:r w:rsidRPr="00462541">
        <w:t xml:space="preserve">) and experimental nuclear fusion reactors (ITER, DEMO, ARC). The research unit consists of </w:t>
      </w:r>
      <w:r w:rsidR="00462541" w:rsidRPr="00462541">
        <w:t>5</w:t>
      </w:r>
      <w:r w:rsidRPr="00462541">
        <w:t xml:space="preserve"> </w:t>
      </w:r>
      <w:r w:rsidR="00462541" w:rsidRPr="00462541">
        <w:t xml:space="preserve">professors and senior researchers, 2 assistant professors, 6 research fellows and 20 </w:t>
      </w:r>
      <w:r w:rsidRPr="00462541">
        <w:t>PhD students. Specifically referring to Liquid Metal Fast Reactors</w:t>
      </w:r>
      <w:r w:rsidR="00320819" w:rsidRPr="00462541">
        <w:t xml:space="preserve"> (LMFR)</w:t>
      </w:r>
      <w:r w:rsidRPr="00462541">
        <w:t>, several analyses were carried out in the past</w:t>
      </w:r>
      <w:r w:rsidRPr="00DA3031">
        <w:t xml:space="preserve"> years to understand the relevant thermal-hydraulic phenomena occurring within these systems during safety-relevant scenarios. These numerical simulations were performed by using best-estimate system code RELAP5-3D</w:t>
      </w:r>
      <w:r w:rsidRPr="00DA3031">
        <w:rPr>
          <w:vertAlign w:val="superscript"/>
        </w:rPr>
        <w:t>©</w:t>
      </w:r>
      <w:r w:rsidRPr="00DA3031">
        <w:t>. The most relevant research activities involve:</w:t>
      </w:r>
    </w:p>
    <w:p w14:paraId="0C5B63F9" w14:textId="77777777" w:rsidR="00EC6C51" w:rsidRPr="00DA3031" w:rsidRDefault="00EC6C51" w:rsidP="00EC6C51">
      <w:pPr>
        <w:pStyle w:val="ListParagraph"/>
        <w:numPr>
          <w:ilvl w:val="0"/>
          <w:numId w:val="19"/>
        </w:numPr>
        <w:spacing w:after="9" w:line="270" w:lineRule="auto"/>
        <w:jc w:val="both"/>
      </w:pPr>
      <w:r w:rsidRPr="00DA3031">
        <w:t>Loss of Flow Accident (LOFA) tests performed at CIRCE-ICE and CIRCE-HERO experimental facilities hosted at ENEA Brasimone Research Centre (RC) to study liquid metal thermal stratification.</w:t>
      </w:r>
    </w:p>
    <w:p w14:paraId="29170DBE" w14:textId="7D4D2AAC" w:rsidR="00EC6C51" w:rsidRPr="00DA3031" w:rsidRDefault="00EC6C51" w:rsidP="00EC6C51">
      <w:pPr>
        <w:pStyle w:val="ListParagraph"/>
        <w:numPr>
          <w:ilvl w:val="0"/>
          <w:numId w:val="19"/>
        </w:numPr>
        <w:spacing w:after="9" w:line="270" w:lineRule="auto"/>
        <w:jc w:val="both"/>
      </w:pPr>
      <w:r w:rsidRPr="00DA3031">
        <w:t xml:space="preserve">LOFA tests performed at NACIE facility hosted at ENEA Brasimone RC to investigate natural circulation. In addition, Uncertainty Quantification was carried out on some selected parameters. </w:t>
      </w:r>
    </w:p>
    <w:p w14:paraId="7476F408" w14:textId="77777777" w:rsidR="00EC6C51" w:rsidRPr="00DA3031" w:rsidRDefault="00EC6C51" w:rsidP="00EC6C51">
      <w:pPr>
        <w:pStyle w:val="ListParagraph"/>
        <w:numPr>
          <w:ilvl w:val="0"/>
          <w:numId w:val="19"/>
        </w:numPr>
        <w:spacing w:after="9" w:line="270" w:lineRule="auto"/>
        <w:jc w:val="both"/>
      </w:pPr>
      <w:r w:rsidRPr="00DA3031">
        <w:t>EU-H2020 SESAME Project benchmark on PHÉNIX End of Life dissymmetric tests to study asymmetric effects and their influence on the reactor performances.</w:t>
      </w:r>
    </w:p>
    <w:p w14:paraId="127CD816" w14:textId="77777777" w:rsidR="00EC6C51" w:rsidRPr="00DA3031" w:rsidRDefault="00EC6C51" w:rsidP="00EC6C51">
      <w:pPr>
        <w:pStyle w:val="ListParagraph"/>
        <w:numPr>
          <w:ilvl w:val="0"/>
          <w:numId w:val="19"/>
        </w:numPr>
        <w:spacing w:after="9" w:line="270" w:lineRule="auto"/>
        <w:jc w:val="both"/>
      </w:pPr>
      <w:r w:rsidRPr="00DA3031">
        <w:t>OECD-NEA benchmark on PERSEO passive systems to evaluate the RELAP5-3D</w:t>
      </w:r>
      <w:r w:rsidRPr="00DA3031">
        <w:rPr>
          <w:vertAlign w:val="superscript"/>
        </w:rPr>
        <w:t>©</w:t>
      </w:r>
      <w:r w:rsidRPr="00DA3031">
        <w:t xml:space="preserve"> modelling capabilities with respect to pool boiling and condensation, heat transfer mechanisms strongly adopted within GEN IV passive safety systems.</w:t>
      </w:r>
    </w:p>
    <w:p w14:paraId="5A7A7D29" w14:textId="77777777" w:rsidR="00EC6C51" w:rsidRDefault="00EC6C51" w:rsidP="00EC6C51">
      <w:pPr>
        <w:pStyle w:val="ListParagraph"/>
        <w:numPr>
          <w:ilvl w:val="0"/>
          <w:numId w:val="19"/>
        </w:numPr>
        <w:spacing w:after="9" w:line="270" w:lineRule="auto"/>
        <w:jc w:val="both"/>
      </w:pPr>
      <w:r w:rsidRPr="00DA3031">
        <w:t>ALFRED design, with a particular focus on the passive-controlled isolation condenser, simulating two-phase natural circulation with non-condensable.</w:t>
      </w:r>
    </w:p>
    <w:p w14:paraId="0577F7D6" w14:textId="21DF16EB" w:rsidR="00C35E46" w:rsidRDefault="009D1C08" w:rsidP="00BA7991">
      <w:pPr>
        <w:pStyle w:val="ListParagraph"/>
        <w:numPr>
          <w:ilvl w:val="0"/>
          <w:numId w:val="19"/>
        </w:numPr>
        <w:spacing w:after="9" w:line="270" w:lineRule="auto"/>
        <w:jc w:val="both"/>
      </w:pPr>
      <w:r>
        <w:t>Participation in the IAEA Coordinate Research</w:t>
      </w:r>
      <w:r w:rsidRPr="009D1C08">
        <w:t xml:space="preserve"> Project </w:t>
      </w:r>
      <w:r>
        <w:t xml:space="preserve">(CRP) </w:t>
      </w:r>
      <w:r w:rsidRPr="009D1C08">
        <w:t>I32011</w:t>
      </w:r>
      <w:r w:rsidR="00320819">
        <w:t xml:space="preserve">, related to </w:t>
      </w:r>
      <w:r w:rsidRPr="009D1C08">
        <w:t xml:space="preserve">the simulation of a Loss of Flow Without Scram test (LOFWOS test #13) performed at the American Fast Flux Test Facility </w:t>
      </w:r>
      <w:r w:rsidR="00320819">
        <w:t xml:space="preserve">(FFTF) </w:t>
      </w:r>
      <w:r w:rsidRPr="009D1C08">
        <w:t xml:space="preserve">reactor. FFTF was a loop-type sodium fast reactor prototype. Twenty-five research institutions from thirteen countries participated </w:t>
      </w:r>
      <w:r w:rsidR="00320819" w:rsidRPr="009D1C08">
        <w:t>in</w:t>
      </w:r>
      <w:r w:rsidRPr="009D1C08">
        <w:t xml:space="preserve"> this benchmark exercise. The main goal of this research </w:t>
      </w:r>
      <w:r w:rsidRPr="009D1C08">
        <w:lastRenderedPageBreak/>
        <w:t xml:space="preserve">activity is the coupling between neutron-kinetic (NK) and thermal-hydraulic (TH) codes for the </w:t>
      </w:r>
      <w:r w:rsidR="00320819" w:rsidRPr="009D1C08">
        <w:t>development</w:t>
      </w:r>
      <w:r w:rsidRPr="009D1C08">
        <w:t xml:space="preserve"> of a full-integrated tool to investigate safety-relevant accidental scenarios characterizing these </w:t>
      </w:r>
      <w:r w:rsidR="00320819" w:rsidRPr="009D1C08">
        <w:t xml:space="preserve">new generation </w:t>
      </w:r>
      <w:r w:rsidRPr="009D1C08">
        <w:t>fission reactors.</w:t>
      </w:r>
    </w:p>
    <w:p w14:paraId="7BBD254E" w14:textId="2C9889F6" w:rsidR="00320819" w:rsidRDefault="00320819" w:rsidP="00BA7991">
      <w:pPr>
        <w:pStyle w:val="ListParagraph"/>
        <w:numPr>
          <w:ilvl w:val="0"/>
          <w:numId w:val="19"/>
        </w:numPr>
        <w:spacing w:after="9" w:line="270" w:lineRule="auto"/>
        <w:jc w:val="both"/>
      </w:pPr>
      <w:r w:rsidRPr="00320819">
        <w:t xml:space="preserve">The Advanced Nuclear Safety Evaluation of Liquid Metal Using Systems (ANSELMUS) project is part of the Horizon Europe Euratom research activities. </w:t>
      </w:r>
      <w:proofErr w:type="gramStart"/>
      <w:r>
        <w:t>ANSELMUS</w:t>
      </w:r>
      <w:proofErr w:type="gramEnd"/>
      <w:r w:rsidRPr="00320819">
        <w:t xml:space="preserve"> final purpose is contributing to the safety risk assessment for GEN IV LMFR</w:t>
      </w:r>
      <w:r>
        <w:t>s, considering b</w:t>
      </w:r>
      <w:r w:rsidRPr="00320819">
        <w:t xml:space="preserve">oth sodium and lead technologies, </w:t>
      </w:r>
      <w:r>
        <w:t xml:space="preserve">i.e., </w:t>
      </w:r>
      <w:r w:rsidRPr="00320819">
        <w:t xml:space="preserve">by </w:t>
      </w:r>
      <w:r>
        <w:t xml:space="preserve">investigating </w:t>
      </w:r>
      <w:r w:rsidRPr="00320819">
        <w:t xml:space="preserve">MYRRHA and ALFRED reactors. </w:t>
      </w:r>
      <w:r>
        <w:t>NERG is</w:t>
      </w:r>
      <w:r w:rsidRPr="00320819">
        <w:t xml:space="preserve"> currently involved in </w:t>
      </w:r>
      <w:r w:rsidR="00462541" w:rsidRPr="00320819">
        <w:t>Work</w:t>
      </w:r>
      <w:r w:rsidRPr="00320819">
        <w:t xml:space="preserve"> Package 1, related to the development of a Phenomena Identification and Ranking Technique (PIRT) methodology to be applied during the LMFR design process. </w:t>
      </w:r>
      <w:r>
        <w:t>NERG is</w:t>
      </w:r>
      <w:r w:rsidRPr="00320819">
        <w:t xml:space="preserve"> performing </w:t>
      </w:r>
      <w:r>
        <w:t>TH</w:t>
      </w:r>
      <w:r w:rsidRPr="00320819">
        <w:t xml:space="preserve"> transient simulations of ALFRED reactor during selected accidental scenarios.</w:t>
      </w:r>
    </w:p>
    <w:p w14:paraId="76FCBD81" w14:textId="347077DA" w:rsidR="00320819" w:rsidRPr="00EC6C51" w:rsidRDefault="00320819" w:rsidP="00320819">
      <w:pPr>
        <w:pStyle w:val="ListParagraph"/>
        <w:numPr>
          <w:ilvl w:val="0"/>
          <w:numId w:val="19"/>
        </w:numPr>
        <w:spacing w:after="9" w:line="270" w:lineRule="auto"/>
        <w:jc w:val="both"/>
      </w:pPr>
      <w:r>
        <w:t xml:space="preserve">The </w:t>
      </w:r>
      <w:r w:rsidRPr="00320819">
        <w:t xml:space="preserve">LEad fast reactor Safety design and TOols (LESTO) </w:t>
      </w:r>
      <w:r>
        <w:t>p</w:t>
      </w:r>
      <w:r w:rsidRPr="00320819">
        <w:t>roject is part of the Horizon Europe Euratom research activities.</w:t>
      </w:r>
      <w:r>
        <w:t xml:space="preserve"> NERG</w:t>
      </w:r>
      <w:r w:rsidRPr="00320819">
        <w:t xml:space="preserve"> </w:t>
      </w:r>
      <w:r>
        <w:t>c</w:t>
      </w:r>
      <w:r w:rsidRPr="00320819">
        <w:t xml:space="preserve">ontributions </w:t>
      </w:r>
      <w:r>
        <w:t xml:space="preserve">within LESTO relate </w:t>
      </w:r>
      <w:r w:rsidRPr="00320819">
        <w:t xml:space="preserve">to: </w:t>
      </w:r>
      <w:r w:rsidR="00462541">
        <w:t>S</w:t>
      </w:r>
      <w:r w:rsidRPr="00320819">
        <w:t>upport the development of a passive mitigation device for LFR and the related experimental setup (SIRIO)</w:t>
      </w:r>
      <w:r w:rsidR="00462541">
        <w:t>; P</w:t>
      </w:r>
      <w:r w:rsidRPr="00320819">
        <w:t xml:space="preserve">ost-test </w:t>
      </w:r>
      <w:r w:rsidR="00462541" w:rsidRPr="00320819">
        <w:t>analysis</w:t>
      </w:r>
      <w:r w:rsidRPr="00320819">
        <w:t xml:space="preserve"> of ATHENA facility (largest facility in Europe for research on LFR technology).</w:t>
      </w:r>
    </w:p>
    <w:sectPr w:rsidR="00320819" w:rsidRPr="00EC6C51" w:rsidSect="0032253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ans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50"/>
    <w:multiLevelType w:val="hybridMultilevel"/>
    <w:tmpl w:val="E370BB8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04EE406A"/>
    <w:multiLevelType w:val="hybridMultilevel"/>
    <w:tmpl w:val="BF604832"/>
    <w:lvl w:ilvl="0" w:tplc="747C45E0">
      <w:start w:val="1"/>
      <w:numFmt w:val="decimal"/>
      <w:lvlText w:val="[%1]."/>
      <w:lvlJc w:val="left"/>
      <w:pPr>
        <w:ind w:left="720" w:hanging="360"/>
      </w:pPr>
      <w:rPr>
        <w:rFonts w:ascii="Times New Roman" w:hAnsi="Times New Roman" w:cs="Times New Roman"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20339EC"/>
    <w:multiLevelType w:val="hybridMultilevel"/>
    <w:tmpl w:val="DCD2FA5C"/>
    <w:lvl w:ilvl="0" w:tplc="75D012EE">
      <w:start w:val="1"/>
      <w:numFmt w:val="decimal"/>
      <w:lvlText w:val="%1."/>
      <w:lvlJc w:val="left"/>
      <w:pPr>
        <w:ind w:left="720" w:hanging="360"/>
      </w:pPr>
      <w:rPr>
        <w:rFonts w:ascii="Arial" w:hAnsi="Arial" w:hint="default"/>
        <w:b/>
        <w:i w:val="0"/>
        <w:sz w:val="20"/>
      </w:rPr>
    </w:lvl>
    <w:lvl w:ilvl="1" w:tplc="04100001">
      <w:start w:val="1"/>
      <w:numFmt w:val="bullet"/>
      <w:lvlText w:val=""/>
      <w:lvlJc w:val="left"/>
      <w:pPr>
        <w:ind w:left="1440" w:hanging="360"/>
      </w:pPr>
      <w:rPr>
        <w:rFonts w:ascii="Symbol" w:hAnsi="Symbol" w:hint="default"/>
        <w:spacing w:val="0"/>
        <w:w w:val="10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CEF42F0"/>
    <w:multiLevelType w:val="hybridMultilevel"/>
    <w:tmpl w:val="605E52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75233C3"/>
    <w:multiLevelType w:val="hybridMultilevel"/>
    <w:tmpl w:val="FBF44F62"/>
    <w:lvl w:ilvl="0" w:tplc="04100001">
      <w:start w:val="1"/>
      <w:numFmt w:val="bullet"/>
      <w:lvlText w:val=""/>
      <w:lvlJc w:val="left"/>
      <w:pPr>
        <w:ind w:left="720" w:hanging="360"/>
      </w:pPr>
      <w:rPr>
        <w:rFonts w:ascii="Symbol" w:hAnsi="Symbol" w:hint="default"/>
        <w:b/>
        <w:i w:val="0"/>
        <w:sz w:val="20"/>
      </w:rPr>
    </w:lvl>
    <w:lvl w:ilvl="1" w:tplc="FFFFFFFF">
      <w:start w:val="1"/>
      <w:numFmt w:val="bullet"/>
      <w:lvlText w:val=""/>
      <w:lvlJc w:val="left"/>
      <w:pPr>
        <w:ind w:left="1440" w:hanging="360"/>
      </w:pPr>
      <w:rPr>
        <w:rFonts w:ascii="Symbol" w:hAnsi="Symbol" w:hint="default"/>
        <w:spacing w:val="0"/>
        <w:w w:val="1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9232C4"/>
    <w:multiLevelType w:val="hybridMultilevel"/>
    <w:tmpl w:val="8EAE25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3947863"/>
    <w:multiLevelType w:val="hybridMultilevel"/>
    <w:tmpl w:val="9B06A2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44C065F"/>
    <w:multiLevelType w:val="hybridMultilevel"/>
    <w:tmpl w:val="42E269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6F74347"/>
    <w:multiLevelType w:val="hybridMultilevel"/>
    <w:tmpl w:val="DCD2FA5C"/>
    <w:lvl w:ilvl="0" w:tplc="75D012EE">
      <w:start w:val="1"/>
      <w:numFmt w:val="decimal"/>
      <w:lvlText w:val="%1."/>
      <w:lvlJc w:val="left"/>
      <w:pPr>
        <w:ind w:left="720" w:hanging="360"/>
      </w:pPr>
      <w:rPr>
        <w:rFonts w:ascii="Arial" w:hAnsi="Arial" w:hint="default"/>
        <w:b/>
        <w:i w:val="0"/>
        <w:sz w:val="20"/>
      </w:rPr>
    </w:lvl>
    <w:lvl w:ilvl="1" w:tplc="04100001">
      <w:start w:val="1"/>
      <w:numFmt w:val="bullet"/>
      <w:lvlText w:val=""/>
      <w:lvlJc w:val="left"/>
      <w:pPr>
        <w:ind w:left="1440" w:hanging="360"/>
      </w:pPr>
      <w:rPr>
        <w:rFonts w:ascii="Symbol" w:hAnsi="Symbol" w:hint="default"/>
        <w:spacing w:val="0"/>
        <w:w w:val="10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7E73816"/>
    <w:multiLevelType w:val="hybridMultilevel"/>
    <w:tmpl w:val="D1A8B9DE"/>
    <w:lvl w:ilvl="0" w:tplc="75D012EE">
      <w:start w:val="1"/>
      <w:numFmt w:val="decimal"/>
      <w:lvlText w:val="%1."/>
      <w:lvlJc w:val="left"/>
      <w:pPr>
        <w:ind w:left="1440" w:hanging="360"/>
      </w:pPr>
      <w:rPr>
        <w:rFonts w:ascii="Arial" w:hAnsi="Arial" w:hint="default"/>
        <w:b/>
        <w:i w:val="0"/>
        <w:sz w:val="20"/>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490D28C4"/>
    <w:multiLevelType w:val="hybridMultilevel"/>
    <w:tmpl w:val="6486C3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4743E56"/>
    <w:multiLevelType w:val="hybridMultilevel"/>
    <w:tmpl w:val="6D7211B8"/>
    <w:lvl w:ilvl="0" w:tplc="75D012EE">
      <w:start w:val="1"/>
      <w:numFmt w:val="decimal"/>
      <w:lvlText w:val="%1."/>
      <w:lvlJc w:val="left"/>
      <w:pPr>
        <w:ind w:left="1080" w:hanging="360"/>
      </w:pPr>
      <w:rPr>
        <w:rFonts w:ascii="Arial" w:hAnsi="Arial" w:hint="default"/>
        <w:b/>
        <w:i w:val="0"/>
        <w:sz w:val="20"/>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 w15:restartNumberingAfterBreak="0">
    <w:nsid w:val="5D9C61FB"/>
    <w:multiLevelType w:val="hybridMultilevel"/>
    <w:tmpl w:val="33D4BD6C"/>
    <w:lvl w:ilvl="0" w:tplc="04100001">
      <w:start w:val="1"/>
      <w:numFmt w:val="bullet"/>
      <w:lvlText w:val=""/>
      <w:lvlJc w:val="left"/>
      <w:pPr>
        <w:ind w:left="1776" w:hanging="360"/>
      </w:pPr>
      <w:rPr>
        <w:rFonts w:ascii="Symbol" w:hAnsi="Symbol"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13" w15:restartNumberingAfterBreak="0">
    <w:nsid w:val="5E1A46B3"/>
    <w:multiLevelType w:val="multilevel"/>
    <w:tmpl w:val="041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2755FA7"/>
    <w:multiLevelType w:val="hybridMultilevel"/>
    <w:tmpl w:val="2B863788"/>
    <w:lvl w:ilvl="0" w:tplc="4EEAD22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796B02"/>
    <w:multiLevelType w:val="hybridMultilevel"/>
    <w:tmpl w:val="0E507F0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4367B36"/>
    <w:multiLevelType w:val="hybridMultilevel"/>
    <w:tmpl w:val="0FDCE25E"/>
    <w:lvl w:ilvl="0" w:tplc="E12847CC">
      <w:start w:val="1"/>
      <w:numFmt w:val="upperRoman"/>
      <w:pStyle w:val="Annex2"/>
      <w:lvlText w:val="%1I.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6E7AF1"/>
    <w:multiLevelType w:val="hybridMultilevel"/>
    <w:tmpl w:val="6DAA81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9405AA0"/>
    <w:multiLevelType w:val="hybridMultilevel"/>
    <w:tmpl w:val="BF604832"/>
    <w:lvl w:ilvl="0" w:tplc="747C45E0">
      <w:start w:val="1"/>
      <w:numFmt w:val="decimal"/>
      <w:lvlText w:val="[%1]."/>
      <w:lvlJc w:val="left"/>
      <w:pPr>
        <w:ind w:left="720" w:hanging="360"/>
      </w:pPr>
      <w:rPr>
        <w:rFonts w:ascii="Times New Roman" w:hAnsi="Times New Roman" w:cs="Times New Roman"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C68738B"/>
    <w:multiLevelType w:val="hybridMultilevel"/>
    <w:tmpl w:val="8976067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F8C7FB1"/>
    <w:multiLevelType w:val="hybridMultilevel"/>
    <w:tmpl w:val="202EE4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35823067">
    <w:abstractNumId w:val="8"/>
  </w:num>
  <w:num w:numId="2" w16cid:durableId="1988196629">
    <w:abstractNumId w:val="11"/>
  </w:num>
  <w:num w:numId="3" w16cid:durableId="1789423826">
    <w:abstractNumId w:val="10"/>
  </w:num>
  <w:num w:numId="4" w16cid:durableId="2119132077">
    <w:abstractNumId w:val="4"/>
  </w:num>
  <w:num w:numId="5" w16cid:durableId="433524076">
    <w:abstractNumId w:val="7"/>
  </w:num>
  <w:num w:numId="6" w16cid:durableId="2133939734">
    <w:abstractNumId w:val="9"/>
  </w:num>
  <w:num w:numId="7" w16cid:durableId="914436936">
    <w:abstractNumId w:val="2"/>
  </w:num>
  <w:num w:numId="8" w16cid:durableId="684359541">
    <w:abstractNumId w:val="14"/>
  </w:num>
  <w:num w:numId="9" w16cid:durableId="656887097">
    <w:abstractNumId w:val="12"/>
  </w:num>
  <w:num w:numId="10" w16cid:durableId="833230186">
    <w:abstractNumId w:val="5"/>
  </w:num>
  <w:num w:numId="11" w16cid:durableId="2098557265">
    <w:abstractNumId w:val="17"/>
  </w:num>
  <w:num w:numId="12" w16cid:durableId="22632165">
    <w:abstractNumId w:val="13"/>
  </w:num>
  <w:num w:numId="13" w16cid:durableId="1059206255">
    <w:abstractNumId w:val="1"/>
  </w:num>
  <w:num w:numId="14" w16cid:durableId="1313749684">
    <w:abstractNumId w:val="18"/>
  </w:num>
  <w:num w:numId="15" w16cid:durableId="196359063">
    <w:abstractNumId w:val="19"/>
  </w:num>
  <w:num w:numId="16" w16cid:durableId="705258878">
    <w:abstractNumId w:val="20"/>
  </w:num>
  <w:num w:numId="17" w16cid:durableId="1228766751">
    <w:abstractNumId w:val="3"/>
  </w:num>
  <w:num w:numId="18" w16cid:durableId="1321082856">
    <w:abstractNumId w:val="6"/>
  </w:num>
  <w:num w:numId="19" w16cid:durableId="2119055272">
    <w:abstractNumId w:val="15"/>
  </w:num>
  <w:num w:numId="20" w16cid:durableId="679159652">
    <w:abstractNumId w:val="16"/>
  </w:num>
  <w:num w:numId="21" w16cid:durableId="125174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891"/>
    <w:rsid w:val="000125B0"/>
    <w:rsid w:val="0001545A"/>
    <w:rsid w:val="000214FD"/>
    <w:rsid w:val="00046830"/>
    <w:rsid w:val="00070F59"/>
    <w:rsid w:val="00075DEC"/>
    <w:rsid w:val="000805E5"/>
    <w:rsid w:val="00081992"/>
    <w:rsid w:val="000B2601"/>
    <w:rsid w:val="000C159E"/>
    <w:rsid w:val="000C7EDB"/>
    <w:rsid w:val="000D3501"/>
    <w:rsid w:val="000D6C23"/>
    <w:rsid w:val="0011110E"/>
    <w:rsid w:val="00141FC4"/>
    <w:rsid w:val="00142FD6"/>
    <w:rsid w:val="001478DF"/>
    <w:rsid w:val="0015290C"/>
    <w:rsid w:val="00160796"/>
    <w:rsid w:val="00163701"/>
    <w:rsid w:val="00173650"/>
    <w:rsid w:val="001756BE"/>
    <w:rsid w:val="00176CB6"/>
    <w:rsid w:val="00180C2C"/>
    <w:rsid w:val="0018567A"/>
    <w:rsid w:val="001958C4"/>
    <w:rsid w:val="001A50A4"/>
    <w:rsid w:val="001B1BD1"/>
    <w:rsid w:val="001C3AEB"/>
    <w:rsid w:val="001C3D13"/>
    <w:rsid w:val="001C689B"/>
    <w:rsid w:val="001E1829"/>
    <w:rsid w:val="0021666F"/>
    <w:rsid w:val="0023052F"/>
    <w:rsid w:val="002366BA"/>
    <w:rsid w:val="00242AE6"/>
    <w:rsid w:val="0025194E"/>
    <w:rsid w:val="00257669"/>
    <w:rsid w:val="00260BD1"/>
    <w:rsid w:val="00265EEB"/>
    <w:rsid w:val="002705EE"/>
    <w:rsid w:val="00291157"/>
    <w:rsid w:val="002938A0"/>
    <w:rsid w:val="00293AD3"/>
    <w:rsid w:val="002C045D"/>
    <w:rsid w:val="002C7344"/>
    <w:rsid w:val="002E3D8D"/>
    <w:rsid w:val="002E552D"/>
    <w:rsid w:val="002E5728"/>
    <w:rsid w:val="00320819"/>
    <w:rsid w:val="00322534"/>
    <w:rsid w:val="00325A24"/>
    <w:rsid w:val="00326D23"/>
    <w:rsid w:val="00341DC3"/>
    <w:rsid w:val="00344294"/>
    <w:rsid w:val="0034546E"/>
    <w:rsid w:val="00352119"/>
    <w:rsid w:val="00364DFB"/>
    <w:rsid w:val="003673A7"/>
    <w:rsid w:val="003871A7"/>
    <w:rsid w:val="003C73E2"/>
    <w:rsid w:val="003E29E1"/>
    <w:rsid w:val="004121B5"/>
    <w:rsid w:val="00446917"/>
    <w:rsid w:val="00451093"/>
    <w:rsid w:val="004574D7"/>
    <w:rsid w:val="00462541"/>
    <w:rsid w:val="00462C16"/>
    <w:rsid w:val="004734C4"/>
    <w:rsid w:val="00475C91"/>
    <w:rsid w:val="00477804"/>
    <w:rsid w:val="0048459C"/>
    <w:rsid w:val="0048789A"/>
    <w:rsid w:val="00490CB8"/>
    <w:rsid w:val="00491308"/>
    <w:rsid w:val="00495CC7"/>
    <w:rsid w:val="004F748E"/>
    <w:rsid w:val="00510A3A"/>
    <w:rsid w:val="005235E2"/>
    <w:rsid w:val="00564FCF"/>
    <w:rsid w:val="00581005"/>
    <w:rsid w:val="005D5EDB"/>
    <w:rsid w:val="005F4BCF"/>
    <w:rsid w:val="00611C84"/>
    <w:rsid w:val="00623DD2"/>
    <w:rsid w:val="00634873"/>
    <w:rsid w:val="00640A41"/>
    <w:rsid w:val="00666E49"/>
    <w:rsid w:val="00667A36"/>
    <w:rsid w:val="006719F8"/>
    <w:rsid w:val="006830BF"/>
    <w:rsid w:val="006A71E5"/>
    <w:rsid w:val="006C09EA"/>
    <w:rsid w:val="006D2069"/>
    <w:rsid w:val="0070665F"/>
    <w:rsid w:val="00711A7D"/>
    <w:rsid w:val="00724BC4"/>
    <w:rsid w:val="0073531C"/>
    <w:rsid w:val="00736A0D"/>
    <w:rsid w:val="00744B4B"/>
    <w:rsid w:val="007456DC"/>
    <w:rsid w:val="007503D6"/>
    <w:rsid w:val="0075662D"/>
    <w:rsid w:val="007805A1"/>
    <w:rsid w:val="007810E9"/>
    <w:rsid w:val="007956E3"/>
    <w:rsid w:val="007A62F1"/>
    <w:rsid w:val="007C416A"/>
    <w:rsid w:val="007D2ED0"/>
    <w:rsid w:val="007E51FD"/>
    <w:rsid w:val="00800891"/>
    <w:rsid w:val="00805722"/>
    <w:rsid w:val="008102D5"/>
    <w:rsid w:val="00814616"/>
    <w:rsid w:val="00837053"/>
    <w:rsid w:val="00862C2C"/>
    <w:rsid w:val="0087041A"/>
    <w:rsid w:val="00882433"/>
    <w:rsid w:val="008828E4"/>
    <w:rsid w:val="008A34DB"/>
    <w:rsid w:val="008B42AB"/>
    <w:rsid w:val="008C0D11"/>
    <w:rsid w:val="008D571F"/>
    <w:rsid w:val="008E2675"/>
    <w:rsid w:val="008F34F2"/>
    <w:rsid w:val="00912B63"/>
    <w:rsid w:val="00942ED1"/>
    <w:rsid w:val="00944B31"/>
    <w:rsid w:val="00944E22"/>
    <w:rsid w:val="00945A8E"/>
    <w:rsid w:val="009834EB"/>
    <w:rsid w:val="00987E51"/>
    <w:rsid w:val="009C551B"/>
    <w:rsid w:val="009C67D1"/>
    <w:rsid w:val="009D1AB6"/>
    <w:rsid w:val="009D1C08"/>
    <w:rsid w:val="009E4A65"/>
    <w:rsid w:val="00A168C1"/>
    <w:rsid w:val="00A16EFF"/>
    <w:rsid w:val="00A4139E"/>
    <w:rsid w:val="00A41D91"/>
    <w:rsid w:val="00A445D6"/>
    <w:rsid w:val="00A45FF1"/>
    <w:rsid w:val="00A46425"/>
    <w:rsid w:val="00A54DC8"/>
    <w:rsid w:val="00A77DD8"/>
    <w:rsid w:val="00A83DC8"/>
    <w:rsid w:val="00A9400C"/>
    <w:rsid w:val="00AA2C49"/>
    <w:rsid w:val="00AC5660"/>
    <w:rsid w:val="00AC722B"/>
    <w:rsid w:val="00AD0B95"/>
    <w:rsid w:val="00AD3938"/>
    <w:rsid w:val="00AD56B9"/>
    <w:rsid w:val="00AD7110"/>
    <w:rsid w:val="00AE1567"/>
    <w:rsid w:val="00AE64BE"/>
    <w:rsid w:val="00B11F60"/>
    <w:rsid w:val="00B21DFA"/>
    <w:rsid w:val="00B277E5"/>
    <w:rsid w:val="00B530E5"/>
    <w:rsid w:val="00B73122"/>
    <w:rsid w:val="00B825DB"/>
    <w:rsid w:val="00B91C04"/>
    <w:rsid w:val="00B963E9"/>
    <w:rsid w:val="00BB79E5"/>
    <w:rsid w:val="00BD64D5"/>
    <w:rsid w:val="00C031F5"/>
    <w:rsid w:val="00C06359"/>
    <w:rsid w:val="00C32D03"/>
    <w:rsid w:val="00C35E46"/>
    <w:rsid w:val="00C553E1"/>
    <w:rsid w:val="00C625E7"/>
    <w:rsid w:val="00C6659C"/>
    <w:rsid w:val="00C676FB"/>
    <w:rsid w:val="00C7159F"/>
    <w:rsid w:val="00C77215"/>
    <w:rsid w:val="00CB2974"/>
    <w:rsid w:val="00CD5065"/>
    <w:rsid w:val="00CE3022"/>
    <w:rsid w:val="00CF6F88"/>
    <w:rsid w:val="00CF73B7"/>
    <w:rsid w:val="00D15121"/>
    <w:rsid w:val="00D1710E"/>
    <w:rsid w:val="00D32781"/>
    <w:rsid w:val="00D34738"/>
    <w:rsid w:val="00D37777"/>
    <w:rsid w:val="00D44F8B"/>
    <w:rsid w:val="00D55AB7"/>
    <w:rsid w:val="00D627AB"/>
    <w:rsid w:val="00D82DFF"/>
    <w:rsid w:val="00DB0AD8"/>
    <w:rsid w:val="00DB1F79"/>
    <w:rsid w:val="00DB7243"/>
    <w:rsid w:val="00DC2CCC"/>
    <w:rsid w:val="00DD62C6"/>
    <w:rsid w:val="00DF143C"/>
    <w:rsid w:val="00DF4FC0"/>
    <w:rsid w:val="00DF6D28"/>
    <w:rsid w:val="00E05A09"/>
    <w:rsid w:val="00E065CA"/>
    <w:rsid w:val="00E271E9"/>
    <w:rsid w:val="00E60E35"/>
    <w:rsid w:val="00E72CAE"/>
    <w:rsid w:val="00E75AE1"/>
    <w:rsid w:val="00E76065"/>
    <w:rsid w:val="00E76A4D"/>
    <w:rsid w:val="00E833AD"/>
    <w:rsid w:val="00E86227"/>
    <w:rsid w:val="00E9417A"/>
    <w:rsid w:val="00EC6C51"/>
    <w:rsid w:val="00EC7BD5"/>
    <w:rsid w:val="00ED58A7"/>
    <w:rsid w:val="00EF6B41"/>
    <w:rsid w:val="00F0441E"/>
    <w:rsid w:val="00F12685"/>
    <w:rsid w:val="00F16707"/>
    <w:rsid w:val="00F510DE"/>
    <w:rsid w:val="00F64D25"/>
    <w:rsid w:val="00F706F8"/>
    <w:rsid w:val="00F94470"/>
    <w:rsid w:val="00FB1F94"/>
    <w:rsid w:val="00FB5125"/>
    <w:rsid w:val="00FB7434"/>
    <w:rsid w:val="00FD1351"/>
    <w:rsid w:val="00FF55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40C1"/>
  <w15:chartTrackingRefBased/>
  <w15:docId w15:val="{6B77B09F-A4EB-4FDF-9743-404B8040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344"/>
    <w:rPr>
      <w:lang w:val="en-US"/>
    </w:rPr>
  </w:style>
  <w:style w:type="paragraph" w:styleId="Heading1">
    <w:name w:val="heading 1"/>
    <w:basedOn w:val="Normal"/>
    <w:next w:val="Normal"/>
    <w:link w:val="Heading1Char"/>
    <w:uiPriority w:val="9"/>
    <w:qFormat/>
    <w:rsid w:val="00160796"/>
    <w:pPr>
      <w:keepNext/>
      <w:keepLines/>
      <w:spacing w:before="240" w:after="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553E1"/>
    <w:pPr>
      <w:keepNext/>
      <w:keepLines/>
      <w:spacing w:before="40" w:after="20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607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6079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6079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60796"/>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60796"/>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6079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079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A3A"/>
    <w:pPr>
      <w:ind w:left="720"/>
      <w:contextualSpacing/>
    </w:pPr>
  </w:style>
  <w:style w:type="table" w:styleId="TableGrid">
    <w:name w:val="Table Grid"/>
    <w:basedOn w:val="TableNormal"/>
    <w:rsid w:val="009D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159E"/>
    <w:rPr>
      <w:color w:val="808080"/>
    </w:rPr>
  </w:style>
  <w:style w:type="paragraph" w:styleId="Caption">
    <w:name w:val="caption"/>
    <w:basedOn w:val="Normal"/>
    <w:next w:val="Normal"/>
    <w:uiPriority w:val="35"/>
    <w:unhideWhenUsed/>
    <w:qFormat/>
    <w:rsid w:val="00A54DC8"/>
    <w:pPr>
      <w:spacing w:after="200" w:line="240" w:lineRule="auto"/>
      <w:jc w:val="center"/>
    </w:pPr>
    <w:rPr>
      <w:iCs/>
      <w:szCs w:val="18"/>
    </w:rPr>
  </w:style>
  <w:style w:type="paragraph" w:customStyle="1" w:styleId="Default">
    <w:name w:val="Default"/>
    <w:rsid w:val="008A34DB"/>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8E2675"/>
    <w:pPr>
      <w:spacing w:after="0" w:line="240" w:lineRule="auto"/>
    </w:pPr>
    <w:rPr>
      <w:lang w:val="en-US"/>
    </w:rPr>
  </w:style>
  <w:style w:type="character" w:customStyle="1" w:styleId="Heading1Char">
    <w:name w:val="Heading 1 Char"/>
    <w:basedOn w:val="DefaultParagraphFont"/>
    <w:link w:val="Heading1"/>
    <w:uiPriority w:val="9"/>
    <w:rsid w:val="00160796"/>
    <w:rPr>
      <w:rFonts w:asciiTheme="majorHAnsi" w:eastAsiaTheme="majorEastAsia" w:hAnsiTheme="majorHAnsi" w:cstheme="majorBidi"/>
      <w:color w:val="2E74B5" w:themeColor="accent1" w:themeShade="BF"/>
      <w:sz w:val="32"/>
      <w:szCs w:val="32"/>
      <w:lang w:val="en-US"/>
    </w:rPr>
  </w:style>
  <w:style w:type="paragraph" w:customStyle="1" w:styleId="Index">
    <w:name w:val="Index"/>
    <w:basedOn w:val="Normal"/>
    <w:rsid w:val="008E2675"/>
    <w:pPr>
      <w:suppressLineNumbers/>
      <w:suppressAutoHyphens/>
      <w:autoSpaceDN w:val="0"/>
      <w:spacing w:after="0" w:line="240" w:lineRule="auto"/>
      <w:textAlignment w:val="baseline"/>
    </w:pPr>
    <w:rPr>
      <w:rFonts w:ascii="Liberation Serif" w:eastAsia="Noto Sans CJK SC" w:hAnsi="Liberation Serif" w:cs="Noto Sans Devanagari"/>
      <w:kern w:val="3"/>
      <w:sz w:val="24"/>
      <w:szCs w:val="24"/>
      <w:lang w:eastAsia="zh-CN" w:bidi="hi-IN"/>
    </w:rPr>
  </w:style>
  <w:style w:type="character" w:customStyle="1" w:styleId="Heading2Char">
    <w:name w:val="Heading 2 Char"/>
    <w:basedOn w:val="DefaultParagraphFont"/>
    <w:link w:val="Heading2"/>
    <w:uiPriority w:val="9"/>
    <w:rsid w:val="00C553E1"/>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160796"/>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160796"/>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160796"/>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160796"/>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160796"/>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16079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60796"/>
    <w:rPr>
      <w:rFonts w:asciiTheme="majorHAnsi" w:eastAsiaTheme="majorEastAsia" w:hAnsiTheme="majorHAnsi" w:cstheme="majorBidi"/>
      <w:i/>
      <w:iCs/>
      <w:color w:val="272727" w:themeColor="text1" w:themeTint="D8"/>
      <w:sz w:val="21"/>
      <w:szCs w:val="21"/>
      <w:lang w:val="en-US"/>
    </w:rPr>
  </w:style>
  <w:style w:type="paragraph" w:styleId="Title">
    <w:name w:val="Title"/>
    <w:basedOn w:val="Normal"/>
    <w:next w:val="Normal"/>
    <w:link w:val="TitleChar"/>
    <w:uiPriority w:val="10"/>
    <w:qFormat/>
    <w:rsid w:val="00160796"/>
    <w:pPr>
      <w:spacing w:after="0" w:line="240" w:lineRule="auto"/>
      <w:contextualSpacing/>
      <w:jc w:val="center"/>
    </w:pPr>
    <w:rPr>
      <w:rFonts w:asciiTheme="majorHAnsi" w:eastAsiaTheme="majorEastAsia" w:hAnsiTheme="majorHAnsi" w:cstheme="majorBidi"/>
      <w:color w:val="4472C4" w:themeColor="accent5"/>
      <w:spacing w:val="-10"/>
      <w:kern w:val="28"/>
      <w:sz w:val="40"/>
      <w:szCs w:val="56"/>
    </w:rPr>
  </w:style>
  <w:style w:type="character" w:customStyle="1" w:styleId="TitleChar">
    <w:name w:val="Title Char"/>
    <w:basedOn w:val="DefaultParagraphFont"/>
    <w:link w:val="Title"/>
    <w:uiPriority w:val="10"/>
    <w:rsid w:val="00160796"/>
    <w:rPr>
      <w:rFonts w:asciiTheme="majorHAnsi" w:eastAsiaTheme="majorEastAsia" w:hAnsiTheme="majorHAnsi" w:cstheme="majorBidi"/>
      <w:color w:val="4472C4" w:themeColor="accent5"/>
      <w:spacing w:val="-10"/>
      <w:kern w:val="28"/>
      <w:sz w:val="40"/>
      <w:szCs w:val="56"/>
      <w:lang w:val="en-US"/>
    </w:rPr>
  </w:style>
  <w:style w:type="character" w:styleId="Hyperlink">
    <w:name w:val="Hyperlink"/>
    <w:basedOn w:val="DefaultParagraphFont"/>
    <w:uiPriority w:val="99"/>
    <w:unhideWhenUsed/>
    <w:rsid w:val="001A50A4"/>
    <w:rPr>
      <w:color w:val="0563C1" w:themeColor="hyperlink"/>
      <w:u w:val="single"/>
    </w:rPr>
  </w:style>
  <w:style w:type="character" w:customStyle="1" w:styleId="Menzionenonrisolta1">
    <w:name w:val="Menzione non risolta1"/>
    <w:basedOn w:val="DefaultParagraphFont"/>
    <w:uiPriority w:val="99"/>
    <w:semiHidden/>
    <w:unhideWhenUsed/>
    <w:rsid w:val="00451093"/>
    <w:rPr>
      <w:color w:val="605E5C"/>
      <w:shd w:val="clear" w:color="auto" w:fill="E1DFDD"/>
    </w:rPr>
  </w:style>
  <w:style w:type="paragraph" w:styleId="Index1">
    <w:name w:val="index 1"/>
    <w:basedOn w:val="Normal"/>
    <w:next w:val="Normal"/>
    <w:autoRedefine/>
    <w:uiPriority w:val="99"/>
    <w:semiHidden/>
    <w:unhideWhenUsed/>
    <w:rsid w:val="00070F59"/>
    <w:pPr>
      <w:spacing w:after="0" w:line="240" w:lineRule="auto"/>
      <w:ind w:left="220" w:hanging="220"/>
    </w:pPr>
  </w:style>
  <w:style w:type="paragraph" w:customStyle="1" w:styleId="Annex2">
    <w:name w:val="Annex 2"/>
    <w:basedOn w:val="Heading2"/>
    <w:link w:val="Annex2Char"/>
    <w:qFormat/>
    <w:rsid w:val="009D1C08"/>
    <w:pPr>
      <w:numPr>
        <w:numId w:val="2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240" w:after="240" w:line="240" w:lineRule="auto"/>
      <w:ind w:left="714" w:hanging="357"/>
    </w:pPr>
    <w:rPr>
      <w:rFonts w:ascii="Times New Roman" w:eastAsia="SimSun" w:hAnsi="Times New Roman" w:cs="Times New Roman"/>
      <w:bCs/>
      <w:iCs/>
      <w:caps/>
      <w:color w:val="auto"/>
      <w:sz w:val="24"/>
      <w:szCs w:val="28"/>
    </w:rPr>
  </w:style>
  <w:style w:type="character" w:customStyle="1" w:styleId="Annex2Char">
    <w:name w:val="Annex 2 Char"/>
    <w:basedOn w:val="DefaultParagraphFont"/>
    <w:link w:val="Annex2"/>
    <w:rsid w:val="009D1C08"/>
    <w:rPr>
      <w:rFonts w:ascii="Times New Roman" w:eastAsia="SimSun" w:hAnsi="Times New Roman" w:cs="Times New Roman"/>
      <w:bCs/>
      <w:iCs/>
      <w:caps/>
      <w:sz w:val="24"/>
      <w:szCs w:val="28"/>
      <w:lang w:val="en-US"/>
    </w:rPr>
  </w:style>
  <w:style w:type="paragraph" w:customStyle="1" w:styleId="TableParagraph">
    <w:name w:val="Table Paragraph"/>
    <w:basedOn w:val="Normal"/>
    <w:uiPriority w:val="1"/>
    <w:qFormat/>
    <w:rsid w:val="00320819"/>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556">
      <w:bodyDiv w:val="1"/>
      <w:marLeft w:val="0"/>
      <w:marRight w:val="0"/>
      <w:marTop w:val="0"/>
      <w:marBottom w:val="0"/>
      <w:divBdr>
        <w:top w:val="none" w:sz="0" w:space="0" w:color="auto"/>
        <w:left w:val="none" w:sz="0" w:space="0" w:color="auto"/>
        <w:bottom w:val="none" w:sz="0" w:space="0" w:color="auto"/>
        <w:right w:val="none" w:sz="0" w:space="0" w:color="auto"/>
      </w:divBdr>
    </w:div>
    <w:div w:id="63308284">
      <w:bodyDiv w:val="1"/>
      <w:marLeft w:val="0"/>
      <w:marRight w:val="0"/>
      <w:marTop w:val="0"/>
      <w:marBottom w:val="0"/>
      <w:divBdr>
        <w:top w:val="none" w:sz="0" w:space="0" w:color="auto"/>
        <w:left w:val="none" w:sz="0" w:space="0" w:color="auto"/>
        <w:bottom w:val="none" w:sz="0" w:space="0" w:color="auto"/>
        <w:right w:val="none" w:sz="0" w:space="0" w:color="auto"/>
      </w:divBdr>
    </w:div>
    <w:div w:id="213928419">
      <w:bodyDiv w:val="1"/>
      <w:marLeft w:val="0"/>
      <w:marRight w:val="0"/>
      <w:marTop w:val="0"/>
      <w:marBottom w:val="0"/>
      <w:divBdr>
        <w:top w:val="none" w:sz="0" w:space="0" w:color="auto"/>
        <w:left w:val="none" w:sz="0" w:space="0" w:color="auto"/>
        <w:bottom w:val="none" w:sz="0" w:space="0" w:color="auto"/>
        <w:right w:val="none" w:sz="0" w:space="0" w:color="auto"/>
      </w:divBdr>
    </w:div>
    <w:div w:id="344746116">
      <w:bodyDiv w:val="1"/>
      <w:marLeft w:val="0"/>
      <w:marRight w:val="0"/>
      <w:marTop w:val="0"/>
      <w:marBottom w:val="0"/>
      <w:divBdr>
        <w:top w:val="none" w:sz="0" w:space="0" w:color="auto"/>
        <w:left w:val="none" w:sz="0" w:space="0" w:color="auto"/>
        <w:bottom w:val="none" w:sz="0" w:space="0" w:color="auto"/>
        <w:right w:val="none" w:sz="0" w:space="0" w:color="auto"/>
      </w:divBdr>
    </w:div>
    <w:div w:id="348602207">
      <w:bodyDiv w:val="1"/>
      <w:marLeft w:val="0"/>
      <w:marRight w:val="0"/>
      <w:marTop w:val="0"/>
      <w:marBottom w:val="0"/>
      <w:divBdr>
        <w:top w:val="none" w:sz="0" w:space="0" w:color="auto"/>
        <w:left w:val="none" w:sz="0" w:space="0" w:color="auto"/>
        <w:bottom w:val="none" w:sz="0" w:space="0" w:color="auto"/>
        <w:right w:val="none" w:sz="0" w:space="0" w:color="auto"/>
      </w:divBdr>
    </w:div>
    <w:div w:id="383411727">
      <w:bodyDiv w:val="1"/>
      <w:marLeft w:val="0"/>
      <w:marRight w:val="0"/>
      <w:marTop w:val="0"/>
      <w:marBottom w:val="0"/>
      <w:divBdr>
        <w:top w:val="none" w:sz="0" w:space="0" w:color="auto"/>
        <w:left w:val="none" w:sz="0" w:space="0" w:color="auto"/>
        <w:bottom w:val="none" w:sz="0" w:space="0" w:color="auto"/>
        <w:right w:val="none" w:sz="0" w:space="0" w:color="auto"/>
      </w:divBdr>
    </w:div>
    <w:div w:id="418261361">
      <w:bodyDiv w:val="1"/>
      <w:marLeft w:val="0"/>
      <w:marRight w:val="0"/>
      <w:marTop w:val="0"/>
      <w:marBottom w:val="0"/>
      <w:divBdr>
        <w:top w:val="none" w:sz="0" w:space="0" w:color="auto"/>
        <w:left w:val="none" w:sz="0" w:space="0" w:color="auto"/>
        <w:bottom w:val="none" w:sz="0" w:space="0" w:color="auto"/>
        <w:right w:val="none" w:sz="0" w:space="0" w:color="auto"/>
      </w:divBdr>
    </w:div>
    <w:div w:id="633408201">
      <w:bodyDiv w:val="1"/>
      <w:marLeft w:val="0"/>
      <w:marRight w:val="0"/>
      <w:marTop w:val="0"/>
      <w:marBottom w:val="0"/>
      <w:divBdr>
        <w:top w:val="none" w:sz="0" w:space="0" w:color="auto"/>
        <w:left w:val="none" w:sz="0" w:space="0" w:color="auto"/>
        <w:bottom w:val="none" w:sz="0" w:space="0" w:color="auto"/>
        <w:right w:val="none" w:sz="0" w:space="0" w:color="auto"/>
      </w:divBdr>
    </w:div>
    <w:div w:id="702634865">
      <w:bodyDiv w:val="1"/>
      <w:marLeft w:val="0"/>
      <w:marRight w:val="0"/>
      <w:marTop w:val="0"/>
      <w:marBottom w:val="0"/>
      <w:divBdr>
        <w:top w:val="none" w:sz="0" w:space="0" w:color="auto"/>
        <w:left w:val="none" w:sz="0" w:space="0" w:color="auto"/>
        <w:bottom w:val="none" w:sz="0" w:space="0" w:color="auto"/>
        <w:right w:val="none" w:sz="0" w:space="0" w:color="auto"/>
      </w:divBdr>
    </w:div>
    <w:div w:id="703212901">
      <w:bodyDiv w:val="1"/>
      <w:marLeft w:val="0"/>
      <w:marRight w:val="0"/>
      <w:marTop w:val="0"/>
      <w:marBottom w:val="0"/>
      <w:divBdr>
        <w:top w:val="none" w:sz="0" w:space="0" w:color="auto"/>
        <w:left w:val="none" w:sz="0" w:space="0" w:color="auto"/>
        <w:bottom w:val="none" w:sz="0" w:space="0" w:color="auto"/>
        <w:right w:val="none" w:sz="0" w:space="0" w:color="auto"/>
      </w:divBdr>
    </w:div>
    <w:div w:id="742751492">
      <w:bodyDiv w:val="1"/>
      <w:marLeft w:val="0"/>
      <w:marRight w:val="0"/>
      <w:marTop w:val="0"/>
      <w:marBottom w:val="0"/>
      <w:divBdr>
        <w:top w:val="none" w:sz="0" w:space="0" w:color="auto"/>
        <w:left w:val="none" w:sz="0" w:space="0" w:color="auto"/>
        <w:bottom w:val="none" w:sz="0" w:space="0" w:color="auto"/>
        <w:right w:val="none" w:sz="0" w:space="0" w:color="auto"/>
      </w:divBdr>
    </w:div>
    <w:div w:id="746803693">
      <w:bodyDiv w:val="1"/>
      <w:marLeft w:val="0"/>
      <w:marRight w:val="0"/>
      <w:marTop w:val="0"/>
      <w:marBottom w:val="0"/>
      <w:divBdr>
        <w:top w:val="none" w:sz="0" w:space="0" w:color="auto"/>
        <w:left w:val="none" w:sz="0" w:space="0" w:color="auto"/>
        <w:bottom w:val="none" w:sz="0" w:space="0" w:color="auto"/>
        <w:right w:val="none" w:sz="0" w:space="0" w:color="auto"/>
      </w:divBdr>
    </w:div>
    <w:div w:id="749546480">
      <w:bodyDiv w:val="1"/>
      <w:marLeft w:val="0"/>
      <w:marRight w:val="0"/>
      <w:marTop w:val="0"/>
      <w:marBottom w:val="0"/>
      <w:divBdr>
        <w:top w:val="none" w:sz="0" w:space="0" w:color="auto"/>
        <w:left w:val="none" w:sz="0" w:space="0" w:color="auto"/>
        <w:bottom w:val="none" w:sz="0" w:space="0" w:color="auto"/>
        <w:right w:val="none" w:sz="0" w:space="0" w:color="auto"/>
      </w:divBdr>
    </w:div>
    <w:div w:id="928662573">
      <w:bodyDiv w:val="1"/>
      <w:marLeft w:val="0"/>
      <w:marRight w:val="0"/>
      <w:marTop w:val="0"/>
      <w:marBottom w:val="0"/>
      <w:divBdr>
        <w:top w:val="none" w:sz="0" w:space="0" w:color="auto"/>
        <w:left w:val="none" w:sz="0" w:space="0" w:color="auto"/>
        <w:bottom w:val="none" w:sz="0" w:space="0" w:color="auto"/>
        <w:right w:val="none" w:sz="0" w:space="0" w:color="auto"/>
      </w:divBdr>
    </w:div>
    <w:div w:id="1003971423">
      <w:bodyDiv w:val="1"/>
      <w:marLeft w:val="0"/>
      <w:marRight w:val="0"/>
      <w:marTop w:val="0"/>
      <w:marBottom w:val="0"/>
      <w:divBdr>
        <w:top w:val="none" w:sz="0" w:space="0" w:color="auto"/>
        <w:left w:val="none" w:sz="0" w:space="0" w:color="auto"/>
        <w:bottom w:val="none" w:sz="0" w:space="0" w:color="auto"/>
        <w:right w:val="none" w:sz="0" w:space="0" w:color="auto"/>
      </w:divBdr>
    </w:div>
    <w:div w:id="1013143051">
      <w:bodyDiv w:val="1"/>
      <w:marLeft w:val="0"/>
      <w:marRight w:val="0"/>
      <w:marTop w:val="0"/>
      <w:marBottom w:val="0"/>
      <w:divBdr>
        <w:top w:val="none" w:sz="0" w:space="0" w:color="auto"/>
        <w:left w:val="none" w:sz="0" w:space="0" w:color="auto"/>
        <w:bottom w:val="none" w:sz="0" w:space="0" w:color="auto"/>
        <w:right w:val="none" w:sz="0" w:space="0" w:color="auto"/>
      </w:divBdr>
    </w:div>
    <w:div w:id="1015427249">
      <w:bodyDiv w:val="1"/>
      <w:marLeft w:val="0"/>
      <w:marRight w:val="0"/>
      <w:marTop w:val="0"/>
      <w:marBottom w:val="0"/>
      <w:divBdr>
        <w:top w:val="none" w:sz="0" w:space="0" w:color="auto"/>
        <w:left w:val="none" w:sz="0" w:space="0" w:color="auto"/>
        <w:bottom w:val="none" w:sz="0" w:space="0" w:color="auto"/>
        <w:right w:val="none" w:sz="0" w:space="0" w:color="auto"/>
      </w:divBdr>
    </w:div>
    <w:div w:id="1040394455">
      <w:bodyDiv w:val="1"/>
      <w:marLeft w:val="0"/>
      <w:marRight w:val="0"/>
      <w:marTop w:val="0"/>
      <w:marBottom w:val="0"/>
      <w:divBdr>
        <w:top w:val="none" w:sz="0" w:space="0" w:color="auto"/>
        <w:left w:val="none" w:sz="0" w:space="0" w:color="auto"/>
        <w:bottom w:val="none" w:sz="0" w:space="0" w:color="auto"/>
        <w:right w:val="none" w:sz="0" w:space="0" w:color="auto"/>
      </w:divBdr>
    </w:div>
    <w:div w:id="1071580088">
      <w:bodyDiv w:val="1"/>
      <w:marLeft w:val="0"/>
      <w:marRight w:val="0"/>
      <w:marTop w:val="0"/>
      <w:marBottom w:val="0"/>
      <w:divBdr>
        <w:top w:val="none" w:sz="0" w:space="0" w:color="auto"/>
        <w:left w:val="none" w:sz="0" w:space="0" w:color="auto"/>
        <w:bottom w:val="none" w:sz="0" w:space="0" w:color="auto"/>
        <w:right w:val="none" w:sz="0" w:space="0" w:color="auto"/>
      </w:divBdr>
    </w:div>
    <w:div w:id="1080100647">
      <w:bodyDiv w:val="1"/>
      <w:marLeft w:val="0"/>
      <w:marRight w:val="0"/>
      <w:marTop w:val="0"/>
      <w:marBottom w:val="0"/>
      <w:divBdr>
        <w:top w:val="none" w:sz="0" w:space="0" w:color="auto"/>
        <w:left w:val="none" w:sz="0" w:space="0" w:color="auto"/>
        <w:bottom w:val="none" w:sz="0" w:space="0" w:color="auto"/>
        <w:right w:val="none" w:sz="0" w:space="0" w:color="auto"/>
      </w:divBdr>
    </w:div>
    <w:div w:id="1192107751">
      <w:bodyDiv w:val="1"/>
      <w:marLeft w:val="0"/>
      <w:marRight w:val="0"/>
      <w:marTop w:val="0"/>
      <w:marBottom w:val="0"/>
      <w:divBdr>
        <w:top w:val="none" w:sz="0" w:space="0" w:color="auto"/>
        <w:left w:val="none" w:sz="0" w:space="0" w:color="auto"/>
        <w:bottom w:val="none" w:sz="0" w:space="0" w:color="auto"/>
        <w:right w:val="none" w:sz="0" w:space="0" w:color="auto"/>
      </w:divBdr>
    </w:div>
    <w:div w:id="1246526301">
      <w:bodyDiv w:val="1"/>
      <w:marLeft w:val="0"/>
      <w:marRight w:val="0"/>
      <w:marTop w:val="0"/>
      <w:marBottom w:val="0"/>
      <w:divBdr>
        <w:top w:val="none" w:sz="0" w:space="0" w:color="auto"/>
        <w:left w:val="none" w:sz="0" w:space="0" w:color="auto"/>
        <w:bottom w:val="none" w:sz="0" w:space="0" w:color="auto"/>
        <w:right w:val="none" w:sz="0" w:space="0" w:color="auto"/>
      </w:divBdr>
    </w:div>
    <w:div w:id="1276323644">
      <w:bodyDiv w:val="1"/>
      <w:marLeft w:val="0"/>
      <w:marRight w:val="0"/>
      <w:marTop w:val="0"/>
      <w:marBottom w:val="0"/>
      <w:divBdr>
        <w:top w:val="none" w:sz="0" w:space="0" w:color="auto"/>
        <w:left w:val="none" w:sz="0" w:space="0" w:color="auto"/>
        <w:bottom w:val="none" w:sz="0" w:space="0" w:color="auto"/>
        <w:right w:val="none" w:sz="0" w:space="0" w:color="auto"/>
      </w:divBdr>
    </w:div>
    <w:div w:id="1285307376">
      <w:bodyDiv w:val="1"/>
      <w:marLeft w:val="0"/>
      <w:marRight w:val="0"/>
      <w:marTop w:val="0"/>
      <w:marBottom w:val="0"/>
      <w:divBdr>
        <w:top w:val="none" w:sz="0" w:space="0" w:color="auto"/>
        <w:left w:val="none" w:sz="0" w:space="0" w:color="auto"/>
        <w:bottom w:val="none" w:sz="0" w:space="0" w:color="auto"/>
        <w:right w:val="none" w:sz="0" w:space="0" w:color="auto"/>
      </w:divBdr>
    </w:div>
    <w:div w:id="1307472335">
      <w:bodyDiv w:val="1"/>
      <w:marLeft w:val="0"/>
      <w:marRight w:val="0"/>
      <w:marTop w:val="0"/>
      <w:marBottom w:val="0"/>
      <w:divBdr>
        <w:top w:val="none" w:sz="0" w:space="0" w:color="auto"/>
        <w:left w:val="none" w:sz="0" w:space="0" w:color="auto"/>
        <w:bottom w:val="none" w:sz="0" w:space="0" w:color="auto"/>
        <w:right w:val="none" w:sz="0" w:space="0" w:color="auto"/>
      </w:divBdr>
    </w:div>
    <w:div w:id="1399748562">
      <w:bodyDiv w:val="1"/>
      <w:marLeft w:val="0"/>
      <w:marRight w:val="0"/>
      <w:marTop w:val="0"/>
      <w:marBottom w:val="0"/>
      <w:divBdr>
        <w:top w:val="none" w:sz="0" w:space="0" w:color="auto"/>
        <w:left w:val="none" w:sz="0" w:space="0" w:color="auto"/>
        <w:bottom w:val="none" w:sz="0" w:space="0" w:color="auto"/>
        <w:right w:val="none" w:sz="0" w:space="0" w:color="auto"/>
      </w:divBdr>
    </w:div>
    <w:div w:id="1446001601">
      <w:bodyDiv w:val="1"/>
      <w:marLeft w:val="0"/>
      <w:marRight w:val="0"/>
      <w:marTop w:val="0"/>
      <w:marBottom w:val="0"/>
      <w:divBdr>
        <w:top w:val="none" w:sz="0" w:space="0" w:color="auto"/>
        <w:left w:val="none" w:sz="0" w:space="0" w:color="auto"/>
        <w:bottom w:val="none" w:sz="0" w:space="0" w:color="auto"/>
        <w:right w:val="none" w:sz="0" w:space="0" w:color="auto"/>
      </w:divBdr>
    </w:div>
    <w:div w:id="1466772788">
      <w:bodyDiv w:val="1"/>
      <w:marLeft w:val="0"/>
      <w:marRight w:val="0"/>
      <w:marTop w:val="0"/>
      <w:marBottom w:val="0"/>
      <w:divBdr>
        <w:top w:val="none" w:sz="0" w:space="0" w:color="auto"/>
        <w:left w:val="none" w:sz="0" w:space="0" w:color="auto"/>
        <w:bottom w:val="none" w:sz="0" w:space="0" w:color="auto"/>
        <w:right w:val="none" w:sz="0" w:space="0" w:color="auto"/>
      </w:divBdr>
    </w:div>
    <w:div w:id="1573656460">
      <w:bodyDiv w:val="1"/>
      <w:marLeft w:val="0"/>
      <w:marRight w:val="0"/>
      <w:marTop w:val="0"/>
      <w:marBottom w:val="0"/>
      <w:divBdr>
        <w:top w:val="none" w:sz="0" w:space="0" w:color="auto"/>
        <w:left w:val="none" w:sz="0" w:space="0" w:color="auto"/>
        <w:bottom w:val="none" w:sz="0" w:space="0" w:color="auto"/>
        <w:right w:val="none" w:sz="0" w:space="0" w:color="auto"/>
      </w:divBdr>
    </w:div>
    <w:div w:id="1617129107">
      <w:bodyDiv w:val="1"/>
      <w:marLeft w:val="0"/>
      <w:marRight w:val="0"/>
      <w:marTop w:val="0"/>
      <w:marBottom w:val="0"/>
      <w:divBdr>
        <w:top w:val="none" w:sz="0" w:space="0" w:color="auto"/>
        <w:left w:val="none" w:sz="0" w:space="0" w:color="auto"/>
        <w:bottom w:val="none" w:sz="0" w:space="0" w:color="auto"/>
        <w:right w:val="none" w:sz="0" w:space="0" w:color="auto"/>
      </w:divBdr>
    </w:div>
    <w:div w:id="1664746466">
      <w:bodyDiv w:val="1"/>
      <w:marLeft w:val="0"/>
      <w:marRight w:val="0"/>
      <w:marTop w:val="0"/>
      <w:marBottom w:val="0"/>
      <w:divBdr>
        <w:top w:val="none" w:sz="0" w:space="0" w:color="auto"/>
        <w:left w:val="none" w:sz="0" w:space="0" w:color="auto"/>
        <w:bottom w:val="none" w:sz="0" w:space="0" w:color="auto"/>
        <w:right w:val="none" w:sz="0" w:space="0" w:color="auto"/>
      </w:divBdr>
    </w:div>
    <w:div w:id="1716198865">
      <w:bodyDiv w:val="1"/>
      <w:marLeft w:val="0"/>
      <w:marRight w:val="0"/>
      <w:marTop w:val="0"/>
      <w:marBottom w:val="0"/>
      <w:divBdr>
        <w:top w:val="none" w:sz="0" w:space="0" w:color="auto"/>
        <w:left w:val="none" w:sz="0" w:space="0" w:color="auto"/>
        <w:bottom w:val="none" w:sz="0" w:space="0" w:color="auto"/>
        <w:right w:val="none" w:sz="0" w:space="0" w:color="auto"/>
      </w:divBdr>
    </w:div>
    <w:div w:id="1820610874">
      <w:bodyDiv w:val="1"/>
      <w:marLeft w:val="0"/>
      <w:marRight w:val="0"/>
      <w:marTop w:val="0"/>
      <w:marBottom w:val="0"/>
      <w:divBdr>
        <w:top w:val="none" w:sz="0" w:space="0" w:color="auto"/>
        <w:left w:val="none" w:sz="0" w:space="0" w:color="auto"/>
        <w:bottom w:val="none" w:sz="0" w:space="0" w:color="auto"/>
        <w:right w:val="none" w:sz="0" w:space="0" w:color="auto"/>
      </w:divBdr>
    </w:div>
    <w:div w:id="1861435535">
      <w:bodyDiv w:val="1"/>
      <w:marLeft w:val="0"/>
      <w:marRight w:val="0"/>
      <w:marTop w:val="0"/>
      <w:marBottom w:val="0"/>
      <w:divBdr>
        <w:top w:val="none" w:sz="0" w:space="0" w:color="auto"/>
        <w:left w:val="none" w:sz="0" w:space="0" w:color="auto"/>
        <w:bottom w:val="none" w:sz="0" w:space="0" w:color="auto"/>
        <w:right w:val="none" w:sz="0" w:space="0" w:color="auto"/>
      </w:divBdr>
    </w:div>
    <w:div w:id="2031951757">
      <w:bodyDiv w:val="1"/>
      <w:marLeft w:val="0"/>
      <w:marRight w:val="0"/>
      <w:marTop w:val="0"/>
      <w:marBottom w:val="0"/>
      <w:divBdr>
        <w:top w:val="none" w:sz="0" w:space="0" w:color="auto"/>
        <w:left w:val="none" w:sz="0" w:space="0" w:color="auto"/>
        <w:bottom w:val="none" w:sz="0" w:space="0" w:color="auto"/>
        <w:right w:val="none" w:sz="0" w:space="0" w:color="auto"/>
      </w:divBdr>
    </w:div>
    <w:div w:id="2072003374">
      <w:bodyDiv w:val="1"/>
      <w:marLeft w:val="0"/>
      <w:marRight w:val="0"/>
      <w:marTop w:val="0"/>
      <w:marBottom w:val="0"/>
      <w:divBdr>
        <w:top w:val="none" w:sz="0" w:space="0" w:color="auto"/>
        <w:left w:val="none" w:sz="0" w:space="0" w:color="auto"/>
        <w:bottom w:val="none" w:sz="0" w:space="0" w:color="auto"/>
        <w:right w:val="none" w:sz="0" w:space="0" w:color="auto"/>
      </w:divBdr>
    </w:div>
    <w:div w:id="2090275051">
      <w:bodyDiv w:val="1"/>
      <w:marLeft w:val="0"/>
      <w:marRight w:val="0"/>
      <w:marTop w:val="0"/>
      <w:marBottom w:val="0"/>
      <w:divBdr>
        <w:top w:val="none" w:sz="0" w:space="0" w:color="auto"/>
        <w:left w:val="none" w:sz="0" w:space="0" w:color="auto"/>
        <w:bottom w:val="none" w:sz="0" w:space="0" w:color="auto"/>
        <w:right w:val="none" w:sz="0" w:space="0" w:color="auto"/>
      </w:divBdr>
    </w:div>
    <w:div w:id="213097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Segnaposto1</b:Tag>
    <b:SourceType>Book</b:SourceType>
    <b:Guid>{14C8AD20-6297-4152-854E-BA7F9EF2C333}</b:Guid>
    <b:Author>
      <b:Author>
        <b:NameList>
          <b:Person>
            <b:Last>INL</b:Last>
          </b:Person>
        </b:NameList>
      </b:Author>
    </b:Author>
    <b:Title>The RELAP5-3D Code Development Team, RELAP5-3D Code Manual Volume I: Code Structure, System Models and Solution Methods, INL-MIS-15-36723, Revision 4.3</b:Title>
    <b:Year>2015</b:Year>
    <b:RefOrder>2</b:RefOrder>
  </b:Source>
  <b:Source>
    <b:Tag>Nar19</b:Tag>
    <b:SourceType>JournalArticle</b:SourceType>
    <b:Guid>{DE094A64-10F3-4F3C-8620-2D5F4AB19AFE}</b:Guid>
    <b:Title>System thermal-hydraulic modelling of the phénix dissymmetric test benchmark</b:Title>
    <b:Year>2019</b:Year>
    <b:Author>
      <b:Author>
        <b:NameList>
          <b:Person>
            <b:Last>Narcisi</b:Last>
            <b:First>V.</b:First>
          </b:Person>
          <b:Person>
            <b:Last>Giannetti</b:Last>
            <b:First>F.</b:First>
          </b:Person>
          <b:Person>
            <b:Last>Del Nevo</b:Last>
            <b:First>A.</b:First>
          </b:Person>
          <b:Person>
            <b:Last>Alcaro</b:Last>
            <b:First>F.</b:First>
          </b:Person>
          <b:Person>
            <b:Last>Wang</b:Last>
            <b:First>X.</b:First>
          </b:Person>
          <b:Person>
            <b:Last>Kraus</b:Last>
            <b:First>A.</b:First>
          </b:Person>
          <b:Person>
            <b:Last>Brunnett</b:Last>
            <b:First>A.</b:First>
          </b:Person>
          <b:Person>
            <b:Last>Thomas</b:Last>
            <b:First>J.</b:First>
          </b:Person>
          <b:Person>
            <b:Last>Girault</b:Last>
            <b:First>N.</b:First>
          </b:Person>
          <b:Person>
            <b:Last>Grosjean</b:Last>
            <b:First>B.</b:First>
          </b:Person>
          <b:Person>
            <b:Last>Caruso</b:Last>
            <b:First>G.</b:First>
          </b:Person>
          <b:Person>
            <b:Last>Gerschenfeld</b:Last>
            <b:First>A.</b:First>
          </b:Person>
        </b:NameList>
      </b:Author>
    </b:Author>
    <b:JournalName>Nuclear Engineering and Design</b:JournalName>
    <b:Volume>353</b:Volume>
    <b:Issue>110272</b:Issue>
    <b:RefOrder>3</b:RefOrder>
  </b:Source>
  <b:Source>
    <b:Tag>Nar20</b:Tag>
    <b:SourceType>JournalArticle</b:SourceType>
    <b:Guid>{123A269E-180D-40C9-8D67-10CC89DEDB06}</b:Guid>
    <b:Author>
      <b:Author>
        <b:NameList>
          <b:Person>
            <b:Last>Narcisi</b:Last>
            <b:First>V.</b:First>
          </b:Person>
          <b:Person>
            <b:Last>Giannetti</b:Last>
            <b:First>F.</b:First>
          </b:Person>
          <b:Person>
            <b:Last>Subioli</b:Last>
            <b:First>A.</b:First>
          </b:Person>
          <b:Person>
            <b:Last>Del Nevo</b:Last>
            <b:First>A.</b:First>
          </b:Person>
          <b:Person>
            <b:Last>Caruso</b:Last>
            <b:First>G.</b:First>
          </b:Person>
        </b:NameList>
      </b:Author>
    </b:Author>
    <b:Title>Assessment of a RELAP5-3D three-dimensional analysis based on PHÉNIX dissymmetric transient test</b:Title>
    <b:JournalName>Journal of Nuclear Engineering and Radiation Science</b:JournalName>
    <b:Year>2020</b:Year>
    <b:Volume>6</b:Volume>
    <b:Issue>011301</b:Issue>
    <b:RefOrder>4</b:RefOrder>
  </b:Source>
  <b:Source>
    <b:Tag>Nar192</b:Tag>
    <b:SourceType>JournalArticle</b:SourceType>
    <b:Guid>{14A67916-7625-4FA1-AB14-907713E2482E}</b:Guid>
    <b:Title>Investigation on RELAP5-3D© capability to predict thermal stratification in liquid metal pool-type system and comparison with experimental data</b:Title>
    <b:JournalName>Nuclear Engineering and Design</b:JournalName>
    <b:Year>2019</b:Year>
    <b:Volume>352</b:Volume>
    <b:Issue>110152</b:Issue>
    <b:Author>
      <b:Author>
        <b:NameList>
          <b:Person>
            <b:Last>Narcisi</b:Last>
            <b:First>V.</b:First>
          </b:Person>
          <b:Person>
            <b:Last>Giannetti</b:Last>
            <b:First>F.</b:First>
          </b:Person>
          <b:Person>
            <b:Last>Caruso</b:Last>
            <b:First>G.</b:First>
          </b:Person>
        </b:NameList>
      </b:Author>
    </b:Author>
    <b:RefOrder>5</b:RefOrder>
  </b:Source>
  <b:Source>
    <b:Tag>Nar193</b:Tag>
    <b:SourceType>JournalArticle</b:SourceType>
    <b:Guid>{5882A789-E994-4185-BEC5-9F565668DB0F}</b:Guid>
    <b:Title>Post-test simulation of a PLOFA transient test in the CIRCE-HERO facility</b:Title>
    <b:JournalName>Nuclear Engineering and Design</b:JournalName>
    <b:Year>2019</b:Year>
    <b:Volume>355</b:Volume>
    <b:Issue>110321</b:Issue>
    <b:Author>
      <b:Author>
        <b:NameList>
          <b:Person>
            <b:Last>Narcisi</b:Last>
            <b:First>V.</b:First>
          </b:Person>
          <b:Person>
            <b:Last>Giannetti</b:Last>
            <b:First>F.</b:First>
          </b:Person>
          <b:Person>
            <b:Last>Del Nevo</b:Last>
            <b:First>A.</b:First>
          </b:Person>
          <b:Person>
            <b:Last>Tarantino</b:Last>
            <b:First>M.</b:First>
          </b:Person>
          <b:Person>
            <b:Last>Caruso G.</b:Last>
          </b:Person>
        </b:NameList>
      </b:Author>
    </b:Author>
    <b:RefOrder>6</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B955E8-6CBC-451B-B952-ED5185BC0FCE}">
  <ds:schemaRefs>
    <ds:schemaRef ds:uri="http://schemas.openxmlformats.org/officeDocument/2006/bibliography"/>
  </ds:schemaRefs>
</ds:datastoreItem>
</file>

<file path=customXml/itemProps2.xml><?xml version="1.0" encoding="utf-8"?>
<ds:datastoreItem xmlns:ds="http://schemas.openxmlformats.org/officeDocument/2006/customXml" ds:itemID="{1C307CCE-D08A-4279-B9C5-7BB5C2CAC292}"/>
</file>

<file path=customXml/itemProps3.xml><?xml version="1.0" encoding="utf-8"?>
<ds:datastoreItem xmlns:ds="http://schemas.openxmlformats.org/officeDocument/2006/customXml" ds:itemID="{372D4B81-9DF5-4C71-8615-15FC540DFC25}"/>
</file>

<file path=customXml/itemProps4.xml><?xml version="1.0" encoding="utf-8"?>
<ds:datastoreItem xmlns:ds="http://schemas.openxmlformats.org/officeDocument/2006/customXml" ds:itemID="{046C529B-FD95-4E45-83DC-9892B85624B4}"/>
</file>

<file path=docProps/app.xml><?xml version="1.0" encoding="utf-8"?>
<Properties xmlns="http://schemas.openxmlformats.org/officeDocument/2006/extended-properties" xmlns:vt="http://schemas.openxmlformats.org/officeDocument/2006/docPropsVTypes">
  <Template>Normal.dotm</Template>
  <TotalTime>3889</TotalTime>
  <Pages>2</Pages>
  <Words>816</Words>
  <Characters>4654</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Ciurluini</dc:creator>
  <cp:keywords/>
  <dc:description/>
  <cp:lastModifiedBy>Cristiano Ciurluini</cp:lastModifiedBy>
  <cp:revision>339</cp:revision>
  <dcterms:created xsi:type="dcterms:W3CDTF">2023-01-25T09:06:00Z</dcterms:created>
  <dcterms:modified xsi:type="dcterms:W3CDTF">2026-01-09T08:57:00Z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