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1E81" w14:textId="7311B387" w:rsidR="00A731C1" w:rsidRDefault="00596742" w:rsidP="009C3E11">
      <w:pPr>
        <w:pStyle w:val="Heading1"/>
        <w:numPr>
          <w:ilvl w:val="0"/>
          <w:numId w:val="0"/>
        </w:numPr>
        <w:ind w:left="567" w:hanging="567"/>
        <w:rPr>
          <w:lang w:val="en-US"/>
        </w:rPr>
      </w:pPr>
      <w:r>
        <w:rPr>
          <w:lang w:val="en-US"/>
        </w:rPr>
        <w:t>Westinghouse Electric Company</w:t>
      </w:r>
      <w:r w:rsidR="009C3E11">
        <w:rPr>
          <w:lang w:val="en-US"/>
        </w:rPr>
        <w:t xml:space="preserve"> (</w:t>
      </w:r>
      <w:r>
        <w:rPr>
          <w:lang w:val="en-US"/>
        </w:rPr>
        <w:t>United States of America</w:t>
      </w:r>
      <w:r w:rsidR="009C3E11">
        <w:rPr>
          <w:lang w:val="en-US"/>
        </w:rPr>
        <w:t>)</w:t>
      </w:r>
    </w:p>
    <w:p w14:paraId="5BEE496E" w14:textId="5E1A9741" w:rsidR="00A30975" w:rsidRDefault="00A30975" w:rsidP="00A30975">
      <w:pPr>
        <w:rPr>
          <w:lang w:val="en-US"/>
        </w:rPr>
      </w:pPr>
      <w:r w:rsidRPr="00A30975">
        <w:rPr>
          <w:lang w:val="en-US"/>
        </w:rPr>
        <w:t xml:space="preserve">Westinghouse Electric Company LLC is a global leader in the nuclear power industry, headquartered in Cranberry Township, Pennsylvania, USA. </w:t>
      </w:r>
      <w:r>
        <w:rPr>
          <w:lang w:val="en-US"/>
        </w:rPr>
        <w:t>T</w:t>
      </w:r>
      <w:r w:rsidRPr="00A30975">
        <w:rPr>
          <w:lang w:val="en-US"/>
        </w:rPr>
        <w:t>he company provides nuclear products and services to utilities worldwid</w:t>
      </w:r>
      <w:r>
        <w:rPr>
          <w:lang w:val="en-US"/>
        </w:rPr>
        <w:t>e, including n</w:t>
      </w:r>
      <w:r w:rsidRPr="00A30975">
        <w:rPr>
          <w:lang w:val="en-US"/>
        </w:rPr>
        <w:t>uclear fuel and plant services</w:t>
      </w:r>
      <w:r>
        <w:rPr>
          <w:lang w:val="en-US"/>
        </w:rPr>
        <w:t>, i</w:t>
      </w:r>
      <w:r w:rsidRPr="00A30975">
        <w:rPr>
          <w:lang w:val="en-US"/>
        </w:rPr>
        <w:t>nstrumentation and control systems</w:t>
      </w:r>
      <w:r>
        <w:rPr>
          <w:lang w:val="en-US"/>
        </w:rPr>
        <w:t>, a</w:t>
      </w:r>
      <w:r w:rsidRPr="00A30975">
        <w:rPr>
          <w:lang w:val="en-US"/>
        </w:rPr>
        <w:t>dvanced reactors, such as the AP1000 pressurized water reactor</w:t>
      </w:r>
      <w:r>
        <w:rPr>
          <w:lang w:val="en-US"/>
        </w:rPr>
        <w:t>, AP300 SMR, Lead Cooled Fast Reactor</w:t>
      </w:r>
      <w:r w:rsidRPr="00A30975">
        <w:rPr>
          <w:lang w:val="en-US"/>
        </w:rPr>
        <w:t xml:space="preserve"> and eVinci microreactor</w:t>
      </w:r>
      <w:r>
        <w:rPr>
          <w:lang w:val="en-US"/>
        </w:rPr>
        <w:t xml:space="preserve">. </w:t>
      </w:r>
      <w:r w:rsidRPr="00A30975">
        <w:rPr>
          <w:lang w:val="en-US"/>
        </w:rPr>
        <w:t>Westinghouse technology powers about 50% of the world’s nuclear reactors, and the company operates in over 20 countries with more than 11,000 employees. Westinghouse emphasizes innovation, safety, and sustainability, positioning itself as a key player in the transition to carbon-free energy.</w:t>
      </w:r>
    </w:p>
    <w:p w14:paraId="1055FA2B" w14:textId="25DABB03" w:rsidR="00265186" w:rsidRDefault="00265186" w:rsidP="00A30975">
      <w:pPr>
        <w:rPr>
          <w:lang w:val="en-US"/>
        </w:rPr>
      </w:pPr>
      <w:r w:rsidRPr="00265186">
        <w:rPr>
          <w:lang w:val="en-US"/>
        </w:rPr>
        <w:t xml:space="preserve">Westinghouse has been advancing Generation IV Lead-cooled Fast Reactor (LFR) technology for more than a decade. The conceptual </w:t>
      </w:r>
      <w:r w:rsidR="00812AD5">
        <w:rPr>
          <w:lang w:val="en-US"/>
        </w:rPr>
        <w:t xml:space="preserve">LFR </w:t>
      </w:r>
      <w:r w:rsidRPr="00265186">
        <w:rPr>
          <w:lang w:val="en-US"/>
        </w:rPr>
        <w:t>design was completed in 2023 and features a pool-type, liquid lead-cooled fast reactor with an electrical output of about 450 MWe net. The primary coolant is liquid lead, while the secondary coolant is supercritical water or CO₂. The reactor uses oxide fuel and supports an extended fuel cycle of 8–15 years, operating at atmospheric pressure. Safety is enhanced through a Passive Heat Removal System, classified as IAEA Passive Category B, which provides reliable decay heat removal capability during accident conditions.</w:t>
      </w:r>
      <w:r>
        <w:rPr>
          <w:lang w:val="en-US"/>
        </w:rPr>
        <w:t xml:space="preserve"> A large experimental program </w:t>
      </w:r>
      <w:r w:rsidR="00342F82">
        <w:rPr>
          <w:lang w:val="en-US"/>
        </w:rPr>
        <w:t xml:space="preserve">consisting </w:t>
      </w:r>
      <w:r w:rsidR="001B3B55">
        <w:rPr>
          <w:lang w:val="en-US"/>
        </w:rPr>
        <w:t>of</w:t>
      </w:r>
      <w:r w:rsidR="00342F82">
        <w:rPr>
          <w:lang w:val="en-US"/>
        </w:rPr>
        <w:t xml:space="preserve"> seven large scale thermal hydraulic facilities and material test facilities</w:t>
      </w:r>
      <w:r w:rsidR="00342F82">
        <w:rPr>
          <w:lang w:val="en-US"/>
        </w:rPr>
        <w:t xml:space="preserve"> </w:t>
      </w:r>
      <w:r>
        <w:rPr>
          <w:lang w:val="en-US"/>
        </w:rPr>
        <w:t xml:space="preserve">was developed </w:t>
      </w:r>
      <w:r w:rsidR="00342F82">
        <w:rPr>
          <w:lang w:val="en-US"/>
        </w:rPr>
        <w:t xml:space="preserve">for the LFR and </w:t>
      </w:r>
      <w:r w:rsidR="001B3B55">
        <w:rPr>
          <w:lang w:val="en-US"/>
        </w:rPr>
        <w:t xml:space="preserve">will </w:t>
      </w:r>
      <w:r w:rsidR="00342F82">
        <w:rPr>
          <w:lang w:val="en-US"/>
        </w:rPr>
        <w:t xml:space="preserve">contentiously support LFR </w:t>
      </w:r>
      <w:r w:rsidR="003772BD">
        <w:rPr>
          <w:lang w:val="en-US"/>
        </w:rPr>
        <w:t xml:space="preserve">technology </w:t>
      </w:r>
      <w:r w:rsidR="001B3B55">
        <w:rPr>
          <w:lang w:val="en-US"/>
        </w:rPr>
        <w:t>development</w:t>
      </w:r>
      <w:r>
        <w:rPr>
          <w:lang w:val="en-US"/>
        </w:rPr>
        <w:t xml:space="preserve">. </w:t>
      </w:r>
    </w:p>
    <w:p w14:paraId="5E863892" w14:textId="77777777" w:rsidR="009C3E11" w:rsidRPr="001B3B55" w:rsidRDefault="009C3E11" w:rsidP="009C3E11">
      <w:pPr>
        <w:rPr>
          <w:lang w:val="en-US"/>
        </w:rPr>
      </w:pPr>
    </w:p>
    <w:sectPr w:rsidR="009C3E11" w:rsidRPr="001B3B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1C05F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A45372C"/>
    <w:multiLevelType w:val="hybridMultilevel"/>
    <w:tmpl w:val="A2840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F435B4"/>
    <w:multiLevelType w:val="hybridMultilevel"/>
    <w:tmpl w:val="13CE4CCE"/>
    <w:lvl w:ilvl="0" w:tplc="0409000F">
      <w:start w:val="1"/>
      <w:numFmt w:val="decimal"/>
      <w:lvlText w:val="%1."/>
      <w:lvlJc w:val="left"/>
      <w:pPr>
        <w:ind w:left="7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3" w15:restartNumberingAfterBreak="0">
    <w:nsid w:val="26B94A83"/>
    <w:multiLevelType w:val="multilevel"/>
    <w:tmpl w:val="BE4840B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1E4108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EF4CC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514CEE"/>
    <w:multiLevelType w:val="multilevel"/>
    <w:tmpl w:val="F9E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24A29"/>
    <w:multiLevelType w:val="hybridMultilevel"/>
    <w:tmpl w:val="743C8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63AD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765019">
    <w:abstractNumId w:val="7"/>
  </w:num>
  <w:num w:numId="2" w16cid:durableId="55595250">
    <w:abstractNumId w:val="1"/>
  </w:num>
  <w:num w:numId="3" w16cid:durableId="1023703238">
    <w:abstractNumId w:val="3"/>
  </w:num>
  <w:num w:numId="4" w16cid:durableId="1342664215">
    <w:abstractNumId w:val="4"/>
  </w:num>
  <w:num w:numId="5" w16cid:durableId="599606718">
    <w:abstractNumId w:val="5"/>
  </w:num>
  <w:num w:numId="6" w16cid:durableId="476528473">
    <w:abstractNumId w:val="8"/>
  </w:num>
  <w:num w:numId="7" w16cid:durableId="895166359">
    <w:abstractNumId w:val="0"/>
  </w:num>
  <w:num w:numId="8" w16cid:durableId="2021354430">
    <w:abstractNumId w:val="2"/>
  </w:num>
  <w:num w:numId="9" w16cid:durableId="16700574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C1"/>
    <w:rsid w:val="00030FB2"/>
    <w:rsid w:val="00065840"/>
    <w:rsid w:val="000919CB"/>
    <w:rsid w:val="000E64EC"/>
    <w:rsid w:val="00114353"/>
    <w:rsid w:val="00187DE6"/>
    <w:rsid w:val="001A70E0"/>
    <w:rsid w:val="001B3B55"/>
    <w:rsid w:val="001D17E7"/>
    <w:rsid w:val="0026304B"/>
    <w:rsid w:val="00265186"/>
    <w:rsid w:val="00273A56"/>
    <w:rsid w:val="00283CC7"/>
    <w:rsid w:val="002C2651"/>
    <w:rsid w:val="00316628"/>
    <w:rsid w:val="00342F82"/>
    <w:rsid w:val="003772BD"/>
    <w:rsid w:val="004377F1"/>
    <w:rsid w:val="004419B9"/>
    <w:rsid w:val="004625F7"/>
    <w:rsid w:val="005061FA"/>
    <w:rsid w:val="00510863"/>
    <w:rsid w:val="00596742"/>
    <w:rsid w:val="00634599"/>
    <w:rsid w:val="006552AD"/>
    <w:rsid w:val="00682494"/>
    <w:rsid w:val="006D4D02"/>
    <w:rsid w:val="008047EC"/>
    <w:rsid w:val="00812AD5"/>
    <w:rsid w:val="008532BB"/>
    <w:rsid w:val="00871B5C"/>
    <w:rsid w:val="00874A69"/>
    <w:rsid w:val="009378EF"/>
    <w:rsid w:val="009A0DBA"/>
    <w:rsid w:val="009A1564"/>
    <w:rsid w:val="009C3E11"/>
    <w:rsid w:val="00A30975"/>
    <w:rsid w:val="00A731C1"/>
    <w:rsid w:val="00AA6E84"/>
    <w:rsid w:val="00AD371F"/>
    <w:rsid w:val="00AF0660"/>
    <w:rsid w:val="00B3113B"/>
    <w:rsid w:val="00B67A35"/>
    <w:rsid w:val="00B93D9F"/>
    <w:rsid w:val="00BB703C"/>
    <w:rsid w:val="00BE26DC"/>
    <w:rsid w:val="00C16458"/>
    <w:rsid w:val="00C53772"/>
    <w:rsid w:val="00D534D3"/>
    <w:rsid w:val="00DB4890"/>
    <w:rsid w:val="00DC695A"/>
    <w:rsid w:val="00E076C5"/>
    <w:rsid w:val="00E92D9B"/>
    <w:rsid w:val="00EC3F0A"/>
    <w:rsid w:val="00EF0836"/>
    <w:rsid w:val="00EF1575"/>
    <w:rsid w:val="00F32208"/>
    <w:rsid w:val="00F3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25C3"/>
  <w15:chartTrackingRefBased/>
  <w15:docId w15:val="{35A5B877-9D57-496E-9966-E82FF9BF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DE6"/>
    <w:pPr>
      <w:spacing w:after="120" w:line="276" w:lineRule="auto"/>
      <w:jc w:val="both"/>
    </w:pPr>
    <w:rPr>
      <w:rFonts w:eastAsiaTheme="minorEastAsia"/>
      <w:kern w:val="0"/>
      <w:lang w:eastAsia="nl-NL"/>
      <w14:ligatures w14:val="none"/>
    </w:rPr>
  </w:style>
  <w:style w:type="paragraph" w:styleId="Heading1">
    <w:name w:val="heading 1"/>
    <w:aliases w:val="Hoofdstuk"/>
    <w:basedOn w:val="Normal"/>
    <w:next w:val="Normal"/>
    <w:link w:val="Heading1Char"/>
    <w:uiPriority w:val="9"/>
    <w:qFormat/>
    <w:rsid w:val="004377F1"/>
    <w:pPr>
      <w:keepNext/>
      <w:keepLines/>
      <w:numPr>
        <w:numId w:val="3"/>
      </w:numPr>
      <w:spacing w:before="120"/>
      <w:ind w:left="567" w:hanging="567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aliases w:val="Paragraaf"/>
    <w:basedOn w:val="Heading1"/>
    <w:next w:val="Normal"/>
    <w:link w:val="Heading2Char"/>
    <w:uiPriority w:val="9"/>
    <w:unhideWhenUsed/>
    <w:qFormat/>
    <w:rsid w:val="004377F1"/>
    <w:pPr>
      <w:numPr>
        <w:ilvl w:val="1"/>
      </w:numPr>
      <w:spacing w:before="240"/>
      <w:ind w:left="567" w:hanging="567"/>
      <w:outlineLvl w:val="1"/>
    </w:pPr>
    <w:rPr>
      <w:sz w:val="28"/>
      <w:szCs w:val="28"/>
    </w:rPr>
  </w:style>
  <w:style w:type="paragraph" w:styleId="Heading3">
    <w:name w:val="heading 3"/>
    <w:aliases w:val="Subparagraaf"/>
    <w:basedOn w:val="Normal"/>
    <w:next w:val="Normal"/>
    <w:link w:val="Heading3Char"/>
    <w:uiPriority w:val="9"/>
    <w:unhideWhenUsed/>
    <w:qFormat/>
    <w:rsid w:val="00A73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oofdstuk Char"/>
    <w:basedOn w:val="DefaultParagraphFont"/>
    <w:link w:val="Heading1"/>
    <w:uiPriority w:val="9"/>
    <w:rsid w:val="004377F1"/>
    <w:rPr>
      <w:rFonts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aliases w:val="Paragraaf Char"/>
    <w:basedOn w:val="DefaultParagraphFont"/>
    <w:link w:val="Heading2"/>
    <w:uiPriority w:val="9"/>
    <w:rsid w:val="004377F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3Char">
    <w:name w:val="Heading 3 Char"/>
    <w:aliases w:val="Subparagraaf Char"/>
    <w:basedOn w:val="DefaultParagraphFont"/>
    <w:link w:val="Heading3"/>
    <w:uiPriority w:val="9"/>
    <w:rsid w:val="00A73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C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30FB2"/>
    <w:pPr>
      <w:spacing w:after="0" w:line="240" w:lineRule="auto"/>
      <w:jc w:val="center"/>
    </w:pPr>
    <w:rPr>
      <w:bCs/>
      <w:i/>
      <w:color w:val="0C419A"/>
      <w:sz w:val="20"/>
      <w:szCs w:val="20"/>
    </w:rPr>
  </w:style>
  <w:style w:type="table" w:styleId="TableGrid">
    <w:name w:val="Table Grid"/>
    <w:basedOn w:val="TableNormal"/>
    <w:rsid w:val="00A731C1"/>
    <w:pPr>
      <w:spacing w:after="0" w:line="240" w:lineRule="auto"/>
    </w:pPr>
    <w:rPr>
      <w:sz w:val="20"/>
      <w:szCs w:val="20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A731C1"/>
  </w:style>
  <w:style w:type="paragraph" w:styleId="ListNumber">
    <w:name w:val="List Number"/>
    <w:basedOn w:val="Normal"/>
    <w:rsid w:val="00030FB2"/>
    <w:pPr>
      <w:widowControl w:val="0"/>
      <w:numPr>
        <w:numId w:val="7"/>
      </w:numPr>
      <w:overflowPunct w:val="0"/>
      <w:autoSpaceDE w:val="0"/>
      <w:autoSpaceDN w:val="0"/>
      <w:adjustRightInd w:val="0"/>
      <w:spacing w:after="0" w:line="240" w:lineRule="auto"/>
      <w:jc w:val="left"/>
      <w:textAlignment w:val="baseline"/>
    </w:pPr>
    <w:rPr>
      <w:rFonts w:ascii="Times New Roman" w:eastAsia="Times New Roman" w:hAnsi="Times New Roman" w:cs="Times New Roman"/>
      <w:snapToGrid w:val="0"/>
      <w:sz w:val="24"/>
      <w:szCs w:val="20"/>
      <w:lang w:eastAsia="en-US"/>
    </w:rPr>
  </w:style>
  <w:style w:type="paragraph" w:customStyle="1" w:styleId="Default">
    <w:name w:val="Default"/>
    <w:rsid w:val="00030FB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419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9B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919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D4514B-9069-4321-B059-3F55D82F47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053E38-722E-4DF8-80E5-0222F127A2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e151c-dac5-445b-bf96-82805ce2a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1EAB99-DC87-44EF-BED5-AF563D4C5E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D5C629-57C0-4F00-86E9-FD4079E75C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234</Words>
  <Characters>1397</Characters>
  <Application>Microsoft Office Word</Application>
  <DocSecurity>0</DocSecurity>
  <Lines>29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NRG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Mathur, A. (Akshat)</dc:creator>
  <cp:keywords/>
  <dc:description/>
  <cp:lastModifiedBy>Liao, Jun</cp:lastModifiedBy>
  <cp:revision>23</cp:revision>
  <dcterms:created xsi:type="dcterms:W3CDTF">2025-10-09T17:12:00Z</dcterms:created>
  <dcterms:modified xsi:type="dcterms:W3CDTF">2025-12-22T20:48:00Z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  <property fmtid="{D5CDD505-2E9C-101B-9397-08002B2CF9AE}" pid="3" name="MSIP_Label_1d7a6dd0-c16e-4aa6-8f26-3b824bf76858_Enabled">
    <vt:lpwstr>true</vt:lpwstr>
  </property>
  <property fmtid="{D5CDD505-2E9C-101B-9397-08002B2CF9AE}" pid="4" name="MSIP_Label_1d7a6dd0-c16e-4aa6-8f26-3b824bf76858_SetDate">
    <vt:lpwstr>2025-12-22T19:24:28Z</vt:lpwstr>
  </property>
  <property fmtid="{D5CDD505-2E9C-101B-9397-08002B2CF9AE}" pid="5" name="MSIP_Label_1d7a6dd0-c16e-4aa6-8f26-3b824bf76858_Method">
    <vt:lpwstr>Privileged</vt:lpwstr>
  </property>
  <property fmtid="{D5CDD505-2E9C-101B-9397-08002B2CF9AE}" pid="6" name="MSIP_Label_1d7a6dd0-c16e-4aa6-8f26-3b824bf76858_Name">
    <vt:lpwstr>Non-Proprietary Class 3</vt:lpwstr>
  </property>
  <property fmtid="{D5CDD505-2E9C-101B-9397-08002B2CF9AE}" pid="7" name="MSIP_Label_1d7a6dd0-c16e-4aa6-8f26-3b824bf76858_SiteId">
    <vt:lpwstr>516ec17a-b92f-438b-8594-e11b6f6bec79</vt:lpwstr>
  </property>
  <property fmtid="{D5CDD505-2E9C-101B-9397-08002B2CF9AE}" pid="8" name="MSIP_Label_1d7a6dd0-c16e-4aa6-8f26-3b824bf76858_ActionId">
    <vt:lpwstr>360657ed-7053-4767-9208-0845a4b62948</vt:lpwstr>
  </property>
  <property fmtid="{D5CDD505-2E9C-101B-9397-08002B2CF9AE}" pid="9" name="MSIP_Label_1d7a6dd0-c16e-4aa6-8f26-3b824bf76858_ContentBits">
    <vt:lpwstr>0</vt:lpwstr>
  </property>
  <property fmtid="{D5CDD505-2E9C-101B-9397-08002B2CF9AE}" pid="10" name="MSIP_Label_1d7a6dd0-c16e-4aa6-8f26-3b824bf76858_Tag">
    <vt:lpwstr>10, 0, 1, 1</vt:lpwstr>
  </property>
</Properties>
</file>