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5FC4" w14:textId="77777777" w:rsidR="00F5326F" w:rsidRDefault="00F5326F">
      <w:pPr>
        <w:spacing w:after="156"/>
      </w:pPr>
    </w:p>
    <w:p w14:paraId="7A108206" w14:textId="16239DB6" w:rsidR="00577809" w:rsidRDefault="00577809">
      <w:pPr>
        <w:spacing w:after="156"/>
      </w:pPr>
      <w:r w:rsidRPr="00577809">
        <w:t>ANSYS CFX is a commercial Computational Fluid Dynamics (CFD) software developed by Ansys Inc. (USA). It is extensively utilized in nuclear engineering, power generation, and particularly in turbomachinery applications to simulate complex fluid dynamics and thermal-hydraulic phenomena.</w:t>
      </w:r>
      <w:r>
        <w:t xml:space="preserve"> </w:t>
      </w:r>
      <w:r w:rsidRPr="00577809">
        <w:t xml:space="preserve">ANSYS CFX </w:t>
      </w:r>
      <w:r w:rsidRPr="00F5326F">
        <w:t>[</w:t>
      </w:r>
      <w:r>
        <w:t xml:space="preserve">1] </w:t>
      </w:r>
      <w:r w:rsidRPr="00577809">
        <w:t>is based on an element-based finite volume method (FVM) to discretize and solve the governing equations of fluid flow, ensuring strict conservation of mass, momentum, and energy. A distinguishing feature of CFX is its vertex-centered, fully coupled solver technology. Unlike segregated solvers that iterate through equations sequentially, the CFX coupled solver solves the pressure and momentum equations simultaneously as a single system. This approach provides superior numerical stability and significantly faster convergence for a wide range of flow regimes, particularly in rotating machinery and complex industrial systems. The software supports both steady-state and transient analyses, utilizing robust implicit time integration schemes.</w:t>
      </w:r>
      <w:r>
        <w:t xml:space="preserve"> </w:t>
      </w:r>
      <w:proofErr w:type="gramStart"/>
      <w:r w:rsidRPr="00577809">
        <w:t>The</w:t>
      </w:r>
      <w:proofErr w:type="gramEnd"/>
      <w:r w:rsidRPr="00577809">
        <w:t xml:space="preserve"> software employs an unstructured mesh formulation, supporting a variety of cell types such as hexahedral, tetrahedral, and prism elements. It integrates seamlessly with specialized meshing tools like Ansys </w:t>
      </w:r>
      <w:r>
        <w:t>Meshing</w:t>
      </w:r>
      <w:r w:rsidRPr="00577809">
        <w:t xml:space="preserve"> and supports mesh deformation and remeshing for moving boundary problems.</w:t>
      </w:r>
      <w:r>
        <w:t xml:space="preserve"> </w:t>
      </w:r>
      <w:r w:rsidRPr="00577809">
        <w:t xml:space="preserve">Regarding turbulence, CFX offers a comprehensive suite of modeling approaches tailored for industrial accuracy. It features standard Reynolds-Averaged Navier–Stokes (RANS) models, including the industry-standard </w:t>
      </w:r>
      <m:oMath>
        <m:r>
          <w:rPr>
            <w:rFonts w:ascii="Cambria Math" w:hAnsi="Cambria Math"/>
          </w:rPr>
          <m:t>k-ω,</m:t>
        </m:r>
      </m:oMath>
      <w:r w:rsidRPr="00577809">
        <w:t xml:space="preserve">Shear Stress Transport (SST) model and the </w:t>
      </w:r>
      <m:oMath>
        <m:r>
          <w:rPr>
            <w:rFonts w:ascii="Cambria Math" w:hAnsi="Cambria Math"/>
          </w:rPr>
          <m:t>k-</m:t>
        </m:r>
        <m:r>
          <w:rPr>
            <w:rFonts w:ascii="Cambria Math" w:hAnsi="Cambria Math"/>
          </w:rPr>
          <m:t>ε</m:t>
        </m:r>
      </m:oMath>
      <w:r w:rsidRPr="00577809">
        <w:t xml:space="preserve"> model, as well as Reynolds Stress Models (RSM). For high-fidelity research and complex transient flows, it supports Scale-Adaptive Simulation (SAS), Detached Eddy Simulation (DES), and Large Eddy Simulation (LES). Its advanced wall treatment options, such as automatic near-wall scaling, provide high accuracy in boundary layer resolution across varying mesh densities.</w:t>
      </w:r>
    </w:p>
    <w:p w14:paraId="7E8776E1" w14:textId="4F3DEA7A" w:rsidR="00577809" w:rsidRDefault="00577809" w:rsidP="00577809">
      <w:pPr>
        <w:spacing w:after="156"/>
      </w:pPr>
      <w:r w:rsidRPr="00F5326F">
        <w:t>[</w:t>
      </w:r>
      <w:r>
        <w:t>1]</w:t>
      </w:r>
      <w:r>
        <w:t xml:space="preserve"> </w:t>
      </w:r>
      <w:r w:rsidRPr="00F5326F">
        <w:t xml:space="preserve">ANSYS Inc., “Ansys CFX-Solver Theory Guide.” [Online]. Available: </w:t>
      </w:r>
      <w:hyperlink r:id="rId11" w:history="1">
        <w:r w:rsidRPr="00174A94">
          <w:rPr>
            <w:rStyle w:val="Hyperlink"/>
          </w:rPr>
          <w:t>https://ansyshelp.ansys.com/public/account/secured?returnurl=/Views/Secured/corp/v251/en/cfx_thry/cfx_thry.html</w:t>
        </w:r>
      </w:hyperlink>
    </w:p>
    <w:p w14:paraId="666652E8" w14:textId="77777777" w:rsidR="00577809" w:rsidRPr="00F5326F" w:rsidRDefault="00577809">
      <w:pPr>
        <w:spacing w:after="156"/>
      </w:pPr>
    </w:p>
    <w:sectPr w:rsidR="00577809" w:rsidRPr="00F5326F">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22F76" w14:textId="77777777" w:rsidR="00510710" w:rsidRDefault="00510710">
      <w:pPr>
        <w:spacing w:after="120" w:line="240" w:lineRule="auto"/>
      </w:pPr>
      <w:r>
        <w:separator/>
      </w:r>
    </w:p>
  </w:endnote>
  <w:endnote w:type="continuationSeparator" w:id="0">
    <w:p w14:paraId="5DAB2163" w14:textId="77777777" w:rsidR="00510710" w:rsidRDefault="00510710">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仿宋_GB2312">
    <w:altName w:val="FangSong"/>
    <w:charset w:val="86"/>
    <w:family w:val="auto"/>
    <w:pitch w:val="default"/>
    <w:sig w:usb0="00000000" w:usb1="00000000" w:usb2="00000012"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3BC1" w14:textId="77777777" w:rsidR="00510710" w:rsidRDefault="00510710">
      <w:pPr>
        <w:spacing w:after="120"/>
      </w:pPr>
      <w:r>
        <w:separator/>
      </w:r>
    </w:p>
  </w:footnote>
  <w:footnote w:type="continuationSeparator" w:id="0">
    <w:p w14:paraId="78DDE7EF" w14:textId="77777777" w:rsidR="00510710" w:rsidRDefault="00510710">
      <w:pPr>
        <w:spacing w:after="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FCC"/>
    <w:multiLevelType w:val="multilevel"/>
    <w:tmpl w:val="0E366FCC"/>
    <w:lvl w:ilvl="0">
      <w:start w:val="1"/>
      <w:numFmt w:val="decimal"/>
      <w:lvlText w:val="[%1]"/>
      <w:lvlJc w:val="left"/>
      <w:pPr>
        <w:ind w:left="52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0791F38"/>
    <w:multiLevelType w:val="multilevel"/>
    <w:tmpl w:val="70791F38"/>
    <w:lvl w:ilvl="0">
      <w:start w:val="1"/>
      <w:numFmt w:val="decimal"/>
      <w:lvlText w:val="%1"/>
      <w:lvlJc w:val="left"/>
      <w:pPr>
        <w:ind w:left="432" w:hanging="432"/>
      </w:pPr>
      <w:rPr>
        <w:b/>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7AF6A9D4"/>
    <w:multiLevelType w:val="singleLevel"/>
    <w:tmpl w:val="7AF6A9D4"/>
    <w:lvl w:ilvl="0">
      <w:start w:val="1"/>
      <w:numFmt w:val="decimal"/>
      <w:suff w:val="space"/>
      <w:lvlText w:val="%1."/>
      <w:lvlJc w:val="left"/>
    </w:lvl>
  </w:abstractNum>
  <w:num w:numId="1" w16cid:durableId="1444642522">
    <w:abstractNumId w:val="1"/>
  </w:num>
  <w:num w:numId="2" w16cid:durableId="119496516">
    <w:abstractNumId w:val="2"/>
  </w:num>
  <w:num w:numId="3" w16cid:durableId="169392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4B3966"/>
    <w:rsid w:val="00510710"/>
    <w:rsid w:val="00577809"/>
    <w:rsid w:val="00641322"/>
    <w:rsid w:val="00CF573B"/>
    <w:rsid w:val="00E87C0A"/>
    <w:rsid w:val="00F37B90"/>
    <w:rsid w:val="00F5326F"/>
    <w:rsid w:val="021C4491"/>
    <w:rsid w:val="024B11B3"/>
    <w:rsid w:val="02EA0864"/>
    <w:rsid w:val="04994006"/>
    <w:rsid w:val="0DD028B8"/>
    <w:rsid w:val="0E334B92"/>
    <w:rsid w:val="0F20786F"/>
    <w:rsid w:val="118616F9"/>
    <w:rsid w:val="11904838"/>
    <w:rsid w:val="13BA7E2B"/>
    <w:rsid w:val="17547C85"/>
    <w:rsid w:val="17C957B1"/>
    <w:rsid w:val="17D226D6"/>
    <w:rsid w:val="18185587"/>
    <w:rsid w:val="1828135D"/>
    <w:rsid w:val="19461C80"/>
    <w:rsid w:val="196B16E7"/>
    <w:rsid w:val="1B18764C"/>
    <w:rsid w:val="1D8E1E10"/>
    <w:rsid w:val="1F29007A"/>
    <w:rsid w:val="20976AB4"/>
    <w:rsid w:val="224A458F"/>
    <w:rsid w:val="265500D6"/>
    <w:rsid w:val="27A72484"/>
    <w:rsid w:val="2D2500D2"/>
    <w:rsid w:val="2E3938FB"/>
    <w:rsid w:val="31A17923"/>
    <w:rsid w:val="32C65EB4"/>
    <w:rsid w:val="339E5D33"/>
    <w:rsid w:val="36A55DE0"/>
    <w:rsid w:val="37A8794D"/>
    <w:rsid w:val="393F49A1"/>
    <w:rsid w:val="3BA945C4"/>
    <w:rsid w:val="3BB33BFE"/>
    <w:rsid w:val="3C0812EB"/>
    <w:rsid w:val="3E4E4FAF"/>
    <w:rsid w:val="3EA77349"/>
    <w:rsid w:val="3EC91F92"/>
    <w:rsid w:val="404A59B8"/>
    <w:rsid w:val="41FC66FE"/>
    <w:rsid w:val="420757C4"/>
    <w:rsid w:val="42213975"/>
    <w:rsid w:val="4707159E"/>
    <w:rsid w:val="47C22A8D"/>
    <w:rsid w:val="48020765"/>
    <w:rsid w:val="4E4D2773"/>
    <w:rsid w:val="4EF61477"/>
    <w:rsid w:val="4F8A6388"/>
    <w:rsid w:val="50BC3FFA"/>
    <w:rsid w:val="524A5ABA"/>
    <w:rsid w:val="530103EA"/>
    <w:rsid w:val="530A729F"/>
    <w:rsid w:val="544B5DC1"/>
    <w:rsid w:val="547B4F2E"/>
    <w:rsid w:val="567B3920"/>
    <w:rsid w:val="59A26483"/>
    <w:rsid w:val="5DF03535"/>
    <w:rsid w:val="5EDF7832"/>
    <w:rsid w:val="62461CCA"/>
    <w:rsid w:val="64925997"/>
    <w:rsid w:val="65A803CB"/>
    <w:rsid w:val="68344483"/>
    <w:rsid w:val="68DB5F16"/>
    <w:rsid w:val="6B531799"/>
    <w:rsid w:val="6C076004"/>
    <w:rsid w:val="6C9D43C3"/>
    <w:rsid w:val="6CB542C8"/>
    <w:rsid w:val="6CE150BD"/>
    <w:rsid w:val="6D3A315F"/>
    <w:rsid w:val="6FC32969"/>
    <w:rsid w:val="6FD35065"/>
    <w:rsid w:val="735C0395"/>
    <w:rsid w:val="79D95BF8"/>
    <w:rsid w:val="7B62386D"/>
    <w:rsid w:val="7C0767D1"/>
    <w:rsid w:val="7C7C095E"/>
    <w:rsid w:val="7DC35BB2"/>
    <w:rsid w:val="7EF233B7"/>
    <w:rsid w:val="7F5B485B"/>
    <w:rsid w:val="7F881FE0"/>
    <w:rsid w:val="7FAE0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D3BDD"/>
  <w15:docId w15:val="{485AC729-7C93-4E1D-9ACC-2C7AC6734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napToGrid w:val="0"/>
      <w:spacing w:afterLines="50" w:after="50" w:line="312" w:lineRule="auto"/>
      <w:jc w:val="both"/>
    </w:pPr>
    <w:rPr>
      <w:rFonts w:eastAsia="方正仿宋_GB2312" w:cstheme="minorBidi"/>
      <w:kern w:val="2"/>
      <w:sz w:val="24"/>
      <w:szCs w:val="24"/>
      <w:lang w:val="en-US" w:eastAsia="zh-CN"/>
    </w:rPr>
  </w:style>
  <w:style w:type="paragraph" w:styleId="Heading1">
    <w:name w:val="heading 1"/>
    <w:basedOn w:val="Normal"/>
    <w:next w:val="Normal"/>
    <w:qFormat/>
    <w:pPr>
      <w:keepNext/>
      <w:keepLines/>
      <w:spacing w:before="340" w:afterLines="0" w:after="330" w:line="576" w:lineRule="auto"/>
      <w:outlineLvl w:val="0"/>
    </w:pPr>
    <w:rPr>
      <w:b/>
      <w:kern w:val="44"/>
      <w:sz w:val="44"/>
    </w:rPr>
  </w:style>
  <w:style w:type="paragraph" w:styleId="Heading2">
    <w:name w:val="heading 2"/>
    <w:basedOn w:val="Normal"/>
    <w:next w:val="Normal"/>
    <w:unhideWhenUsed/>
    <w:qFormat/>
    <w:pPr>
      <w:keepNext/>
      <w:keepLines/>
      <w:spacing w:before="260" w:afterLines="0" w:after="260" w:line="413" w:lineRule="auto"/>
      <w:outlineLvl w:val="1"/>
    </w:pPr>
    <w:rPr>
      <w:rFonts w:ascii="Arial" w:eastAsia="SimHei" w:hAnsi="Arial"/>
      <w:b/>
      <w:sz w:val="32"/>
    </w:rPr>
  </w:style>
  <w:style w:type="paragraph" w:styleId="Heading3">
    <w:name w:val="heading 3"/>
    <w:basedOn w:val="Normal"/>
    <w:next w:val="Normal"/>
    <w:unhideWhenUsed/>
    <w:qFormat/>
    <w:pPr>
      <w:keepNext/>
      <w:keepLines/>
      <w:spacing w:before="260" w:afterLines="0" w:after="260" w:line="413"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nhideWhenUsed/>
    <w:qFormat/>
    <w:pPr>
      <w:jc w:val="center"/>
    </w:pPr>
    <w:rPr>
      <w:rFonts w:eastAsia="SimHei"/>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NormalWeb">
    <w:name w:val="Normal (Web)"/>
    <w:basedOn w:val="Normal"/>
    <w:qFormat/>
    <w:pPr>
      <w:spacing w:beforeAutospacing="1" w:after="0" w:afterAutospacing="1"/>
      <w:jc w:val="left"/>
    </w:pPr>
    <w:rPr>
      <w:rFonts w:cs="Times New Roman"/>
      <w:kern w:val="0"/>
    </w:rPr>
  </w:style>
  <w:style w:type="table" w:styleId="TableGrid">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Strong">
    <w:name w:val="Strong"/>
    <w:basedOn w:val="DefaultParagraphFont"/>
    <w:qFormat/>
    <w:rPr>
      <w:b/>
    </w:rPr>
  </w:style>
  <w:style w:type="character" w:styleId="Emphasis">
    <w:name w:val="Emphasis"/>
    <w:basedOn w:val="DefaultParagraphFont"/>
    <w:qFormat/>
    <w:rPr>
      <w:i/>
    </w:rPr>
  </w:style>
  <w:style w:type="character" w:customStyle="1" w:styleId="CaptionChar">
    <w:name w:val="Caption Char"/>
    <w:link w:val="Caption"/>
    <w:rPr>
      <w:rFonts w:eastAsia="SimHei"/>
      <w:sz w:val="24"/>
    </w:rPr>
  </w:style>
  <w:style w:type="character" w:styleId="Hyperlink">
    <w:name w:val="Hyperlink"/>
    <w:basedOn w:val="DefaultParagraphFont"/>
    <w:rsid w:val="00577809"/>
    <w:rPr>
      <w:color w:val="0026E5" w:themeColor="hyperlink"/>
      <w:u w:val="single"/>
    </w:rPr>
  </w:style>
  <w:style w:type="character" w:styleId="UnresolvedMention">
    <w:name w:val="Unresolved Mention"/>
    <w:basedOn w:val="DefaultParagraphFont"/>
    <w:uiPriority w:val="99"/>
    <w:semiHidden/>
    <w:unhideWhenUsed/>
    <w:rsid w:val="00577809"/>
    <w:rPr>
      <w:color w:val="605E5C"/>
      <w:shd w:val="clear" w:color="auto" w:fill="E1DFDD"/>
    </w:rPr>
  </w:style>
  <w:style w:type="character" w:styleId="PlaceholderText">
    <w:name w:val="Placeholder Text"/>
    <w:basedOn w:val="DefaultParagraphFont"/>
    <w:uiPriority w:val="99"/>
    <w:unhideWhenUsed/>
    <w:rsid w:val="005778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s://ansyshelp.ansys.com/public/account/secured?returnurl=/Views/Secured/corp/v251/en/cfx_thry/cfx_thry.htm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9C5A13-4916-4124-AFD6-7B5C34552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5EB035-7A31-46DA-A159-AA7F1B70371F}">
  <ds:schemaRefs>
    <ds:schemaRef ds:uri="http://schemas.microsoft.com/sharepoint/v3/contenttype/forms"/>
  </ds:schemaRefs>
</ds:datastoreItem>
</file>

<file path=customXml/itemProps3.xml><?xml version="1.0" encoding="utf-8"?>
<ds:datastoreItem xmlns:ds="http://schemas.openxmlformats.org/officeDocument/2006/customXml" ds:itemID="{A78714B4-6AE9-4B57-B947-61E05AF9A5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Paul Scherrer Institut</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28464</dc:creator>
  <cp:lastModifiedBy>Pietro Cioli Puviani</cp:lastModifiedBy>
  <cp:revision>3</cp:revision>
  <dcterms:created xsi:type="dcterms:W3CDTF">2024-12-23T03:47:00Z</dcterms:created>
  <dcterms:modified xsi:type="dcterms:W3CDTF">2026-03-19T10:45:00Z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764AB689937C46AFA6765AAC1352099A_12</vt:lpwstr>
  </property>
  <property fmtid="{D5CDD505-2E9C-101B-9397-08002B2CF9AE}" pid="4" name="KSOTemplateDocerSaveRecord">
    <vt:lpwstr>eyJoZGlkIjoiYThhZjNjNzFhOWMxNDYxMWE1MjE1MDJiYmI4YmUyMTIiLCJ1c2VySWQiOiIxOTQ0Nzk1In0=</vt:lpwstr>
  </property>
  <property fmtid="{D5CDD505-2E9C-101B-9397-08002B2CF9AE}" pid="5" name="ContentTypeId">
    <vt:lpwstr>0x010100C38D9328E238A74E9F29FD7E721AEDAB</vt:lpwstr>
  </property>
</Properties>
</file>