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F666" w14:textId="19B0388B" w:rsidR="00124943" w:rsidRDefault="5B1BA290" w:rsidP="5B1BA290">
      <w:pPr>
        <w:pStyle w:val="ListParagraph"/>
        <w:numPr>
          <w:ilvl w:val="0"/>
          <w:numId w:val="4"/>
        </w:numPr>
        <w:jc w:val="both"/>
      </w:pPr>
      <w:r w:rsidRPr="5B1BA290">
        <w:t xml:space="preserve">BARAM CFD with </w:t>
      </w:r>
      <w:proofErr w:type="spellStart"/>
      <w:r w:rsidRPr="5B1BA290">
        <w:t>OpenFoam</w:t>
      </w:r>
      <w:proofErr w:type="spellEnd"/>
    </w:p>
    <w:p w14:paraId="43D851A2" w14:textId="1145AE43" w:rsidR="00124943" w:rsidRDefault="5B1BA290" w:rsidP="00124943">
      <w:pPr>
        <w:jc w:val="both"/>
      </w:pPr>
      <w:proofErr w:type="spellStart"/>
      <w:r>
        <w:t>OpenFoam</w:t>
      </w:r>
      <w:proofErr w:type="spellEnd"/>
      <w:r>
        <w:t xml:space="preserve"> (Open Field Operation and Manipulation) ([1]) is a free, open-source computational fluid dynamics (CFD) software package written in C++ and licensed under GNU General Public License. It is a C++ toolbox designed for developing customized numerical solvers and pre-/post—processing utilities for solving continuum mechanics problems, particularly in fluid dynamics, heat transfer, thermodynamics, and related phenomena such as chemical reactions, turbulence and fluid-structure interactions. </w:t>
      </w:r>
      <w:proofErr w:type="spellStart"/>
      <w:r>
        <w:t>OpenFoam</w:t>
      </w:r>
      <w:proofErr w:type="spellEnd"/>
      <w:r>
        <w:t xml:space="preserve"> provides a vast library of pre-built solvers and utilities, enabling users to model complex physical systems through a flexible, customizable framework. </w:t>
      </w:r>
      <w:proofErr w:type="spellStart"/>
      <w:r>
        <w:t>chtMultiRegionFoam</w:t>
      </w:r>
      <w:proofErr w:type="spellEnd"/>
      <w:r>
        <w:t xml:space="preserve"> solver is a steady-state or transient pressure-based CFD solver designed for simulating conjugate heat transfer (CHT) between multiple fluid and solid regions, including buoyant, turbulent flow and solid heat conduction. It </w:t>
      </w:r>
      <w:proofErr w:type="gramStart"/>
      <w:r>
        <w:t>is capable of handling</w:t>
      </w:r>
      <w:proofErr w:type="gramEnd"/>
      <w:r>
        <w:t xml:space="preserve"> arbitrary fluid and solid regions, supports compressible flow, and incorporates </w:t>
      </w:r>
      <w:proofErr w:type="gramStart"/>
      <w:r>
        <w:t>model</w:t>
      </w:r>
      <w:proofErr w:type="gramEnd"/>
      <w:r>
        <w:t xml:space="preserve"> for turbulence (RAS, LES, DES), radiation and heat </w:t>
      </w:r>
      <w:proofErr w:type="spellStart"/>
      <w:r>
        <w:t>souces</w:t>
      </w:r>
      <w:proofErr w:type="spellEnd"/>
      <w:r>
        <w:t xml:space="preserve">. It employs a segregated solution strategy, where fluid and solid equations are solved sequentially, with coupling achieved iteratively using temperature </w:t>
      </w:r>
      <w:proofErr w:type="gramStart"/>
      <w:r>
        <w:t>from  the</w:t>
      </w:r>
      <w:proofErr w:type="gramEnd"/>
      <w:r>
        <w:t xml:space="preserve"> previous iteration to define boundary conditions at the interfaces until convergence is reached.</w:t>
      </w:r>
    </w:p>
    <w:p w14:paraId="509ECBD3" w14:textId="04B50E6B" w:rsidR="00124943" w:rsidRDefault="5B1BA290" w:rsidP="00124943">
      <w:pPr>
        <w:spacing w:after="0"/>
        <w:jc w:val="both"/>
      </w:pPr>
      <w:r>
        <w:t>BARAM CFD ([2]), currently v</w:t>
      </w:r>
      <w:proofErr w:type="gramStart"/>
      <w:r>
        <w:t>25,  is</w:t>
      </w:r>
      <w:proofErr w:type="gramEnd"/>
      <w:r>
        <w:t xml:space="preserve"> a free, open-source CFD software package designed to make CFD analysis more accessible by providing an intuitive GUI over the </w:t>
      </w:r>
      <w:proofErr w:type="spellStart"/>
      <w:r>
        <w:t>OpenFoam</w:t>
      </w:r>
      <w:proofErr w:type="spellEnd"/>
      <w:r>
        <w:t xml:space="preserve"> engine. Developed by </w:t>
      </w:r>
      <w:proofErr w:type="spellStart"/>
      <w:r>
        <w:t>NEXTfoam</w:t>
      </w:r>
      <w:proofErr w:type="spellEnd"/>
      <w:r>
        <w:t xml:space="preserve"> Inc., BARAM aims to reduce the steep learning curve typically associated with text-based CFD solvers, enabling users to focus on engineering problems rather than complex command-line setups. It supports both Linux and </w:t>
      </w:r>
      <w:proofErr w:type="gramStart"/>
      <w:r>
        <w:t>Windows ,</w:t>
      </w:r>
      <w:proofErr w:type="gramEnd"/>
      <w:r>
        <w:t xml:space="preserve"> the setup providing on chosen operating system the </w:t>
      </w:r>
      <w:proofErr w:type="spellStart"/>
      <w:r>
        <w:t>OpenFoam</w:t>
      </w:r>
      <w:proofErr w:type="spellEnd"/>
      <w:r>
        <w:t xml:space="preserve"> engine, so being a fully cross-platform GUI-based </w:t>
      </w:r>
      <w:proofErr w:type="spellStart"/>
      <w:r>
        <w:t>OpenFoam</w:t>
      </w:r>
      <w:proofErr w:type="spellEnd"/>
      <w:r>
        <w:t xml:space="preserve"> distribution. There are two separate graphical interfaces:</w:t>
      </w:r>
    </w:p>
    <w:p w14:paraId="76FE31A5" w14:textId="77777777" w:rsidR="00124943" w:rsidRDefault="5B1BA290" w:rsidP="00124943">
      <w:pPr>
        <w:spacing w:after="0"/>
        <w:jc w:val="both"/>
      </w:pPr>
      <w:r>
        <w:t xml:space="preserve">- BARAM Mesh, the mesh generation module of BARAM, which utilizes </w:t>
      </w:r>
      <w:proofErr w:type="spellStart"/>
      <w:r>
        <w:t>OpenFoam</w:t>
      </w:r>
      <w:proofErr w:type="spellEnd"/>
      <w:r>
        <w:t xml:space="preserve"> utilities, </w:t>
      </w:r>
      <w:proofErr w:type="spellStart"/>
      <w:r>
        <w:t>blockMesh</w:t>
      </w:r>
      <w:proofErr w:type="spellEnd"/>
      <w:r>
        <w:t xml:space="preserve"> and </w:t>
      </w:r>
      <w:proofErr w:type="spellStart"/>
      <w:r>
        <w:t>snappyHexMessh</w:t>
      </w:r>
      <w:proofErr w:type="spellEnd"/>
      <w:r>
        <w:t xml:space="preserve">, to generate computational meshes for CFD simulations. The module allows users to import geometry from STL files or create simple primitive geometries such as hexahedrons, spheres and cylinders. It can generate 3D </w:t>
      </w:r>
      <w:proofErr w:type="spellStart"/>
      <w:r>
        <w:t>multiregion</w:t>
      </w:r>
      <w:proofErr w:type="spellEnd"/>
      <w:r>
        <w:t xml:space="preserve"> meshes including boundary layers, supporting the creation of regions, cell zones, interfaces and baffles.  </w:t>
      </w:r>
    </w:p>
    <w:p w14:paraId="10C37889" w14:textId="5A666B78" w:rsidR="00124943" w:rsidRDefault="5B1BA290" w:rsidP="00124943">
      <w:pPr>
        <w:jc w:val="both"/>
      </w:pPr>
      <w:r>
        <w:t xml:space="preserve">- BARAM Flow, the simulation module within BARAM software, designed for analyzing incompressible and compressible flows, heat transfer, multiphase flow and chemical species mixing. It organizes projects into folders along with key files such as logs and </w:t>
      </w:r>
      <w:proofErr w:type="spellStart"/>
      <w:proofErr w:type="gramStart"/>
      <w:r>
        <w:t>baram.foam</w:t>
      </w:r>
      <w:proofErr w:type="spellEnd"/>
      <w:proofErr w:type="gramEnd"/>
      <w:r>
        <w:t xml:space="preserve">, the </w:t>
      </w:r>
      <w:proofErr w:type="spellStart"/>
      <w:proofErr w:type="gramStart"/>
      <w:r>
        <w:t>later</w:t>
      </w:r>
      <w:proofErr w:type="spellEnd"/>
      <w:proofErr w:type="gramEnd"/>
      <w:r>
        <w:t xml:space="preserve"> being specifically used for post-processing in </w:t>
      </w:r>
      <w:proofErr w:type="spellStart"/>
      <w:r>
        <w:t>ParaView</w:t>
      </w:r>
      <w:proofErr w:type="spellEnd"/>
      <w:r>
        <w:t xml:space="preserve"> ([3]), an open-source visualization tool.</w:t>
      </w:r>
    </w:p>
    <w:p w14:paraId="259A0B3F" w14:textId="2BC035C2" w:rsidR="00124943" w:rsidRDefault="5B1BA290" w:rsidP="00124943">
      <w:pPr>
        <w:jc w:val="both"/>
      </w:pPr>
      <w:r>
        <w:t>References:</w:t>
      </w:r>
    </w:p>
    <w:p w14:paraId="7CABA203" w14:textId="7B98AA91" w:rsidR="00E34F06" w:rsidRDefault="5B1BA290" w:rsidP="00D03718">
      <w:pPr>
        <w:spacing w:after="0"/>
        <w:jc w:val="both"/>
      </w:pPr>
      <w:r>
        <w:t xml:space="preserve">[1] </w:t>
      </w:r>
      <w:hyperlink r:id="rId8">
        <w:r w:rsidRPr="5B1BA290">
          <w:rPr>
            <w:rStyle w:val="Hyperlink"/>
          </w:rPr>
          <w:t>https://www.openfoam.com/news/main-news/openfoam-v2412</w:t>
        </w:r>
      </w:hyperlink>
    </w:p>
    <w:p w14:paraId="71637C85" w14:textId="4F53899F" w:rsidR="00D03718" w:rsidRDefault="5B1BA290" w:rsidP="00D03718">
      <w:pPr>
        <w:spacing w:after="0"/>
        <w:jc w:val="both"/>
      </w:pPr>
      <w:r>
        <w:t>[2] https://baramcfd.org/</w:t>
      </w:r>
    </w:p>
    <w:p w14:paraId="7B028BF5" w14:textId="77BB192C" w:rsidR="00E34F06" w:rsidRDefault="5B1BA290" w:rsidP="00D03718">
      <w:pPr>
        <w:spacing w:after="0"/>
        <w:jc w:val="both"/>
      </w:pPr>
      <w:r>
        <w:t>[3] https://www.paraview.org/</w:t>
      </w:r>
    </w:p>
    <w:p w14:paraId="151704EB" w14:textId="49D2937D" w:rsidR="5B1BA290" w:rsidRDefault="5B1BA290" w:rsidP="5B1BA290">
      <w:pPr>
        <w:jc w:val="both"/>
      </w:pPr>
    </w:p>
    <w:sectPr w:rsidR="5B1BA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61D"/>
    <w:multiLevelType w:val="hybridMultilevel"/>
    <w:tmpl w:val="5B2613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10558"/>
    <w:multiLevelType w:val="hybridMultilevel"/>
    <w:tmpl w:val="583EAD0E"/>
    <w:lvl w:ilvl="0" w:tplc="7556E4F6">
      <w:start w:val="1"/>
      <w:numFmt w:val="decimal"/>
      <w:lvlText w:val="%1."/>
      <w:lvlJc w:val="left"/>
      <w:pPr>
        <w:ind w:left="720" w:hanging="360"/>
      </w:pPr>
    </w:lvl>
    <w:lvl w:ilvl="1" w:tplc="62A25900">
      <w:start w:val="1"/>
      <w:numFmt w:val="lowerLetter"/>
      <w:lvlText w:val="%2."/>
      <w:lvlJc w:val="left"/>
      <w:pPr>
        <w:ind w:left="1440" w:hanging="360"/>
      </w:pPr>
    </w:lvl>
    <w:lvl w:ilvl="2" w:tplc="AC966998">
      <w:start w:val="1"/>
      <w:numFmt w:val="lowerRoman"/>
      <w:lvlText w:val="%3."/>
      <w:lvlJc w:val="right"/>
      <w:pPr>
        <w:ind w:left="2160" w:hanging="180"/>
      </w:pPr>
    </w:lvl>
    <w:lvl w:ilvl="3" w:tplc="5BD456A8">
      <w:start w:val="1"/>
      <w:numFmt w:val="decimal"/>
      <w:lvlText w:val="%4."/>
      <w:lvlJc w:val="left"/>
      <w:pPr>
        <w:ind w:left="2880" w:hanging="360"/>
      </w:pPr>
    </w:lvl>
    <w:lvl w:ilvl="4" w:tplc="D7F0D2AA">
      <w:start w:val="1"/>
      <w:numFmt w:val="lowerLetter"/>
      <w:lvlText w:val="%5."/>
      <w:lvlJc w:val="left"/>
      <w:pPr>
        <w:ind w:left="3600" w:hanging="360"/>
      </w:pPr>
    </w:lvl>
    <w:lvl w:ilvl="5" w:tplc="5B1E2B46">
      <w:start w:val="1"/>
      <w:numFmt w:val="lowerRoman"/>
      <w:lvlText w:val="%6."/>
      <w:lvlJc w:val="right"/>
      <w:pPr>
        <w:ind w:left="4320" w:hanging="180"/>
      </w:pPr>
    </w:lvl>
    <w:lvl w:ilvl="6" w:tplc="8264DDE4">
      <w:start w:val="1"/>
      <w:numFmt w:val="decimal"/>
      <w:lvlText w:val="%7."/>
      <w:lvlJc w:val="left"/>
      <w:pPr>
        <w:ind w:left="5040" w:hanging="360"/>
      </w:pPr>
    </w:lvl>
    <w:lvl w:ilvl="7" w:tplc="25AEF986">
      <w:start w:val="1"/>
      <w:numFmt w:val="lowerLetter"/>
      <w:lvlText w:val="%8."/>
      <w:lvlJc w:val="left"/>
      <w:pPr>
        <w:ind w:left="5760" w:hanging="360"/>
      </w:pPr>
    </w:lvl>
    <w:lvl w:ilvl="8" w:tplc="19F2CCE0">
      <w:start w:val="1"/>
      <w:numFmt w:val="lowerRoman"/>
      <w:lvlText w:val="%9."/>
      <w:lvlJc w:val="right"/>
      <w:pPr>
        <w:ind w:left="6480" w:hanging="180"/>
      </w:pPr>
    </w:lvl>
  </w:abstractNum>
  <w:abstractNum w:abstractNumId="2" w15:restartNumberingAfterBreak="0">
    <w:nsid w:val="498829C4"/>
    <w:multiLevelType w:val="hybridMultilevel"/>
    <w:tmpl w:val="E7F2CF42"/>
    <w:lvl w:ilvl="0" w:tplc="B9E8974E">
      <w:start w:val="1"/>
      <w:numFmt w:val="decimal"/>
      <w:lvlText w:val="%1."/>
      <w:lvlJc w:val="left"/>
      <w:pPr>
        <w:ind w:left="720" w:hanging="360"/>
      </w:pPr>
    </w:lvl>
    <w:lvl w:ilvl="1" w:tplc="F416922A">
      <w:start w:val="1"/>
      <w:numFmt w:val="lowerLetter"/>
      <w:lvlText w:val="%2."/>
      <w:lvlJc w:val="left"/>
      <w:pPr>
        <w:ind w:left="1440" w:hanging="360"/>
      </w:pPr>
    </w:lvl>
    <w:lvl w:ilvl="2" w:tplc="C90A26AE">
      <w:start w:val="1"/>
      <w:numFmt w:val="lowerRoman"/>
      <w:lvlText w:val="%3."/>
      <w:lvlJc w:val="right"/>
      <w:pPr>
        <w:ind w:left="2160" w:hanging="180"/>
      </w:pPr>
    </w:lvl>
    <w:lvl w:ilvl="3" w:tplc="39F498FE">
      <w:start w:val="1"/>
      <w:numFmt w:val="decimal"/>
      <w:lvlText w:val="%4."/>
      <w:lvlJc w:val="left"/>
      <w:pPr>
        <w:ind w:left="2880" w:hanging="360"/>
      </w:pPr>
    </w:lvl>
    <w:lvl w:ilvl="4" w:tplc="AF98CA2C">
      <w:start w:val="1"/>
      <w:numFmt w:val="lowerLetter"/>
      <w:lvlText w:val="%5."/>
      <w:lvlJc w:val="left"/>
      <w:pPr>
        <w:ind w:left="3600" w:hanging="360"/>
      </w:pPr>
    </w:lvl>
    <w:lvl w:ilvl="5" w:tplc="7FF098E0">
      <w:start w:val="1"/>
      <w:numFmt w:val="lowerRoman"/>
      <w:lvlText w:val="%6."/>
      <w:lvlJc w:val="right"/>
      <w:pPr>
        <w:ind w:left="4320" w:hanging="180"/>
      </w:pPr>
    </w:lvl>
    <w:lvl w:ilvl="6" w:tplc="3F4A6FA4">
      <w:start w:val="1"/>
      <w:numFmt w:val="decimal"/>
      <w:lvlText w:val="%7."/>
      <w:lvlJc w:val="left"/>
      <w:pPr>
        <w:ind w:left="5040" w:hanging="360"/>
      </w:pPr>
    </w:lvl>
    <w:lvl w:ilvl="7" w:tplc="7CA8A272">
      <w:start w:val="1"/>
      <w:numFmt w:val="lowerLetter"/>
      <w:lvlText w:val="%8."/>
      <w:lvlJc w:val="left"/>
      <w:pPr>
        <w:ind w:left="5760" w:hanging="360"/>
      </w:pPr>
    </w:lvl>
    <w:lvl w:ilvl="8" w:tplc="8D8A81C4">
      <w:start w:val="1"/>
      <w:numFmt w:val="lowerRoman"/>
      <w:lvlText w:val="%9."/>
      <w:lvlJc w:val="right"/>
      <w:pPr>
        <w:ind w:left="6480" w:hanging="180"/>
      </w:pPr>
    </w:lvl>
  </w:abstractNum>
  <w:abstractNum w:abstractNumId="3" w15:restartNumberingAfterBreak="0">
    <w:nsid w:val="669A7541"/>
    <w:multiLevelType w:val="hybridMultilevel"/>
    <w:tmpl w:val="08D40BC6"/>
    <w:lvl w:ilvl="0" w:tplc="ECFADD18">
      <w:start w:val="1"/>
      <w:numFmt w:val="decimal"/>
      <w:lvlText w:val="%1."/>
      <w:lvlJc w:val="left"/>
      <w:pPr>
        <w:ind w:left="720" w:hanging="360"/>
      </w:pPr>
    </w:lvl>
    <w:lvl w:ilvl="1" w:tplc="A406F5FE">
      <w:start w:val="1"/>
      <w:numFmt w:val="lowerLetter"/>
      <w:lvlText w:val="%2."/>
      <w:lvlJc w:val="left"/>
      <w:pPr>
        <w:ind w:left="1440" w:hanging="360"/>
      </w:pPr>
    </w:lvl>
    <w:lvl w:ilvl="2" w:tplc="D3FC0B8E">
      <w:start w:val="1"/>
      <w:numFmt w:val="lowerRoman"/>
      <w:lvlText w:val="%3."/>
      <w:lvlJc w:val="right"/>
      <w:pPr>
        <w:ind w:left="2160" w:hanging="180"/>
      </w:pPr>
    </w:lvl>
    <w:lvl w:ilvl="3" w:tplc="990E2D6E">
      <w:start w:val="1"/>
      <w:numFmt w:val="decimal"/>
      <w:lvlText w:val="%4."/>
      <w:lvlJc w:val="left"/>
      <w:pPr>
        <w:ind w:left="2880" w:hanging="360"/>
      </w:pPr>
    </w:lvl>
    <w:lvl w:ilvl="4" w:tplc="57DE5D04">
      <w:start w:val="1"/>
      <w:numFmt w:val="lowerLetter"/>
      <w:lvlText w:val="%5."/>
      <w:lvlJc w:val="left"/>
      <w:pPr>
        <w:ind w:left="3600" w:hanging="360"/>
      </w:pPr>
    </w:lvl>
    <w:lvl w:ilvl="5" w:tplc="C87A738E">
      <w:start w:val="1"/>
      <w:numFmt w:val="lowerRoman"/>
      <w:lvlText w:val="%6."/>
      <w:lvlJc w:val="right"/>
      <w:pPr>
        <w:ind w:left="4320" w:hanging="180"/>
      </w:pPr>
    </w:lvl>
    <w:lvl w:ilvl="6" w:tplc="A4609CDC">
      <w:start w:val="1"/>
      <w:numFmt w:val="decimal"/>
      <w:lvlText w:val="%7."/>
      <w:lvlJc w:val="left"/>
      <w:pPr>
        <w:ind w:left="5040" w:hanging="360"/>
      </w:pPr>
    </w:lvl>
    <w:lvl w:ilvl="7" w:tplc="4B961C08">
      <w:start w:val="1"/>
      <w:numFmt w:val="lowerLetter"/>
      <w:lvlText w:val="%8."/>
      <w:lvlJc w:val="left"/>
      <w:pPr>
        <w:ind w:left="5760" w:hanging="360"/>
      </w:pPr>
    </w:lvl>
    <w:lvl w:ilvl="8" w:tplc="C86C6CD6">
      <w:start w:val="1"/>
      <w:numFmt w:val="lowerRoman"/>
      <w:lvlText w:val="%9."/>
      <w:lvlJc w:val="right"/>
      <w:pPr>
        <w:ind w:left="6480" w:hanging="180"/>
      </w:pPr>
    </w:lvl>
  </w:abstractNum>
  <w:num w:numId="1" w16cid:durableId="683632317">
    <w:abstractNumId w:val="2"/>
  </w:num>
  <w:num w:numId="2" w16cid:durableId="519514016">
    <w:abstractNumId w:val="3"/>
  </w:num>
  <w:num w:numId="3" w16cid:durableId="1253970911">
    <w:abstractNumId w:val="1"/>
  </w:num>
  <w:num w:numId="4" w16cid:durableId="87747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DE"/>
    <w:rsid w:val="00124943"/>
    <w:rsid w:val="002B1CA0"/>
    <w:rsid w:val="00507F5F"/>
    <w:rsid w:val="00621BFE"/>
    <w:rsid w:val="006F6BDE"/>
    <w:rsid w:val="00814DA6"/>
    <w:rsid w:val="00A031E5"/>
    <w:rsid w:val="00D03718"/>
    <w:rsid w:val="00D114A5"/>
    <w:rsid w:val="00DA3778"/>
    <w:rsid w:val="00E34F06"/>
    <w:rsid w:val="2D675FA9"/>
    <w:rsid w:val="5B1BA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0A7A"/>
  <w15:chartTrackingRefBased/>
  <w15:docId w15:val="{BF6CEFCB-90B5-405E-81E8-3F6A0E26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B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6B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6B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6B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6B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6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B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6B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6B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6B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6B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6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BDE"/>
    <w:rPr>
      <w:rFonts w:eastAsiaTheme="majorEastAsia" w:cstheme="majorBidi"/>
      <w:color w:val="272727" w:themeColor="text1" w:themeTint="D8"/>
    </w:rPr>
  </w:style>
  <w:style w:type="paragraph" w:styleId="Title">
    <w:name w:val="Title"/>
    <w:basedOn w:val="Normal"/>
    <w:next w:val="Normal"/>
    <w:link w:val="TitleChar"/>
    <w:uiPriority w:val="10"/>
    <w:qFormat/>
    <w:rsid w:val="006F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B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B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6BDE"/>
    <w:rPr>
      <w:i/>
      <w:iCs/>
      <w:color w:val="404040" w:themeColor="text1" w:themeTint="BF"/>
    </w:rPr>
  </w:style>
  <w:style w:type="paragraph" w:styleId="ListParagraph">
    <w:name w:val="List Paragraph"/>
    <w:basedOn w:val="Normal"/>
    <w:uiPriority w:val="34"/>
    <w:qFormat/>
    <w:rsid w:val="006F6BDE"/>
    <w:pPr>
      <w:ind w:left="720"/>
      <w:contextualSpacing/>
    </w:pPr>
  </w:style>
  <w:style w:type="character" w:styleId="IntenseEmphasis">
    <w:name w:val="Intense Emphasis"/>
    <w:basedOn w:val="DefaultParagraphFont"/>
    <w:uiPriority w:val="21"/>
    <w:qFormat/>
    <w:rsid w:val="006F6BDE"/>
    <w:rPr>
      <w:i/>
      <w:iCs/>
      <w:color w:val="365F91" w:themeColor="accent1" w:themeShade="BF"/>
    </w:rPr>
  </w:style>
  <w:style w:type="paragraph" w:styleId="IntenseQuote">
    <w:name w:val="Intense Quote"/>
    <w:basedOn w:val="Normal"/>
    <w:next w:val="Normal"/>
    <w:link w:val="IntenseQuoteChar"/>
    <w:uiPriority w:val="30"/>
    <w:qFormat/>
    <w:rsid w:val="006F6B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6BDE"/>
    <w:rPr>
      <w:i/>
      <w:iCs/>
      <w:color w:val="365F91" w:themeColor="accent1" w:themeShade="BF"/>
    </w:rPr>
  </w:style>
  <w:style w:type="character" w:styleId="IntenseReference">
    <w:name w:val="Intense Reference"/>
    <w:basedOn w:val="DefaultParagraphFont"/>
    <w:uiPriority w:val="32"/>
    <w:qFormat/>
    <w:rsid w:val="006F6BDE"/>
    <w:rPr>
      <w:b/>
      <w:bCs/>
      <w:smallCaps/>
      <w:color w:val="365F91" w:themeColor="accent1" w:themeShade="BF"/>
      <w:spacing w:val="5"/>
    </w:rPr>
  </w:style>
  <w:style w:type="character" w:styleId="Hyperlink">
    <w:name w:val="Hyperlink"/>
    <w:basedOn w:val="DefaultParagraphFont"/>
    <w:uiPriority w:val="99"/>
    <w:unhideWhenUsed/>
    <w:rsid w:val="00D03718"/>
    <w:rPr>
      <w:color w:val="0000FF" w:themeColor="hyperlink"/>
      <w:u w:val="single"/>
    </w:rPr>
  </w:style>
  <w:style w:type="character" w:styleId="UnresolvedMention">
    <w:name w:val="Unresolved Mention"/>
    <w:basedOn w:val="DefaultParagraphFont"/>
    <w:uiPriority w:val="99"/>
    <w:semiHidden/>
    <w:unhideWhenUsed/>
    <w:rsid w:val="00D0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foam.com/news/main-news/openfoam-v2412"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EC4D15-41B0-4E02-89D9-C82B466FB8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96B55D-1AA0-4737-B192-7A2525885F64}">
  <ds:schemaRefs>
    <ds:schemaRef ds:uri="http://schemas.microsoft.com/sharepoint/v3/contenttype/forms"/>
  </ds:schemaRefs>
</ds:datastoreItem>
</file>

<file path=customXml/itemProps3.xml><?xml version="1.0" encoding="utf-8"?>
<ds:datastoreItem xmlns:ds="http://schemas.openxmlformats.org/officeDocument/2006/customXml" ds:itemID="{CB339584-0A09-4CFA-800F-7485140C4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409</Words>
  <Characters>2579</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mirea mladin</dc:creator>
  <cp:keywords/>
  <dc:description/>
  <cp:lastModifiedBy>Mikityuk, Konstantin</cp:lastModifiedBy>
  <cp:revision>4</cp:revision>
  <dcterms:created xsi:type="dcterms:W3CDTF">2025-10-15T08:13:00Z</dcterms:created>
  <dcterms:modified xsi:type="dcterms:W3CDTF">2026-02-28T10:00:00Z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