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9FF21" w14:textId="77777777" w:rsidR="006F6BDE" w:rsidRDefault="006F6BDE"/>
    <w:p w14:paraId="1E5C3486" w14:textId="5965E072" w:rsidR="006F6BDE" w:rsidRDefault="5B1BA290" w:rsidP="006F6BDE">
      <w:pPr>
        <w:pStyle w:val="ListParagraph"/>
        <w:numPr>
          <w:ilvl w:val="0"/>
          <w:numId w:val="4"/>
        </w:numPr>
      </w:pPr>
      <w:r>
        <w:t xml:space="preserve">RELAP5 </w:t>
      </w:r>
    </w:p>
    <w:p w14:paraId="7009488C" w14:textId="07C5C67F" w:rsidR="006F6BDE" w:rsidRDefault="5B1BA290" w:rsidP="006F6BDE">
      <w:pPr>
        <w:jc w:val="both"/>
      </w:pPr>
      <w:r>
        <w:t xml:space="preserve">RELAP5/SCDAP 4.1.0 BUILD 12/2018 was obtained as RELAP/SCDAPSIM/MOD4.1 from Innovative System Software in 2020, in the frame of a four </w:t>
      </w:r>
      <w:proofErr w:type="gramStart"/>
      <w:r>
        <w:t>years</w:t>
      </w:r>
      <w:proofErr w:type="gramEnd"/>
      <w:r>
        <w:t xml:space="preserve"> user agreement, as binary version on Windows. MOD4 ([1]) uses </w:t>
      </w:r>
      <w:proofErr w:type="spellStart"/>
      <w:r>
        <w:t>PbBi</w:t>
      </w:r>
      <w:proofErr w:type="spellEnd"/>
      <w:r>
        <w:t xml:space="preserve"> eutectic physical properties from [2]. The RELAP5/MOD3 code, on </w:t>
      </w:r>
      <w:proofErr w:type="gramStart"/>
      <w:r>
        <w:t>which relies</w:t>
      </w:r>
      <w:proofErr w:type="gramEnd"/>
      <w:r>
        <w:t xml:space="preserve"> RELAP/SCDAPSIM, is a 1D thermal-hydraulic analysis code that has been developed originally for best-estimate transient simulation of light water reactor coolant systems during postulated accidents. It includes hydrodynamic components such as pipe, volume, etc., and heat structures that can describe solid material regions, heat being transferred from/to volumes, or by means of boundary conditions (BCs). Addition of several advanced/innovative reactor coolants has been made, including </w:t>
      </w:r>
      <w:proofErr w:type="spellStart"/>
      <w:r>
        <w:t>Pbi</w:t>
      </w:r>
      <w:proofErr w:type="spellEnd"/>
      <w:r>
        <w:t xml:space="preserve"> eutectic and molten lead. However, capabilities like tracking </w:t>
      </w:r>
      <w:proofErr w:type="spellStart"/>
      <w:r>
        <w:t>noncondensible</w:t>
      </w:r>
      <w:proofErr w:type="spellEnd"/>
      <w:r>
        <w:t xml:space="preserve"> gases are working for water </w:t>
      </w:r>
      <w:proofErr w:type="gramStart"/>
      <w:r>
        <w:t>only, and</w:t>
      </w:r>
      <w:proofErr w:type="gramEnd"/>
      <w:r>
        <w:t xml:space="preserve"> were not extended to advanced coolants.</w:t>
      </w:r>
    </w:p>
    <w:p w14:paraId="64222851" w14:textId="15149EDC" w:rsidR="00507F5F" w:rsidRDefault="5B1BA290" w:rsidP="006F6BDE">
      <w:pPr>
        <w:jc w:val="both"/>
      </w:pPr>
      <w:r>
        <w:t>References:</w:t>
      </w:r>
    </w:p>
    <w:p w14:paraId="6BFC2FEE" w14:textId="5D56F4E4" w:rsidR="00507F5F" w:rsidRDefault="5B1BA290" w:rsidP="00D03718">
      <w:pPr>
        <w:spacing w:after="0"/>
        <w:jc w:val="both"/>
      </w:pPr>
      <w:r>
        <w:t>[1] STDP/ADTP - RELAP/SCDAPSIM User Reference Manual -Advanced Fluid Systems Thermal Hydraulics Analysis, September 2, 2020.</w:t>
      </w:r>
    </w:p>
    <w:p w14:paraId="688B9221" w14:textId="6BFDB208" w:rsidR="00507F5F" w:rsidRDefault="5B1BA290" w:rsidP="00D03718">
      <w:pPr>
        <w:spacing w:after="0"/>
        <w:jc w:val="both"/>
      </w:pPr>
      <w:r>
        <w:t>[2] NEA/OECD -Handbook on Lead-bismuth Eutectic Alloy and lead Properties, Materials Compatibility, Thermal-hydraulics and Technologies, 2007 edition.</w:t>
      </w:r>
    </w:p>
    <w:p w14:paraId="151704EB" w14:textId="49D2937D" w:rsidR="5B1BA290" w:rsidRDefault="5B1BA290" w:rsidP="5B1BA290">
      <w:pPr>
        <w:jc w:val="both"/>
      </w:pPr>
    </w:p>
    <w:sectPr w:rsidR="5B1BA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61D"/>
    <w:multiLevelType w:val="hybridMultilevel"/>
    <w:tmpl w:val="5B2613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9D7BE1"/>
    <w:multiLevelType w:val="hybridMultilevel"/>
    <w:tmpl w:val="570CCB52"/>
    <w:lvl w:ilvl="0" w:tplc="A26CB4CE">
      <w:start w:val="1"/>
      <w:numFmt w:val="decimal"/>
      <w:lvlText w:val="%1."/>
      <w:lvlJc w:val="left"/>
      <w:pPr>
        <w:ind w:left="720" w:hanging="360"/>
      </w:pPr>
    </w:lvl>
    <w:lvl w:ilvl="1" w:tplc="D24E7FFA">
      <w:start w:val="1"/>
      <w:numFmt w:val="lowerLetter"/>
      <w:lvlText w:val="%2."/>
      <w:lvlJc w:val="left"/>
      <w:pPr>
        <w:ind w:left="1440" w:hanging="360"/>
      </w:pPr>
    </w:lvl>
    <w:lvl w:ilvl="2" w:tplc="32BEEEB6">
      <w:start w:val="1"/>
      <w:numFmt w:val="lowerRoman"/>
      <w:lvlText w:val="%3."/>
      <w:lvlJc w:val="right"/>
      <w:pPr>
        <w:ind w:left="2160" w:hanging="180"/>
      </w:pPr>
    </w:lvl>
    <w:lvl w:ilvl="3" w:tplc="83028794">
      <w:start w:val="1"/>
      <w:numFmt w:val="decimal"/>
      <w:lvlText w:val="%4."/>
      <w:lvlJc w:val="left"/>
      <w:pPr>
        <w:ind w:left="2880" w:hanging="360"/>
      </w:pPr>
    </w:lvl>
    <w:lvl w:ilvl="4" w:tplc="B3C8719E">
      <w:start w:val="1"/>
      <w:numFmt w:val="lowerLetter"/>
      <w:lvlText w:val="%5."/>
      <w:lvlJc w:val="left"/>
      <w:pPr>
        <w:ind w:left="3600" w:hanging="360"/>
      </w:pPr>
    </w:lvl>
    <w:lvl w:ilvl="5" w:tplc="5ADE7154">
      <w:start w:val="1"/>
      <w:numFmt w:val="lowerRoman"/>
      <w:lvlText w:val="%6."/>
      <w:lvlJc w:val="right"/>
      <w:pPr>
        <w:ind w:left="4320" w:hanging="180"/>
      </w:pPr>
    </w:lvl>
    <w:lvl w:ilvl="6" w:tplc="016C09B8">
      <w:start w:val="1"/>
      <w:numFmt w:val="decimal"/>
      <w:lvlText w:val="%7."/>
      <w:lvlJc w:val="left"/>
      <w:pPr>
        <w:ind w:left="5040" w:hanging="360"/>
      </w:pPr>
    </w:lvl>
    <w:lvl w:ilvl="7" w:tplc="4290FEB6">
      <w:start w:val="1"/>
      <w:numFmt w:val="lowerLetter"/>
      <w:lvlText w:val="%8."/>
      <w:lvlJc w:val="left"/>
      <w:pPr>
        <w:ind w:left="5760" w:hanging="360"/>
      </w:pPr>
    </w:lvl>
    <w:lvl w:ilvl="8" w:tplc="19E4BAB0">
      <w:start w:val="1"/>
      <w:numFmt w:val="lowerRoman"/>
      <w:lvlText w:val="%9."/>
      <w:lvlJc w:val="right"/>
      <w:pPr>
        <w:ind w:left="6480" w:hanging="180"/>
      </w:pPr>
    </w:lvl>
  </w:abstractNum>
  <w:abstractNum w:abstractNumId="2" w15:restartNumberingAfterBreak="0">
    <w:nsid w:val="753F48CE"/>
    <w:multiLevelType w:val="hybridMultilevel"/>
    <w:tmpl w:val="808848C4"/>
    <w:lvl w:ilvl="0" w:tplc="055ABAC4">
      <w:start w:val="1"/>
      <w:numFmt w:val="decimal"/>
      <w:lvlText w:val="%1."/>
      <w:lvlJc w:val="left"/>
      <w:pPr>
        <w:ind w:left="720" w:hanging="360"/>
      </w:pPr>
    </w:lvl>
    <w:lvl w:ilvl="1" w:tplc="9A2E4A3A">
      <w:start w:val="1"/>
      <w:numFmt w:val="lowerLetter"/>
      <w:lvlText w:val="%2."/>
      <w:lvlJc w:val="left"/>
      <w:pPr>
        <w:ind w:left="1440" w:hanging="360"/>
      </w:pPr>
    </w:lvl>
    <w:lvl w:ilvl="2" w:tplc="2BD4C7B4">
      <w:start w:val="1"/>
      <w:numFmt w:val="lowerRoman"/>
      <w:lvlText w:val="%3."/>
      <w:lvlJc w:val="right"/>
      <w:pPr>
        <w:ind w:left="2160" w:hanging="180"/>
      </w:pPr>
    </w:lvl>
    <w:lvl w:ilvl="3" w:tplc="F4BA3A96">
      <w:start w:val="1"/>
      <w:numFmt w:val="decimal"/>
      <w:lvlText w:val="%4."/>
      <w:lvlJc w:val="left"/>
      <w:pPr>
        <w:ind w:left="2880" w:hanging="360"/>
      </w:pPr>
    </w:lvl>
    <w:lvl w:ilvl="4" w:tplc="E270655A">
      <w:start w:val="1"/>
      <w:numFmt w:val="lowerLetter"/>
      <w:lvlText w:val="%5."/>
      <w:lvlJc w:val="left"/>
      <w:pPr>
        <w:ind w:left="3600" w:hanging="360"/>
      </w:pPr>
    </w:lvl>
    <w:lvl w:ilvl="5" w:tplc="AF40AFDA">
      <w:start w:val="1"/>
      <w:numFmt w:val="lowerRoman"/>
      <w:lvlText w:val="%6."/>
      <w:lvlJc w:val="right"/>
      <w:pPr>
        <w:ind w:left="4320" w:hanging="180"/>
      </w:pPr>
    </w:lvl>
    <w:lvl w:ilvl="6" w:tplc="CD68B854">
      <w:start w:val="1"/>
      <w:numFmt w:val="decimal"/>
      <w:lvlText w:val="%7."/>
      <w:lvlJc w:val="left"/>
      <w:pPr>
        <w:ind w:left="5040" w:hanging="360"/>
      </w:pPr>
    </w:lvl>
    <w:lvl w:ilvl="7" w:tplc="F62ECEBE">
      <w:start w:val="1"/>
      <w:numFmt w:val="lowerLetter"/>
      <w:lvlText w:val="%8."/>
      <w:lvlJc w:val="left"/>
      <w:pPr>
        <w:ind w:left="5760" w:hanging="360"/>
      </w:pPr>
    </w:lvl>
    <w:lvl w:ilvl="8" w:tplc="0E589CFC">
      <w:start w:val="1"/>
      <w:numFmt w:val="lowerRoman"/>
      <w:lvlText w:val="%9."/>
      <w:lvlJc w:val="right"/>
      <w:pPr>
        <w:ind w:left="6480" w:hanging="180"/>
      </w:pPr>
    </w:lvl>
  </w:abstractNum>
  <w:abstractNum w:abstractNumId="3" w15:restartNumberingAfterBreak="0">
    <w:nsid w:val="790E67AA"/>
    <w:multiLevelType w:val="hybridMultilevel"/>
    <w:tmpl w:val="38A229B0"/>
    <w:lvl w:ilvl="0" w:tplc="8F5676AC">
      <w:start w:val="1"/>
      <w:numFmt w:val="decimal"/>
      <w:lvlText w:val="%1."/>
      <w:lvlJc w:val="left"/>
      <w:pPr>
        <w:ind w:left="720" w:hanging="360"/>
      </w:pPr>
    </w:lvl>
    <w:lvl w:ilvl="1" w:tplc="07780430">
      <w:start w:val="1"/>
      <w:numFmt w:val="lowerLetter"/>
      <w:lvlText w:val="%2."/>
      <w:lvlJc w:val="left"/>
      <w:pPr>
        <w:ind w:left="1440" w:hanging="360"/>
      </w:pPr>
    </w:lvl>
    <w:lvl w:ilvl="2" w:tplc="FB1AA630">
      <w:start w:val="1"/>
      <w:numFmt w:val="lowerRoman"/>
      <w:lvlText w:val="%3."/>
      <w:lvlJc w:val="right"/>
      <w:pPr>
        <w:ind w:left="2160" w:hanging="180"/>
      </w:pPr>
    </w:lvl>
    <w:lvl w:ilvl="3" w:tplc="2AEE5D08">
      <w:start w:val="1"/>
      <w:numFmt w:val="decimal"/>
      <w:lvlText w:val="%4."/>
      <w:lvlJc w:val="left"/>
      <w:pPr>
        <w:ind w:left="2880" w:hanging="360"/>
      </w:pPr>
    </w:lvl>
    <w:lvl w:ilvl="4" w:tplc="6AEC57B2">
      <w:start w:val="1"/>
      <w:numFmt w:val="lowerLetter"/>
      <w:lvlText w:val="%5."/>
      <w:lvlJc w:val="left"/>
      <w:pPr>
        <w:ind w:left="3600" w:hanging="360"/>
      </w:pPr>
    </w:lvl>
    <w:lvl w:ilvl="5" w:tplc="DE12D60C">
      <w:start w:val="1"/>
      <w:numFmt w:val="lowerRoman"/>
      <w:lvlText w:val="%6."/>
      <w:lvlJc w:val="right"/>
      <w:pPr>
        <w:ind w:left="4320" w:hanging="180"/>
      </w:pPr>
    </w:lvl>
    <w:lvl w:ilvl="6" w:tplc="2CCC0D5E">
      <w:start w:val="1"/>
      <w:numFmt w:val="decimal"/>
      <w:lvlText w:val="%7."/>
      <w:lvlJc w:val="left"/>
      <w:pPr>
        <w:ind w:left="5040" w:hanging="360"/>
      </w:pPr>
    </w:lvl>
    <w:lvl w:ilvl="7" w:tplc="0C30D5B0">
      <w:start w:val="1"/>
      <w:numFmt w:val="lowerLetter"/>
      <w:lvlText w:val="%8."/>
      <w:lvlJc w:val="left"/>
      <w:pPr>
        <w:ind w:left="5760" w:hanging="360"/>
      </w:pPr>
    </w:lvl>
    <w:lvl w:ilvl="8" w:tplc="4EEE7B7E">
      <w:start w:val="1"/>
      <w:numFmt w:val="lowerRoman"/>
      <w:lvlText w:val="%9."/>
      <w:lvlJc w:val="right"/>
      <w:pPr>
        <w:ind w:left="6480" w:hanging="180"/>
      </w:pPr>
    </w:lvl>
  </w:abstractNum>
  <w:num w:numId="1" w16cid:durableId="454251032">
    <w:abstractNumId w:val="3"/>
  </w:num>
  <w:num w:numId="2" w16cid:durableId="275870790">
    <w:abstractNumId w:val="2"/>
  </w:num>
  <w:num w:numId="3" w16cid:durableId="2087340580">
    <w:abstractNumId w:val="1"/>
  </w:num>
  <w:num w:numId="4" w16cid:durableId="877475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BDE"/>
    <w:rsid w:val="00124943"/>
    <w:rsid w:val="001B5FEF"/>
    <w:rsid w:val="00507F5F"/>
    <w:rsid w:val="00621BFE"/>
    <w:rsid w:val="006F6BDE"/>
    <w:rsid w:val="00814DA6"/>
    <w:rsid w:val="00A031E5"/>
    <w:rsid w:val="00D03718"/>
    <w:rsid w:val="00D114A5"/>
    <w:rsid w:val="00DA3778"/>
    <w:rsid w:val="00E34F06"/>
    <w:rsid w:val="2D675FA9"/>
    <w:rsid w:val="5B1BA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0A7A"/>
  <w15:chartTrackingRefBased/>
  <w15:docId w15:val="{BF6CEFCB-90B5-405E-81E8-3F6A0E26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B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F6BD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F6B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F6BD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F6BD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F6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BD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F6BD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F6BD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F6BD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F6BD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F6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BDE"/>
    <w:rPr>
      <w:rFonts w:eastAsiaTheme="majorEastAsia" w:cstheme="majorBidi"/>
      <w:color w:val="272727" w:themeColor="text1" w:themeTint="D8"/>
    </w:rPr>
  </w:style>
  <w:style w:type="paragraph" w:styleId="Title">
    <w:name w:val="Title"/>
    <w:basedOn w:val="Normal"/>
    <w:next w:val="Normal"/>
    <w:link w:val="TitleChar"/>
    <w:uiPriority w:val="10"/>
    <w:qFormat/>
    <w:rsid w:val="006F6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B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B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6BDE"/>
    <w:rPr>
      <w:i/>
      <w:iCs/>
      <w:color w:val="404040" w:themeColor="text1" w:themeTint="BF"/>
    </w:rPr>
  </w:style>
  <w:style w:type="paragraph" w:styleId="ListParagraph">
    <w:name w:val="List Paragraph"/>
    <w:basedOn w:val="Normal"/>
    <w:uiPriority w:val="34"/>
    <w:qFormat/>
    <w:rsid w:val="006F6BDE"/>
    <w:pPr>
      <w:ind w:left="720"/>
      <w:contextualSpacing/>
    </w:pPr>
  </w:style>
  <w:style w:type="character" w:styleId="IntenseEmphasis">
    <w:name w:val="Intense Emphasis"/>
    <w:basedOn w:val="DefaultParagraphFont"/>
    <w:uiPriority w:val="21"/>
    <w:qFormat/>
    <w:rsid w:val="006F6BDE"/>
    <w:rPr>
      <w:i/>
      <w:iCs/>
      <w:color w:val="365F91" w:themeColor="accent1" w:themeShade="BF"/>
    </w:rPr>
  </w:style>
  <w:style w:type="paragraph" w:styleId="IntenseQuote">
    <w:name w:val="Intense Quote"/>
    <w:basedOn w:val="Normal"/>
    <w:next w:val="Normal"/>
    <w:link w:val="IntenseQuoteChar"/>
    <w:uiPriority w:val="30"/>
    <w:qFormat/>
    <w:rsid w:val="006F6B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6BDE"/>
    <w:rPr>
      <w:i/>
      <w:iCs/>
      <w:color w:val="365F91" w:themeColor="accent1" w:themeShade="BF"/>
    </w:rPr>
  </w:style>
  <w:style w:type="character" w:styleId="IntenseReference">
    <w:name w:val="Intense Reference"/>
    <w:basedOn w:val="DefaultParagraphFont"/>
    <w:uiPriority w:val="32"/>
    <w:qFormat/>
    <w:rsid w:val="006F6BDE"/>
    <w:rPr>
      <w:b/>
      <w:bCs/>
      <w:smallCaps/>
      <w:color w:val="365F91" w:themeColor="accent1" w:themeShade="BF"/>
      <w:spacing w:val="5"/>
    </w:rPr>
  </w:style>
  <w:style w:type="character" w:styleId="Hyperlink">
    <w:name w:val="Hyperlink"/>
    <w:basedOn w:val="DefaultParagraphFont"/>
    <w:uiPriority w:val="99"/>
    <w:unhideWhenUsed/>
    <w:rsid w:val="00D03718"/>
    <w:rPr>
      <w:color w:val="0000FF" w:themeColor="hyperlink"/>
      <w:u w:val="single"/>
    </w:rPr>
  </w:style>
  <w:style w:type="character" w:styleId="UnresolvedMention">
    <w:name w:val="Unresolved Mention"/>
    <w:basedOn w:val="DefaultParagraphFont"/>
    <w:uiPriority w:val="99"/>
    <w:semiHidden/>
    <w:unhideWhenUsed/>
    <w:rsid w:val="00D03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EC4D15-41B0-4E02-89D9-C82B466FB8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96B55D-1AA0-4737-B192-7A2525885F64}">
  <ds:schemaRefs>
    <ds:schemaRef ds:uri="http://schemas.microsoft.com/sharepoint/v3/contenttype/forms"/>
  </ds:schemaRefs>
</ds:datastoreItem>
</file>

<file path=customXml/itemProps3.xml><?xml version="1.0" encoding="utf-8"?>
<ds:datastoreItem xmlns:ds="http://schemas.openxmlformats.org/officeDocument/2006/customXml" ds:itemID="{CB339584-0A09-4CFA-800F-7485140C4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168</Words>
  <Characters>1062</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mirea mladin</dc:creator>
  <cp:keywords/>
  <dc:description/>
  <cp:lastModifiedBy>Mikityuk, Konstantin</cp:lastModifiedBy>
  <cp:revision>4</cp:revision>
  <dcterms:created xsi:type="dcterms:W3CDTF">2025-10-15T08:13:00Z</dcterms:created>
  <dcterms:modified xsi:type="dcterms:W3CDTF">2026-02-28T09:58:00Z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