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C2EEC" w14:textId="3FDB0207" w:rsidR="00371673" w:rsidRDefault="0079313D" w:rsidP="00371673">
      <w:pPr>
        <w:pStyle w:val="a7"/>
        <w:numPr>
          <w:ilvl w:val="0"/>
          <w:numId w:val="1"/>
        </w:numPr>
        <w:ind w:firstLineChars="0"/>
      </w:pPr>
      <w:r>
        <w:fldChar w:fldCharType="begin"/>
      </w:r>
      <w:r>
        <w:instrText xml:space="preserve"> MACROBUTTON MTEditEquationSection2 </w:instrText>
      </w:r>
      <w:r w:rsidRPr="0079313D">
        <w:rPr>
          <w:rStyle w:val="MTEquationSection"/>
          <w:rFonts w:hint="eastAsia"/>
        </w:rPr>
        <w:instrText>公式章</w:instrText>
      </w:r>
      <w:r w:rsidRPr="0079313D">
        <w:rPr>
          <w:rStyle w:val="MTEquationSection"/>
          <w:rFonts w:hint="eastAsia"/>
        </w:rPr>
        <w:instrText xml:space="preserve"> 1 </w:instrText>
      </w:r>
      <w:r w:rsidRPr="0079313D">
        <w:rPr>
          <w:rStyle w:val="MTEquationSection"/>
          <w:rFonts w:hint="eastAsia"/>
        </w:rPr>
        <w:instrText>节</w:instrText>
      </w:r>
      <w:r w:rsidRPr="0079313D">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371673">
        <w:t xml:space="preserve">Introduction of </w:t>
      </w:r>
      <w:r w:rsidR="002D784A">
        <w:rPr>
          <w:rFonts w:hint="eastAsia"/>
        </w:rPr>
        <w:t>THACS</w:t>
      </w:r>
    </w:p>
    <w:p w14:paraId="49097E76" w14:textId="612EE1E7" w:rsidR="0006493A" w:rsidRDefault="00C30750" w:rsidP="003071BE">
      <w:r w:rsidRPr="00C30750">
        <w:t xml:space="preserve">THACS is a modular code, which is developed by Nuclear </w:t>
      </w:r>
      <w:proofErr w:type="spellStart"/>
      <w:r w:rsidRPr="00C30750">
        <w:t>THermal</w:t>
      </w:r>
      <w:proofErr w:type="spellEnd"/>
      <w:r w:rsidRPr="00C30750">
        <w:t xml:space="preserve">-hydraulic laboratory of Xi’an </w:t>
      </w:r>
      <w:proofErr w:type="spellStart"/>
      <w:r w:rsidRPr="00C30750">
        <w:t>Jiaotong</w:t>
      </w:r>
      <w:proofErr w:type="spellEnd"/>
      <w:r w:rsidRPr="00C30750">
        <w:t xml:space="preserve"> University (</w:t>
      </w:r>
      <w:proofErr w:type="spellStart"/>
      <w:r w:rsidRPr="00C30750">
        <w:t>NuTHeL</w:t>
      </w:r>
      <w:proofErr w:type="spellEnd"/>
      <w:r w:rsidRPr="00C30750">
        <w:t>-XJTU) to support design and safety analysis of Chinese SFR</w:t>
      </w:r>
      <w:r w:rsidR="00A33A0E">
        <w:fldChar w:fldCharType="begin"/>
      </w:r>
      <w:r w:rsidR="00A33A0E">
        <w:instrText xml:space="preserve"> REF _Ref223782090 \r \h </w:instrText>
      </w:r>
      <w:r w:rsidR="00A33A0E">
        <w:fldChar w:fldCharType="separate"/>
      </w:r>
      <w:r w:rsidR="00B4546B">
        <w:t>[1]</w:t>
      </w:r>
      <w:r w:rsidR="00A33A0E">
        <w:fldChar w:fldCharType="end"/>
      </w:r>
      <w:r w:rsidR="00A33A0E">
        <w:fldChar w:fldCharType="begin"/>
      </w:r>
      <w:r w:rsidR="00A33A0E">
        <w:instrText xml:space="preserve"> REF _Ref223782092 \r \h </w:instrText>
      </w:r>
      <w:r w:rsidR="00A33A0E">
        <w:fldChar w:fldCharType="separate"/>
      </w:r>
      <w:r w:rsidR="00B4546B">
        <w:t>[2]</w:t>
      </w:r>
      <w:r w:rsidR="00A33A0E">
        <w:fldChar w:fldCharType="end"/>
      </w:r>
      <w:r w:rsidRPr="00C30750">
        <w:t xml:space="preserve">. It is used to participate in thermal-hydraulic part of this benchmark. It initiated in 2013, was firstly called THACOS, and was renamed THACS later. It could simulate primary loop of different SFRs with typical component model such as core, hot pool, pump, pipe, pipe-net, and air heat exchanger, cold pool. Meanwhile, a home stand-alone numerical model of steam generator is also made the effort to integrate into it. With the continuous development, it has some new features and updates, for instance, original multi-channel core model is updated to </w:t>
      </w:r>
      <w:proofErr w:type="spellStart"/>
      <w:r w:rsidRPr="00C30750">
        <w:t>muti</w:t>
      </w:r>
      <w:proofErr w:type="spellEnd"/>
      <w:r w:rsidRPr="00C30750">
        <w:t xml:space="preserve">-channel model plus subchannel model </w:t>
      </w:r>
      <w:r w:rsidR="00A33A0E">
        <w:fldChar w:fldCharType="begin"/>
      </w:r>
      <w:r w:rsidR="00A33A0E">
        <w:instrText xml:space="preserve"> REF _Ref223782100 \r \h </w:instrText>
      </w:r>
      <w:r w:rsidR="00A33A0E">
        <w:fldChar w:fldCharType="separate"/>
      </w:r>
      <w:r w:rsidR="00B4546B">
        <w:t>[3]</w:t>
      </w:r>
      <w:r w:rsidR="00A33A0E">
        <w:fldChar w:fldCharType="end"/>
      </w:r>
      <w:r w:rsidRPr="00C30750">
        <w:t xml:space="preserve"> to further </w:t>
      </w:r>
      <w:proofErr w:type="spellStart"/>
      <w:r w:rsidRPr="00C30750">
        <w:t>analyse</w:t>
      </w:r>
      <w:proofErr w:type="spellEnd"/>
      <w:r w:rsidRPr="00C30750">
        <w:t xml:space="preserve"> temperature distribution of subassemblies; hot pool model is substituted for 2D CFD model </w:t>
      </w:r>
      <w:r w:rsidR="00A33A0E">
        <w:fldChar w:fldCharType="begin"/>
      </w:r>
      <w:r w:rsidR="00A33A0E">
        <w:instrText xml:space="preserve"> REF _Ref223782109 \r \h </w:instrText>
      </w:r>
      <w:r w:rsidR="00A33A0E">
        <w:fldChar w:fldCharType="separate"/>
      </w:r>
      <w:r w:rsidR="00B4546B">
        <w:t>[4]</w:t>
      </w:r>
      <w:r w:rsidR="00A33A0E">
        <w:fldChar w:fldCharType="end"/>
      </w:r>
      <w:r w:rsidRPr="00C30750">
        <w:t xml:space="preserve"> to capture thermal stratification phenomena in hot pool; a new inter wrapper flow model (IWF) </w:t>
      </w:r>
      <w:r w:rsidR="00A33A0E">
        <w:fldChar w:fldCharType="begin"/>
      </w:r>
      <w:r w:rsidR="00A33A0E">
        <w:instrText xml:space="preserve"> REF _Ref223782114 \r \h </w:instrText>
      </w:r>
      <w:r w:rsidR="00A33A0E">
        <w:fldChar w:fldCharType="separate"/>
      </w:r>
      <w:r w:rsidR="00B4546B">
        <w:t>[5]</w:t>
      </w:r>
      <w:r w:rsidR="00A33A0E">
        <w:fldChar w:fldCharType="end"/>
      </w:r>
      <w:r w:rsidR="00A33A0E">
        <w:fldChar w:fldCharType="begin"/>
      </w:r>
      <w:r w:rsidR="00A33A0E">
        <w:instrText xml:space="preserve"> REF _Ref223782115 \r \h </w:instrText>
      </w:r>
      <w:r w:rsidR="00A33A0E">
        <w:fldChar w:fldCharType="separate"/>
      </w:r>
      <w:r w:rsidR="00B4546B">
        <w:t>[6]</w:t>
      </w:r>
      <w:r w:rsidR="00A33A0E">
        <w:fldChar w:fldCharType="end"/>
      </w:r>
      <w:r w:rsidRPr="00C30750">
        <w:t xml:space="preserve"> and reactor vessel c</w:t>
      </w:r>
      <w:r w:rsidRPr="00C30750">
        <w:rPr>
          <w:rFonts w:hint="eastAsia"/>
        </w:rPr>
        <w:t xml:space="preserve">ooling model are also added to model inter wrapper region and reactor vessel cooling system. </w:t>
      </w:r>
      <w:r w:rsidR="00646D92" w:rsidRPr="00646D92">
        <w:t>THACS utilizes finite volume method for numerical discretization of one-dimensional governing equations. GEAR and SIMPLE algorithms are adopted for matrix solving and iterative solution control, respectively.</w:t>
      </w:r>
      <w:r w:rsidR="00646D92" w:rsidRPr="00646D92">
        <w:rPr>
          <w:rFonts w:hint="eastAsia"/>
        </w:rPr>
        <w:t xml:space="preserve"> </w:t>
      </w:r>
      <w:r w:rsidRPr="00C30750">
        <w:rPr>
          <w:rFonts w:hint="eastAsia"/>
        </w:rPr>
        <w:t>It has been validated by different benchmark organized by IAEA such as BN800, EBR-</w:t>
      </w:r>
      <w:r w:rsidRPr="00C30750">
        <w:rPr>
          <w:rFonts w:hint="eastAsia"/>
        </w:rPr>
        <w:t>Ⅱ</w:t>
      </w:r>
      <w:r w:rsidRPr="00C30750">
        <w:rPr>
          <w:rFonts w:hint="eastAsia"/>
        </w:rPr>
        <w:t>, PHENIX.</w:t>
      </w:r>
    </w:p>
    <w:p w14:paraId="0A9273DC" w14:textId="3BC43F52" w:rsidR="00CA5DAD" w:rsidRDefault="003E6F62" w:rsidP="006A25CC">
      <w:pPr>
        <w:pStyle w:val="a7"/>
        <w:numPr>
          <w:ilvl w:val="0"/>
          <w:numId w:val="1"/>
        </w:numPr>
        <w:ind w:firstLineChars="0"/>
      </w:pPr>
      <w:r>
        <w:rPr>
          <w:rFonts w:hint="eastAsia"/>
        </w:rPr>
        <w:t>Key</w:t>
      </w:r>
      <w:r>
        <w:t xml:space="preserve"> </w:t>
      </w:r>
      <w:r>
        <w:rPr>
          <w:rFonts w:hint="eastAsia"/>
        </w:rPr>
        <w:t>modules</w:t>
      </w:r>
    </w:p>
    <w:p w14:paraId="72BDEE59" w14:textId="2333EBA5" w:rsidR="00A523FD" w:rsidRDefault="00A523FD" w:rsidP="00A523FD">
      <w:pPr>
        <w:pStyle w:val="a7"/>
        <w:numPr>
          <w:ilvl w:val="1"/>
          <w:numId w:val="1"/>
        </w:numPr>
        <w:ind w:firstLineChars="0"/>
      </w:pPr>
      <w:r>
        <w:rPr>
          <w:rFonts w:hint="eastAsia"/>
        </w:rPr>
        <w:t>O</w:t>
      </w:r>
      <w:r>
        <w:t>verview of THACS</w:t>
      </w:r>
    </w:p>
    <w:p w14:paraId="127B2C2D" w14:textId="025E120B" w:rsidR="003E6F62" w:rsidRDefault="004C5A73" w:rsidP="003E6F62">
      <w:r>
        <w:rPr>
          <w:rFonts w:hint="eastAsia"/>
        </w:rPr>
        <w:t>The</w:t>
      </w:r>
      <w:r>
        <w:t xml:space="preserve"> </w:t>
      </w:r>
      <w:r>
        <w:rPr>
          <w:rFonts w:hint="eastAsia"/>
        </w:rPr>
        <w:t>framework</w:t>
      </w:r>
      <w:r>
        <w:t xml:space="preserve"> </w:t>
      </w:r>
      <w:r>
        <w:rPr>
          <w:rFonts w:hint="eastAsia"/>
        </w:rPr>
        <w:t>and</w:t>
      </w:r>
      <w:r>
        <w:t xml:space="preserve"> </w:t>
      </w:r>
      <w:r>
        <w:rPr>
          <w:rFonts w:hint="eastAsia"/>
        </w:rPr>
        <w:t>calculation</w:t>
      </w:r>
      <w:r>
        <w:t xml:space="preserve"> </w:t>
      </w:r>
      <w:r>
        <w:rPr>
          <w:rFonts w:hint="eastAsia"/>
        </w:rPr>
        <w:t>procedure</w:t>
      </w:r>
      <w:r>
        <w:t xml:space="preserve"> </w:t>
      </w:r>
      <w:r>
        <w:rPr>
          <w:rFonts w:hint="eastAsia"/>
        </w:rPr>
        <w:t>of</w:t>
      </w:r>
      <w:r>
        <w:t xml:space="preserve"> </w:t>
      </w:r>
      <w:r>
        <w:rPr>
          <w:rFonts w:hint="eastAsia"/>
        </w:rPr>
        <w:t>THACS</w:t>
      </w:r>
      <w:r>
        <w:t xml:space="preserve"> </w:t>
      </w:r>
      <w:r>
        <w:rPr>
          <w:rFonts w:hint="eastAsia"/>
        </w:rPr>
        <w:t>is</w:t>
      </w:r>
      <w:r>
        <w:t xml:space="preserve"> </w:t>
      </w:r>
      <w:r>
        <w:rPr>
          <w:rFonts w:hint="eastAsia"/>
        </w:rPr>
        <w:t>shown</w:t>
      </w:r>
      <w:r>
        <w:t xml:space="preserve"> </w:t>
      </w:r>
      <w:r w:rsidR="00007DB3">
        <w:t xml:space="preserve">as </w:t>
      </w:r>
      <w:r w:rsidR="00007DB3">
        <w:fldChar w:fldCharType="begin"/>
      </w:r>
      <w:r w:rsidR="00007DB3">
        <w:instrText xml:space="preserve"> REF _Ref223871295 \h </w:instrText>
      </w:r>
      <w:r w:rsidR="00007DB3">
        <w:fldChar w:fldCharType="separate"/>
      </w:r>
      <w:r w:rsidR="00B4546B">
        <w:t xml:space="preserve">Fig. </w:t>
      </w:r>
      <w:r w:rsidR="00B4546B">
        <w:rPr>
          <w:noProof/>
        </w:rPr>
        <w:t>1</w:t>
      </w:r>
      <w:r w:rsidR="00007DB3">
        <w:fldChar w:fldCharType="end"/>
      </w:r>
      <w:r>
        <w:rPr>
          <w:rFonts w:hint="eastAsia"/>
        </w:rPr>
        <w:t>,</w:t>
      </w:r>
    </w:p>
    <w:p w14:paraId="0E4110D5" w14:textId="359410AD" w:rsidR="004C5A73" w:rsidRDefault="006111D6" w:rsidP="006111D6">
      <w:pPr>
        <w:jc w:val="center"/>
      </w:pPr>
      <w:r>
        <w:rPr>
          <w:noProof/>
        </w:rPr>
        <w:drawing>
          <wp:inline distT="0" distB="0" distL="0" distR="0" wp14:anchorId="6407FD77" wp14:editId="61BD4885">
            <wp:extent cx="5274310" cy="27127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12720"/>
                    </a:xfrm>
                    <a:prstGeom prst="rect">
                      <a:avLst/>
                    </a:prstGeom>
                    <a:noFill/>
                    <a:ln>
                      <a:noFill/>
                    </a:ln>
                  </pic:spPr>
                </pic:pic>
              </a:graphicData>
            </a:graphic>
          </wp:inline>
        </w:drawing>
      </w:r>
    </w:p>
    <w:p w14:paraId="0C508814" w14:textId="7AE45041" w:rsidR="006111D6" w:rsidRDefault="006111D6" w:rsidP="006111D6">
      <w:pPr>
        <w:pStyle w:val="a8"/>
        <w:rPr>
          <w:rFonts w:hint="eastAsia"/>
        </w:rPr>
      </w:pPr>
      <w:bookmarkStart w:id="0" w:name="_Ref223871295"/>
      <w:r>
        <w:t xml:space="preserve">Fig. </w:t>
      </w:r>
      <w:fldSimple w:instr=" SEQ Fig. \* ARABIC ">
        <w:r w:rsidR="00B4546B">
          <w:rPr>
            <w:noProof/>
          </w:rPr>
          <w:t>1</w:t>
        </w:r>
      </w:fldSimple>
      <w:bookmarkEnd w:id="0"/>
      <w:r>
        <w:t xml:space="preserve"> Framework and procedure of THACS</w:t>
      </w:r>
      <w:r w:rsidR="00DD72FC">
        <w:t>.</w:t>
      </w:r>
    </w:p>
    <w:p w14:paraId="3D96022D" w14:textId="78DBFE62" w:rsidR="00DD72FC" w:rsidRDefault="00517C2B" w:rsidP="00517C2B">
      <w:r>
        <w:t xml:space="preserve">The </w:t>
      </w:r>
      <w:r>
        <w:t xml:space="preserve">key modules </w:t>
      </w:r>
      <w:r>
        <w:t>of THACS consist of core module, inter-wrapper flow module, plenum module, intermediate heat exchanger module, pipe net and pump, which</w:t>
      </w:r>
      <w:r>
        <w:t xml:space="preserve"> together simulate the coolant flow and heat transfer processes in the reactor system</w:t>
      </w:r>
      <w:r w:rsidR="00DD72FC">
        <w:t xml:space="preserve"> (see </w:t>
      </w:r>
      <w:r w:rsidR="00DD72FC">
        <w:fldChar w:fldCharType="begin"/>
      </w:r>
      <w:r w:rsidR="00DD72FC">
        <w:instrText xml:space="preserve"> REF _Ref223872212 \h </w:instrText>
      </w:r>
      <w:r w:rsidR="00DD72FC">
        <w:fldChar w:fldCharType="separate"/>
      </w:r>
      <w:r w:rsidR="00B4546B">
        <w:t xml:space="preserve">Fig. </w:t>
      </w:r>
      <w:r w:rsidR="00B4546B">
        <w:rPr>
          <w:noProof/>
        </w:rPr>
        <w:t>2</w:t>
      </w:r>
      <w:r w:rsidR="00DD72FC">
        <w:fldChar w:fldCharType="end"/>
      </w:r>
      <w:r w:rsidR="00DD72FC">
        <w:t>)</w:t>
      </w:r>
      <w:r>
        <w:t xml:space="preserve">. </w:t>
      </w:r>
    </w:p>
    <w:p w14:paraId="70184339" w14:textId="2211A3FB" w:rsidR="00DD72FC" w:rsidRDefault="00DD72FC" w:rsidP="00DD72FC">
      <w:pPr>
        <w:jc w:val="center"/>
      </w:pPr>
      <w:r>
        <w:rPr>
          <w:noProof/>
        </w:rPr>
        <w:lastRenderedPageBreak/>
        <w:drawing>
          <wp:inline distT="0" distB="0" distL="0" distR="0" wp14:anchorId="529F386F" wp14:editId="2358D5DF">
            <wp:extent cx="5093360" cy="42395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966" cy="4249236"/>
                    </a:xfrm>
                    <a:prstGeom prst="rect">
                      <a:avLst/>
                    </a:prstGeom>
                    <a:noFill/>
                  </pic:spPr>
                </pic:pic>
              </a:graphicData>
            </a:graphic>
          </wp:inline>
        </w:drawing>
      </w:r>
    </w:p>
    <w:p w14:paraId="19CC911A" w14:textId="3C5A4BEB" w:rsidR="00DD72FC" w:rsidRDefault="00DD72FC" w:rsidP="00DD72FC">
      <w:pPr>
        <w:pStyle w:val="a8"/>
        <w:rPr>
          <w:rFonts w:hint="eastAsia"/>
        </w:rPr>
      </w:pPr>
      <w:bookmarkStart w:id="1" w:name="_Ref223872212"/>
      <w:r>
        <w:t xml:space="preserve">Fig. </w:t>
      </w:r>
      <w:fldSimple w:instr=" SEQ Fig. \* ARABIC ">
        <w:r w:rsidR="00B4546B">
          <w:rPr>
            <w:noProof/>
          </w:rPr>
          <w:t>2</w:t>
        </w:r>
      </w:fldSimple>
      <w:bookmarkEnd w:id="1"/>
      <w:r>
        <w:t xml:space="preserve"> Key modules of THACS.</w:t>
      </w:r>
    </w:p>
    <w:p w14:paraId="234C7E01" w14:textId="3EDE4560" w:rsidR="00517C2B" w:rsidRDefault="00517C2B" w:rsidP="00517C2B">
      <w:r>
        <w:t>The core module adopts a multi-channel model to represent the coolant flow and heat transfer behavior in different fuel channels, allowing the program to capture the thermal–hydraulic characteristics inside the reactor core. The inter-wrapper flow module incorporates an integrated two-dimensional CFD model based on the SIMPLE algorithm, which is used to simulate the cross-flow and momentum exchange between neighboring subchannels or wrapper gaps.</w:t>
      </w:r>
      <w:r w:rsidR="00DD72FC">
        <w:t xml:space="preserve"> </w:t>
      </w:r>
      <w:r>
        <w:t>The plenum module includes a multi-grid approach combined with a junction model, as well as an integrated two-dimensional CFD model, enabling accurate prediction of flow mixing, pressure distribution, and coolant redistribution in the plenum regions. For heat transfer between primary and secondary circuits, the intermediate heat exchanger module employs a multi-layer model to simulate the radial temperature distribution and thermal coupling across different structural layers. In addition, the program contains a pipe network and pipe module to represent the coolant transport system and hydraulic connections throughout the loop, and a pump module to model the driving force of the circulation system.</w:t>
      </w:r>
    </w:p>
    <w:p w14:paraId="7DFAF90F" w14:textId="2C43297F" w:rsidR="00CA5DAD" w:rsidRDefault="00517C2B" w:rsidP="00517C2B">
      <w:r>
        <w:t>Together, these modules form a comprehensive thermal–hydraulic simulation framework capable of describing the coupled phenomena of fluid flow, heat transfer, and system circulation in the reactor cooling system.</w:t>
      </w:r>
    </w:p>
    <w:p w14:paraId="279BA51C" w14:textId="3AB5200A" w:rsidR="00B4546B" w:rsidRDefault="00B4546B" w:rsidP="00B4546B">
      <w:pPr>
        <w:pStyle w:val="a7"/>
        <w:numPr>
          <w:ilvl w:val="1"/>
          <w:numId w:val="1"/>
        </w:numPr>
        <w:ind w:firstLineChars="0"/>
      </w:pPr>
      <w:r>
        <w:rPr>
          <w:rFonts w:hint="eastAsia"/>
        </w:rPr>
        <w:t>T</w:t>
      </w:r>
      <w:r>
        <w:t>hermophysical properties of LBE</w:t>
      </w:r>
    </w:p>
    <w:p w14:paraId="519AF5A6" w14:textId="4C39DCB6" w:rsidR="00B4546B" w:rsidRDefault="00B4546B" w:rsidP="00B4546B">
      <w:pPr>
        <w:rPr>
          <w:rFonts w:hint="eastAsia"/>
        </w:rPr>
      </w:pPr>
      <w:r w:rsidRPr="00B4546B">
        <w:t>Thermo-physical properties of LBE</w:t>
      </w:r>
      <w:r>
        <w:t xml:space="preserve"> implemented in THACS are listed in </w:t>
      </w:r>
      <w:r>
        <w:fldChar w:fldCharType="begin"/>
      </w:r>
      <w:r>
        <w:instrText xml:space="preserve"> REF _Ref147777947 \h </w:instrText>
      </w:r>
      <w:r>
        <w:fldChar w:fldCharType="separate"/>
      </w:r>
      <w:r>
        <w:t xml:space="preserve">Table </w:t>
      </w:r>
      <w:r>
        <w:rPr>
          <w:noProof/>
        </w:rPr>
        <w:t>1</w:t>
      </w:r>
      <w:r>
        <w:fldChar w:fldCharType="end"/>
      </w:r>
      <w:r>
        <w:t>, which are temperature-dependent function.</w:t>
      </w:r>
    </w:p>
    <w:p w14:paraId="3DA302C0" w14:textId="1916EACB" w:rsidR="00B4546B" w:rsidRDefault="00B4546B" w:rsidP="00B4546B">
      <w:pPr>
        <w:pStyle w:val="a8"/>
      </w:pPr>
      <w:bookmarkStart w:id="2" w:name="_Ref147777947"/>
      <w:r>
        <w:t xml:space="preserve">Table </w:t>
      </w:r>
      <w:r>
        <w:fldChar w:fldCharType="begin"/>
      </w:r>
      <w:r>
        <w:instrText xml:space="preserve"> SEQ Table \* ARABIC </w:instrText>
      </w:r>
      <w:r>
        <w:fldChar w:fldCharType="separate"/>
      </w:r>
      <w:r>
        <w:rPr>
          <w:noProof/>
        </w:rPr>
        <w:t>1</w:t>
      </w:r>
      <w:r>
        <w:rPr>
          <w:noProof/>
        </w:rPr>
        <w:fldChar w:fldCharType="end"/>
      </w:r>
      <w:bookmarkEnd w:id="2"/>
      <w:r>
        <w:t xml:space="preserve"> </w:t>
      </w:r>
      <w:r w:rsidRPr="00946DE3">
        <w:t>Thermo-physical properties of LBE as a function of temperature</w:t>
      </w:r>
      <w:r>
        <w:t xml:space="preserve"> </w:t>
      </w:r>
      <w:r w:rsidRPr="00946DE3">
        <w:t>(T in Kelvin, SI Units), from OECD/NEA Handbook 2015</w:t>
      </w:r>
    </w:p>
    <w:tbl>
      <w:tblPr>
        <w:tblStyle w:val="a9"/>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985"/>
        <w:gridCol w:w="3010"/>
        <w:gridCol w:w="1056"/>
        <w:gridCol w:w="1238"/>
        <w:gridCol w:w="1017"/>
      </w:tblGrid>
      <w:tr w:rsidR="00B4546B" w:rsidRPr="00FE6C01" w14:paraId="2F7F32BD" w14:textId="77777777" w:rsidTr="00ED04A0">
        <w:tc>
          <w:tcPr>
            <w:tcW w:w="1985" w:type="dxa"/>
            <w:tcBorders>
              <w:top w:val="single" w:sz="12" w:space="0" w:color="auto"/>
              <w:bottom w:val="single" w:sz="12" w:space="0" w:color="auto"/>
            </w:tcBorders>
            <w:vAlign w:val="center"/>
          </w:tcPr>
          <w:p w14:paraId="31AD55B2" w14:textId="77777777" w:rsidR="00B4546B" w:rsidRPr="00FE6C01" w:rsidRDefault="00B4546B" w:rsidP="00B51BFB">
            <w:pPr>
              <w:pStyle w:val="aa"/>
              <w:rPr>
                <w:b/>
                <w:bCs/>
              </w:rPr>
            </w:pPr>
            <w:r w:rsidRPr="00FE6C01">
              <w:rPr>
                <w:rFonts w:hint="eastAsia"/>
                <w:b/>
                <w:bCs/>
              </w:rPr>
              <w:lastRenderedPageBreak/>
              <w:t>P</w:t>
            </w:r>
            <w:r w:rsidRPr="00FE6C01">
              <w:rPr>
                <w:b/>
                <w:bCs/>
              </w:rPr>
              <w:t>roperty</w:t>
            </w:r>
          </w:p>
        </w:tc>
        <w:tc>
          <w:tcPr>
            <w:tcW w:w="3010" w:type="dxa"/>
            <w:tcBorders>
              <w:top w:val="single" w:sz="12" w:space="0" w:color="auto"/>
              <w:bottom w:val="single" w:sz="12" w:space="0" w:color="auto"/>
            </w:tcBorders>
            <w:vAlign w:val="center"/>
          </w:tcPr>
          <w:p w14:paraId="61BD4E40" w14:textId="77777777" w:rsidR="00B4546B" w:rsidRPr="00FE6C01" w:rsidRDefault="00B4546B" w:rsidP="00B51BFB">
            <w:pPr>
              <w:pStyle w:val="aa"/>
              <w:rPr>
                <w:b/>
                <w:bCs/>
              </w:rPr>
            </w:pPr>
            <w:r w:rsidRPr="00FE6C01">
              <w:rPr>
                <w:rFonts w:hint="eastAsia"/>
                <w:b/>
                <w:bCs/>
              </w:rPr>
              <w:t>C</w:t>
            </w:r>
            <w:r w:rsidRPr="00FE6C01">
              <w:rPr>
                <w:b/>
                <w:bCs/>
              </w:rPr>
              <w:t>orrelation</w:t>
            </w:r>
          </w:p>
        </w:tc>
        <w:tc>
          <w:tcPr>
            <w:tcW w:w="1056" w:type="dxa"/>
            <w:tcBorders>
              <w:top w:val="single" w:sz="12" w:space="0" w:color="auto"/>
              <w:bottom w:val="single" w:sz="12" w:space="0" w:color="auto"/>
            </w:tcBorders>
            <w:vAlign w:val="center"/>
          </w:tcPr>
          <w:p w14:paraId="366FDD1E" w14:textId="77777777" w:rsidR="00B4546B" w:rsidRPr="00FE6C01" w:rsidRDefault="00B4546B" w:rsidP="00B51BFB">
            <w:pPr>
              <w:pStyle w:val="aa"/>
              <w:rPr>
                <w:b/>
                <w:bCs/>
              </w:rPr>
            </w:pPr>
            <w:r w:rsidRPr="00FE6C01">
              <w:rPr>
                <w:rFonts w:hint="eastAsia"/>
                <w:b/>
                <w:bCs/>
              </w:rPr>
              <w:t>U</w:t>
            </w:r>
            <w:r w:rsidRPr="00FE6C01">
              <w:rPr>
                <w:b/>
                <w:bCs/>
              </w:rPr>
              <w:t>nits</w:t>
            </w:r>
          </w:p>
        </w:tc>
        <w:tc>
          <w:tcPr>
            <w:tcW w:w="1238" w:type="dxa"/>
            <w:tcBorders>
              <w:top w:val="single" w:sz="12" w:space="0" w:color="auto"/>
              <w:bottom w:val="single" w:sz="12" w:space="0" w:color="auto"/>
            </w:tcBorders>
            <w:vAlign w:val="center"/>
          </w:tcPr>
          <w:p w14:paraId="7C82A901" w14:textId="77777777" w:rsidR="00B4546B" w:rsidRPr="00FE6C01" w:rsidRDefault="00B4546B" w:rsidP="00B51BFB">
            <w:pPr>
              <w:pStyle w:val="aa"/>
              <w:rPr>
                <w:b/>
                <w:bCs/>
              </w:rPr>
            </w:pPr>
            <w:r>
              <w:rPr>
                <w:rFonts w:hint="eastAsia"/>
                <w:b/>
                <w:bCs/>
              </w:rPr>
              <w:t>M</w:t>
            </w:r>
            <w:r>
              <w:rPr>
                <w:b/>
                <w:bCs/>
              </w:rPr>
              <w:t>aximum Uncertainty</w:t>
            </w:r>
          </w:p>
        </w:tc>
        <w:tc>
          <w:tcPr>
            <w:tcW w:w="1017" w:type="dxa"/>
            <w:tcBorders>
              <w:top w:val="single" w:sz="12" w:space="0" w:color="auto"/>
              <w:bottom w:val="single" w:sz="12" w:space="0" w:color="auto"/>
            </w:tcBorders>
            <w:vAlign w:val="center"/>
          </w:tcPr>
          <w:p w14:paraId="3B9A74CA" w14:textId="77777777" w:rsidR="00B4546B" w:rsidRPr="00FE6C01" w:rsidRDefault="00B4546B" w:rsidP="00B51BFB">
            <w:pPr>
              <w:pStyle w:val="aa"/>
              <w:rPr>
                <w:b/>
                <w:bCs/>
              </w:rPr>
            </w:pPr>
            <w:r w:rsidRPr="00FE6C01">
              <w:rPr>
                <w:rFonts w:hint="eastAsia"/>
                <w:b/>
                <w:bCs/>
              </w:rPr>
              <w:t>S</w:t>
            </w:r>
            <w:r w:rsidRPr="00FE6C01">
              <w:rPr>
                <w:b/>
                <w:bCs/>
              </w:rPr>
              <w:t>tandard deviation</w:t>
            </w:r>
          </w:p>
        </w:tc>
      </w:tr>
      <w:tr w:rsidR="00B4546B" w:rsidRPr="00FE6C01" w14:paraId="48A9A6B4" w14:textId="77777777" w:rsidTr="00ED04A0">
        <w:tc>
          <w:tcPr>
            <w:tcW w:w="1985" w:type="dxa"/>
            <w:tcBorders>
              <w:top w:val="single" w:sz="12" w:space="0" w:color="auto"/>
            </w:tcBorders>
            <w:vAlign w:val="center"/>
          </w:tcPr>
          <w:p w14:paraId="3DCA4FD5" w14:textId="1B1BECDC" w:rsidR="00B4546B" w:rsidRPr="00FE6C01" w:rsidRDefault="00B4546B" w:rsidP="00B51BFB">
            <w:pPr>
              <w:pStyle w:val="aa"/>
              <w:jc w:val="left"/>
            </w:pPr>
            <w:r w:rsidRPr="00CC5214">
              <w:t>Density</w:t>
            </w:r>
          </w:p>
        </w:tc>
        <w:tc>
          <w:tcPr>
            <w:tcW w:w="3010" w:type="dxa"/>
            <w:tcBorders>
              <w:top w:val="single" w:sz="12" w:space="0" w:color="auto"/>
            </w:tcBorders>
            <w:vAlign w:val="center"/>
          </w:tcPr>
          <w:p w14:paraId="156569AF" w14:textId="6256208F" w:rsidR="00B4546B" w:rsidRPr="00FE6C01" w:rsidRDefault="00F0490C" w:rsidP="00B51BFB">
            <w:pPr>
              <w:pStyle w:val="aa"/>
            </w:pPr>
            <w:r w:rsidRPr="005436B1">
              <w:rPr>
                <w:position w:val="-6"/>
              </w:rPr>
              <w:object w:dxaOrig="1620" w:dyaOrig="279" w14:anchorId="3BD41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56" type="#_x0000_t75" style="width:87pt;height:9pt" o:ole="">
                  <v:imagedata r:id="rId10" o:title=""/>
                </v:shape>
                <o:OLEObject Type="Embed" ProgID="Equation.DSMT4" ShapeID="_x0000_i4556" DrawAspect="Content" ObjectID="_1834491617" r:id="rId11"/>
              </w:object>
            </w:r>
          </w:p>
        </w:tc>
        <w:tc>
          <w:tcPr>
            <w:tcW w:w="1056" w:type="dxa"/>
            <w:tcBorders>
              <w:top w:val="single" w:sz="12" w:space="0" w:color="auto"/>
            </w:tcBorders>
            <w:vAlign w:val="center"/>
          </w:tcPr>
          <w:p w14:paraId="6E94271A" w14:textId="77777777" w:rsidR="00B4546B" w:rsidRPr="00FE6C01" w:rsidRDefault="00B4546B" w:rsidP="00B51BFB">
            <w:pPr>
              <w:pStyle w:val="aa"/>
            </w:pPr>
            <w:r w:rsidRPr="00B91CE7">
              <w:rPr>
                <w:position w:val="-10"/>
                <w:sz w:val="22"/>
              </w:rPr>
              <w:object w:dxaOrig="740" w:dyaOrig="360" w14:anchorId="5210A0BD">
                <v:shape id="_x0000_i4557" type="#_x0000_t75" style="width:24pt;height:12pt" o:ole="">
                  <v:imagedata r:id="rId12" o:title=""/>
                </v:shape>
                <o:OLEObject Type="Embed" ProgID="Equation.DSMT4" ShapeID="_x0000_i4557" DrawAspect="Content" ObjectID="_1834491618" r:id="rId13"/>
              </w:object>
            </w:r>
          </w:p>
        </w:tc>
        <w:tc>
          <w:tcPr>
            <w:tcW w:w="1238" w:type="dxa"/>
            <w:tcBorders>
              <w:top w:val="single" w:sz="12" w:space="0" w:color="auto"/>
            </w:tcBorders>
            <w:vAlign w:val="center"/>
          </w:tcPr>
          <w:p w14:paraId="44AD0A0E" w14:textId="77777777" w:rsidR="00B4546B" w:rsidRPr="00FE6C01" w:rsidRDefault="00B4546B" w:rsidP="00B51BFB">
            <w:pPr>
              <w:pStyle w:val="aa"/>
            </w:pPr>
            <w:bookmarkStart w:id="3" w:name="OLE_LINK4"/>
            <w:r>
              <w:rPr>
                <w:rFonts w:hint="eastAsia"/>
              </w:rPr>
              <w:t>≤</w:t>
            </w:r>
            <w:bookmarkEnd w:id="3"/>
            <w:r>
              <w:rPr>
                <w:rFonts w:hint="eastAsia"/>
              </w:rPr>
              <w:t>0</w:t>
            </w:r>
            <w:r>
              <w:t>.8%</w:t>
            </w:r>
          </w:p>
        </w:tc>
        <w:tc>
          <w:tcPr>
            <w:tcW w:w="1017" w:type="dxa"/>
            <w:tcBorders>
              <w:top w:val="single" w:sz="4" w:space="0" w:color="auto"/>
            </w:tcBorders>
            <w:vAlign w:val="center"/>
          </w:tcPr>
          <w:p w14:paraId="3D678D6F" w14:textId="77777777" w:rsidR="00B4546B" w:rsidRPr="00DD5356" w:rsidRDefault="00B4546B" w:rsidP="00B51BFB">
            <w:pPr>
              <w:pStyle w:val="aa"/>
            </w:pPr>
            <w:r w:rsidRPr="00DD5356">
              <w:rPr>
                <w:rFonts w:hint="eastAsia"/>
              </w:rPr>
              <w:t>0</w:t>
            </w:r>
            <w:r w:rsidRPr="00DD5356">
              <w:t>.58%</w:t>
            </w:r>
          </w:p>
        </w:tc>
      </w:tr>
      <w:tr w:rsidR="00B4546B" w:rsidRPr="00FE6C01" w14:paraId="73C4FB89" w14:textId="77777777" w:rsidTr="00ED04A0">
        <w:tc>
          <w:tcPr>
            <w:tcW w:w="1985" w:type="dxa"/>
            <w:vAlign w:val="center"/>
          </w:tcPr>
          <w:p w14:paraId="2F6D16E4" w14:textId="195A7291" w:rsidR="00B4546B" w:rsidRPr="00CC5214" w:rsidRDefault="00B4546B" w:rsidP="00B51BFB">
            <w:pPr>
              <w:jc w:val="left"/>
            </w:pPr>
            <w:r w:rsidRPr="00CC5214">
              <w:t>Specific heat capacity</w:t>
            </w:r>
          </w:p>
        </w:tc>
        <w:tc>
          <w:tcPr>
            <w:tcW w:w="3010" w:type="dxa"/>
            <w:vAlign w:val="center"/>
          </w:tcPr>
          <w:p w14:paraId="0713F7F5" w14:textId="77777777" w:rsidR="00B4546B" w:rsidRPr="00FE6C01" w:rsidRDefault="00B4546B" w:rsidP="00B51BFB">
            <w:pPr>
              <w:pStyle w:val="aa"/>
            </w:pPr>
            <w:r w:rsidRPr="005436B1">
              <w:rPr>
                <w:position w:val="-6"/>
              </w:rPr>
              <w:object w:dxaOrig="4940" w:dyaOrig="320" w14:anchorId="2B7154AC">
                <v:shape id="_x0000_i4558" type="#_x0000_t75" style="width:150pt;height:12pt" o:ole="">
                  <v:imagedata r:id="rId14" o:title=""/>
                </v:shape>
                <o:OLEObject Type="Embed" ProgID="Equation.DSMT4" ShapeID="_x0000_i4558" DrawAspect="Content" ObjectID="_1834491619" r:id="rId15"/>
              </w:object>
            </w:r>
          </w:p>
        </w:tc>
        <w:tc>
          <w:tcPr>
            <w:tcW w:w="1056" w:type="dxa"/>
            <w:vAlign w:val="center"/>
          </w:tcPr>
          <w:p w14:paraId="241C1E4A" w14:textId="77777777" w:rsidR="00B4546B" w:rsidRPr="00FE6C01" w:rsidRDefault="00B4546B" w:rsidP="00B51BFB">
            <w:pPr>
              <w:pStyle w:val="aa"/>
            </w:pPr>
            <w:r w:rsidRPr="00B91CE7">
              <w:rPr>
                <w:position w:val="-10"/>
                <w:sz w:val="22"/>
              </w:rPr>
              <w:object w:dxaOrig="1040" w:dyaOrig="320" w14:anchorId="35CA1B09">
                <v:shape id="_x0000_i4559" type="#_x0000_t75" style="width:42pt;height:12pt" o:ole="">
                  <v:imagedata r:id="rId16" o:title=""/>
                </v:shape>
                <o:OLEObject Type="Embed" ProgID="Equation.DSMT4" ShapeID="_x0000_i4559" DrawAspect="Content" ObjectID="_1834491620" r:id="rId17"/>
              </w:object>
            </w:r>
          </w:p>
        </w:tc>
        <w:tc>
          <w:tcPr>
            <w:tcW w:w="1238" w:type="dxa"/>
            <w:vAlign w:val="center"/>
          </w:tcPr>
          <w:p w14:paraId="65C2BDC5" w14:textId="77777777" w:rsidR="00B4546B" w:rsidRPr="00FE6C01" w:rsidRDefault="00B4546B" w:rsidP="00B51BFB">
            <w:pPr>
              <w:pStyle w:val="aa"/>
            </w:pPr>
            <w:r>
              <w:rPr>
                <w:rFonts w:hint="eastAsia"/>
              </w:rPr>
              <w:t>≤</w:t>
            </w:r>
            <w:r>
              <w:rPr>
                <w:rFonts w:hint="eastAsia"/>
              </w:rPr>
              <w:t>5</w:t>
            </w:r>
            <w:r>
              <w:t>.0%</w:t>
            </w:r>
          </w:p>
        </w:tc>
        <w:tc>
          <w:tcPr>
            <w:tcW w:w="1017" w:type="dxa"/>
            <w:vAlign w:val="center"/>
          </w:tcPr>
          <w:p w14:paraId="7AF713F1" w14:textId="77777777" w:rsidR="00B4546B" w:rsidRPr="00DD5356" w:rsidRDefault="00B4546B" w:rsidP="00B51BFB">
            <w:pPr>
              <w:pStyle w:val="aa"/>
            </w:pPr>
            <w:r w:rsidRPr="00DD5356">
              <w:rPr>
                <w:rFonts w:hint="eastAsia"/>
              </w:rPr>
              <w:t>2</w:t>
            </w:r>
            <w:r w:rsidRPr="00DD5356">
              <w:t>.4%</w:t>
            </w:r>
          </w:p>
        </w:tc>
      </w:tr>
      <w:tr w:rsidR="00B4546B" w:rsidRPr="00FE6C01" w14:paraId="35DAD377" w14:textId="77777777" w:rsidTr="00ED04A0">
        <w:tc>
          <w:tcPr>
            <w:tcW w:w="1985" w:type="dxa"/>
            <w:vAlign w:val="center"/>
          </w:tcPr>
          <w:p w14:paraId="66F2A1B1" w14:textId="3DE9D275" w:rsidR="00B4546B" w:rsidRPr="00FE6C01" w:rsidRDefault="00B4546B" w:rsidP="00B51BFB">
            <w:pPr>
              <w:pStyle w:val="aa"/>
              <w:jc w:val="left"/>
            </w:pPr>
            <w:r w:rsidRPr="00CC5214">
              <w:t>Dynamic viscosity</w:t>
            </w:r>
          </w:p>
        </w:tc>
        <w:tc>
          <w:tcPr>
            <w:tcW w:w="3010" w:type="dxa"/>
            <w:vAlign w:val="center"/>
          </w:tcPr>
          <w:p w14:paraId="0531E4F0" w14:textId="70ADE5FD" w:rsidR="00B4546B" w:rsidRPr="00FE6C01" w:rsidRDefault="00F0490C" w:rsidP="00B51BFB">
            <w:pPr>
              <w:pStyle w:val="aa"/>
            </w:pPr>
            <w:r w:rsidRPr="00524075">
              <w:rPr>
                <w:position w:val="-28"/>
              </w:rPr>
              <w:object w:dxaOrig="2200" w:dyaOrig="680" w14:anchorId="1D2E0E9A">
                <v:shape id="_x0000_i4560" type="#_x0000_t75" style="width:92.25pt;height:27.75pt" o:ole="">
                  <v:imagedata r:id="rId18" o:title=""/>
                </v:shape>
                <o:OLEObject Type="Embed" ProgID="Equation.DSMT4" ShapeID="_x0000_i4560" DrawAspect="Content" ObjectID="_1834491621" r:id="rId19"/>
              </w:object>
            </w:r>
          </w:p>
        </w:tc>
        <w:tc>
          <w:tcPr>
            <w:tcW w:w="1056" w:type="dxa"/>
            <w:vAlign w:val="center"/>
          </w:tcPr>
          <w:p w14:paraId="6628724C" w14:textId="77777777" w:rsidR="00B4546B" w:rsidRPr="00FE6C01" w:rsidRDefault="00B4546B" w:rsidP="00B51BFB">
            <w:pPr>
              <w:pStyle w:val="aa"/>
            </w:pPr>
            <w:r w:rsidRPr="00B91CE7">
              <w:rPr>
                <w:position w:val="-6"/>
                <w:sz w:val="22"/>
              </w:rPr>
              <w:object w:dxaOrig="540" w:dyaOrig="279" w14:anchorId="0AF2F015">
                <v:shape id="_x0000_i4561" type="#_x0000_t75" style="width:24pt;height:12pt" o:ole="">
                  <v:imagedata r:id="rId20" o:title=""/>
                </v:shape>
                <o:OLEObject Type="Embed" ProgID="Equation.DSMT4" ShapeID="_x0000_i4561" DrawAspect="Content" ObjectID="_1834491622" r:id="rId21"/>
              </w:object>
            </w:r>
          </w:p>
        </w:tc>
        <w:tc>
          <w:tcPr>
            <w:tcW w:w="1238" w:type="dxa"/>
            <w:vAlign w:val="center"/>
          </w:tcPr>
          <w:p w14:paraId="38B5C6C5" w14:textId="77777777" w:rsidR="00B4546B" w:rsidRPr="00FE6C01" w:rsidRDefault="00B4546B" w:rsidP="00B51BFB">
            <w:pPr>
              <w:pStyle w:val="aa"/>
            </w:pPr>
            <w:r>
              <w:rPr>
                <w:rFonts w:hint="eastAsia"/>
              </w:rPr>
              <w:t>≤</w:t>
            </w:r>
            <w:r>
              <w:rPr>
                <w:rFonts w:hint="eastAsia"/>
              </w:rPr>
              <w:t>6</w:t>
            </w:r>
            <w:r>
              <w:t>.0%-8.0%</w:t>
            </w:r>
          </w:p>
        </w:tc>
        <w:tc>
          <w:tcPr>
            <w:tcW w:w="1017" w:type="dxa"/>
            <w:vAlign w:val="center"/>
          </w:tcPr>
          <w:p w14:paraId="30974264" w14:textId="77777777" w:rsidR="00B4546B" w:rsidRPr="00DD5356" w:rsidRDefault="00B4546B" w:rsidP="00B51BFB">
            <w:pPr>
              <w:pStyle w:val="aa"/>
            </w:pPr>
            <w:r w:rsidRPr="00DD5356">
              <w:rPr>
                <w:rFonts w:hint="eastAsia"/>
              </w:rPr>
              <w:t>7</w:t>
            </w:r>
            <w:r w:rsidRPr="00DD5356">
              <w:t>.2%</w:t>
            </w:r>
          </w:p>
        </w:tc>
      </w:tr>
      <w:tr w:rsidR="00B4546B" w:rsidRPr="00FE6C01" w14:paraId="493F331D" w14:textId="77777777" w:rsidTr="00ED04A0">
        <w:tc>
          <w:tcPr>
            <w:tcW w:w="1985" w:type="dxa"/>
            <w:vAlign w:val="center"/>
          </w:tcPr>
          <w:p w14:paraId="26EF4D9B" w14:textId="0AD5877F" w:rsidR="00B4546B" w:rsidRPr="00FE6C01" w:rsidRDefault="00B4546B" w:rsidP="00B51BFB">
            <w:pPr>
              <w:pStyle w:val="aa"/>
              <w:jc w:val="left"/>
            </w:pPr>
            <w:r w:rsidRPr="00CC5214">
              <w:t>Thermal conductivity</w:t>
            </w:r>
          </w:p>
        </w:tc>
        <w:tc>
          <w:tcPr>
            <w:tcW w:w="3010" w:type="dxa"/>
            <w:vAlign w:val="center"/>
          </w:tcPr>
          <w:p w14:paraId="4580F0D3" w14:textId="77777777" w:rsidR="00B4546B" w:rsidRPr="00FE6C01" w:rsidRDefault="00B4546B" w:rsidP="00B51BFB">
            <w:pPr>
              <w:pStyle w:val="aa"/>
            </w:pPr>
            <w:r w:rsidRPr="00524075">
              <w:rPr>
                <w:position w:val="-6"/>
              </w:rPr>
              <w:object w:dxaOrig="3720" w:dyaOrig="320" w14:anchorId="4E0E2172">
                <v:shape id="_x0000_i4562" type="#_x0000_t75" style="width:120pt;height:12pt" o:ole="">
                  <v:imagedata r:id="rId22" o:title=""/>
                </v:shape>
                <o:OLEObject Type="Embed" ProgID="Equation.DSMT4" ShapeID="_x0000_i4562" DrawAspect="Content" ObjectID="_1834491623" r:id="rId23"/>
              </w:object>
            </w:r>
          </w:p>
        </w:tc>
        <w:tc>
          <w:tcPr>
            <w:tcW w:w="1056" w:type="dxa"/>
            <w:vAlign w:val="center"/>
          </w:tcPr>
          <w:p w14:paraId="7EA3AD5C" w14:textId="77777777" w:rsidR="00B4546B" w:rsidRPr="00FE6C01" w:rsidRDefault="00B4546B" w:rsidP="00B51BFB">
            <w:pPr>
              <w:pStyle w:val="aa"/>
            </w:pPr>
            <w:r w:rsidRPr="00B91CE7">
              <w:rPr>
                <w:position w:val="-14"/>
                <w:sz w:val="22"/>
              </w:rPr>
              <w:object w:dxaOrig="1140" w:dyaOrig="400" w14:anchorId="0F25F134">
                <v:shape id="_x0000_i4563" type="#_x0000_t75" style="width:42pt;height:12pt" o:ole="">
                  <v:imagedata r:id="rId24" o:title=""/>
                </v:shape>
                <o:OLEObject Type="Embed" ProgID="Equation.DSMT4" ShapeID="_x0000_i4563" DrawAspect="Content" ObjectID="_1834491624" r:id="rId25"/>
              </w:object>
            </w:r>
          </w:p>
        </w:tc>
        <w:tc>
          <w:tcPr>
            <w:tcW w:w="1238" w:type="dxa"/>
            <w:vAlign w:val="center"/>
          </w:tcPr>
          <w:p w14:paraId="683E9309" w14:textId="77777777" w:rsidR="00B4546B" w:rsidRPr="00FE6C01" w:rsidRDefault="00B4546B" w:rsidP="00B51BFB">
            <w:pPr>
              <w:pStyle w:val="aa"/>
            </w:pPr>
            <w:r>
              <w:rPr>
                <w:rFonts w:hint="eastAsia"/>
              </w:rPr>
              <w:t>≤</w:t>
            </w:r>
            <w:r>
              <w:rPr>
                <w:rFonts w:hint="eastAsia"/>
              </w:rPr>
              <w:t>1</w:t>
            </w:r>
            <w:r>
              <w:t>0.0%-15.0%</w:t>
            </w:r>
          </w:p>
        </w:tc>
        <w:tc>
          <w:tcPr>
            <w:tcW w:w="1017" w:type="dxa"/>
            <w:vAlign w:val="center"/>
          </w:tcPr>
          <w:p w14:paraId="439BC0C6" w14:textId="77777777" w:rsidR="00B4546B" w:rsidRPr="00DD5356" w:rsidRDefault="00B4546B" w:rsidP="00B51BFB">
            <w:pPr>
              <w:pStyle w:val="aa"/>
            </w:pPr>
            <w:r w:rsidRPr="00DD5356">
              <w:rPr>
                <w:rFonts w:hint="eastAsia"/>
              </w:rPr>
              <w:t>6</w:t>
            </w:r>
            <w:r w:rsidRPr="00DD5356">
              <w:t>.2%</w:t>
            </w:r>
          </w:p>
        </w:tc>
      </w:tr>
    </w:tbl>
    <w:p w14:paraId="133D6296" w14:textId="77777777" w:rsidR="00B4546B" w:rsidRDefault="00B4546B" w:rsidP="00517C2B">
      <w:pPr>
        <w:rPr>
          <w:rFonts w:hint="eastAsia"/>
        </w:rPr>
      </w:pPr>
    </w:p>
    <w:p w14:paraId="0F5461B3" w14:textId="0EA69359" w:rsidR="006A6704" w:rsidRDefault="006A6704" w:rsidP="006A6704">
      <w:pPr>
        <w:pStyle w:val="a7"/>
        <w:numPr>
          <w:ilvl w:val="1"/>
          <w:numId w:val="1"/>
        </w:numPr>
        <w:ind w:firstLineChars="0"/>
      </w:pPr>
      <w:r w:rsidRPr="006A6704">
        <w:t>Heat conduction in a fuel rod</w:t>
      </w:r>
    </w:p>
    <w:p w14:paraId="276F70BC" w14:textId="1698607D" w:rsidR="006A6704" w:rsidRDefault="00710011" w:rsidP="00710011">
      <w:r>
        <w:t>The heat conduction model is based on the assumption that the</w:t>
      </w:r>
      <w:r>
        <w:t xml:space="preserve"> </w:t>
      </w:r>
      <w:r>
        <w:t>axial heat conduction is neglected. And the heat conduction in a</w:t>
      </w:r>
      <w:r>
        <w:t xml:space="preserve"> </w:t>
      </w:r>
      <w:r>
        <w:t>fuel rod could be described by the following equations:</w:t>
      </w:r>
    </w:p>
    <w:p w14:paraId="6EBA5B79" w14:textId="4F60A563" w:rsidR="00710011" w:rsidRDefault="0079313D" w:rsidP="0079313D">
      <w:pPr>
        <w:pStyle w:val="MTDisplayEquation"/>
      </w:pPr>
      <w:r>
        <w:tab/>
      </w:r>
      <w:r w:rsidRPr="0079313D">
        <w:rPr>
          <w:position w:val="-68"/>
        </w:rPr>
        <w:object w:dxaOrig="4340" w:dyaOrig="1480" w14:anchorId="2F6BFEB1">
          <v:shape id="_x0000_i1079" type="#_x0000_t75" style="width:216.75pt;height:74.25pt" o:ole="">
            <v:imagedata r:id="rId26" o:title=""/>
          </v:shape>
          <o:OLEObject Type="Embed" ProgID="Equation.DSMT4" ShapeID="_x0000_i1079" DrawAspect="Content" ObjectID="_1834491625"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1</w:instrText>
        </w:r>
      </w:fldSimple>
      <w:r>
        <w:instrText>)</w:instrText>
      </w:r>
      <w:r>
        <w:fldChar w:fldCharType="end"/>
      </w:r>
    </w:p>
    <w:p w14:paraId="7AEC91E2" w14:textId="36DE768B" w:rsidR="00710011" w:rsidRDefault="00710011" w:rsidP="00710011">
      <w:r>
        <w:t>where the subscripts f and c represent the fuel pin and the cladding,</w:t>
      </w:r>
      <w:r>
        <w:t xml:space="preserve"> </w:t>
      </w:r>
      <w:r>
        <w:t>respectively. The gas heat conduction and radiation heat transfer</w:t>
      </w:r>
      <w:r>
        <w:t xml:space="preserve"> </w:t>
      </w:r>
      <w:r>
        <w:t>are considered to calculate the heat transfer of the gap between</w:t>
      </w:r>
      <w:r>
        <w:t xml:space="preserve"> </w:t>
      </w:r>
      <w:r>
        <w:t>the fuel pin and the fuel cladding. And the heat transfer boundary</w:t>
      </w:r>
      <w:r>
        <w:t xml:space="preserve"> </w:t>
      </w:r>
      <w:r>
        <w:t xml:space="preserve">of the inner surface of the fuel rod is the </w:t>
      </w:r>
      <w:proofErr w:type="gramStart"/>
      <w:r>
        <w:t>zero flux</w:t>
      </w:r>
      <w:proofErr w:type="gramEnd"/>
      <w:r>
        <w:t xml:space="preserve"> condition and</w:t>
      </w:r>
      <w:r>
        <w:t xml:space="preserve"> </w:t>
      </w:r>
      <w:r>
        <w:t>the heat transfer boundary of the rod surface is the heat convection</w:t>
      </w:r>
      <w:r>
        <w:t xml:space="preserve"> </w:t>
      </w:r>
      <w:r>
        <w:t>condition between the cladding and the sodium.</w:t>
      </w:r>
    </w:p>
    <w:p w14:paraId="0F7678DB" w14:textId="0A9D6169" w:rsidR="00A16C58" w:rsidRDefault="00A16C58" w:rsidP="00A16C58">
      <w:pPr>
        <w:pStyle w:val="a7"/>
        <w:numPr>
          <w:ilvl w:val="1"/>
          <w:numId w:val="1"/>
        </w:numPr>
        <w:ind w:firstLineChars="0"/>
      </w:pPr>
      <w:r>
        <w:t xml:space="preserve">LBE </w:t>
      </w:r>
      <w:r w:rsidRPr="00A16C58">
        <w:t>flow and heat transfer</w:t>
      </w:r>
    </w:p>
    <w:p w14:paraId="52AEC1C0" w14:textId="3799CCC2" w:rsidR="00A16C58" w:rsidRDefault="00A16C58" w:rsidP="00A16C58">
      <w:r w:rsidRPr="00A16C58">
        <w:t>Basic laws of conservation of mass, energy and momentum for sodium flow in one dimension through a constant area are:</w:t>
      </w:r>
    </w:p>
    <w:p w14:paraId="225100AD" w14:textId="17113BFB" w:rsidR="0071269E" w:rsidRDefault="0071269E" w:rsidP="0071269E">
      <w:pPr>
        <w:pStyle w:val="MTDisplayEquation"/>
      </w:pPr>
      <w:r>
        <w:tab/>
      </w:r>
      <w:r w:rsidRPr="0071269E">
        <w:rPr>
          <w:position w:val="-96"/>
        </w:rPr>
        <w:object w:dxaOrig="7320" w:dyaOrig="2040" w14:anchorId="099380B1">
          <v:shape id="_x0000_i1157" type="#_x0000_t75" style="width:366pt;height:102pt" o:ole="">
            <v:imagedata r:id="rId28" o:title=""/>
          </v:shape>
          <o:OLEObject Type="Embed" ProgID="Equation.DSMT4" ShapeID="_x0000_i1157" DrawAspect="Content" ObjectID="_1834491626"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2</w:instrText>
        </w:r>
      </w:fldSimple>
      <w:r>
        <w:instrText>)</w:instrText>
      </w:r>
      <w:r>
        <w:fldChar w:fldCharType="end"/>
      </w:r>
    </w:p>
    <w:p w14:paraId="1C263B7D" w14:textId="2849F070" w:rsidR="00A16C58" w:rsidRDefault="0071269E" w:rsidP="00A16C58">
      <w:r w:rsidRPr="0071269E">
        <w:t>Staggered spatial mesh is applied, where scalar properties (pressure, energies, and void fraction) of the flow are defined at the cell centers, and vector quantities (velocities) are defined on the cell boundaries.</w:t>
      </w:r>
    </w:p>
    <w:p w14:paraId="44AFD34C" w14:textId="086DE7F5" w:rsidR="0071269E" w:rsidRDefault="0071269E" w:rsidP="0071269E">
      <w:pPr>
        <w:pStyle w:val="a7"/>
        <w:numPr>
          <w:ilvl w:val="1"/>
          <w:numId w:val="1"/>
        </w:numPr>
        <w:ind w:firstLineChars="0"/>
      </w:pPr>
      <w:r>
        <w:rPr>
          <w:rFonts w:hint="eastAsia"/>
        </w:rPr>
        <w:t>M</w:t>
      </w:r>
      <w:r>
        <w:t>ain pump model</w:t>
      </w:r>
    </w:p>
    <w:p w14:paraId="37DC7909" w14:textId="33CA7FF3" w:rsidR="00746C19" w:rsidRDefault="00746C19" w:rsidP="00746C19">
      <w:r>
        <w:t xml:space="preserve">Three identical centrifugal pumps are applied as main pumps. The characteristic of a pump is generally described by empirically developed sets of curves related to the pump head </w:t>
      </w:r>
      <w:r w:rsidRPr="00746C19">
        <w:rPr>
          <w:position w:val="-4"/>
        </w:rPr>
        <w:object w:dxaOrig="279" w:dyaOrig="260" w14:anchorId="174DE599">
          <v:shape id="_x0000_i1160" type="#_x0000_t75" style="width:14.25pt;height:12.75pt" o:ole="">
            <v:imagedata r:id="rId30" o:title=""/>
          </v:shape>
          <o:OLEObject Type="Embed" ProgID="Equation.DSMT4" ShapeID="_x0000_i1160" DrawAspect="Content" ObjectID="_1834491627" r:id="rId31"/>
        </w:object>
      </w:r>
      <w:r>
        <w:t xml:space="preserve"> </w:t>
      </w:r>
      <w:r>
        <w:t xml:space="preserve">and the hydraulic torque </w:t>
      </w:r>
      <w:r w:rsidRPr="00746C19">
        <w:rPr>
          <w:position w:val="-14"/>
        </w:rPr>
        <w:object w:dxaOrig="320" w:dyaOrig="380" w14:anchorId="1183181E">
          <v:shape id="_x0000_i1163" type="#_x0000_t75" style="width:15.75pt;height:18.75pt" o:ole="">
            <v:imagedata r:id="rId32" o:title=""/>
          </v:shape>
          <o:OLEObject Type="Embed" ProgID="Equation.DSMT4" ShapeID="_x0000_i1163" DrawAspect="Content" ObjectID="_1834491628" r:id="rId33"/>
        </w:object>
      </w:r>
      <w:r>
        <w:t xml:space="preserve"> </w:t>
      </w:r>
      <w:r>
        <w:t xml:space="preserve">to the volumetric flow rate </w:t>
      </w:r>
      <w:r w:rsidRPr="00746C19">
        <w:rPr>
          <w:position w:val="-10"/>
        </w:rPr>
        <w:object w:dxaOrig="240" w:dyaOrig="320" w14:anchorId="3F1E9A15">
          <v:shape id="_x0000_i1166" type="#_x0000_t75" style="width:12pt;height:15.75pt" o:ole="">
            <v:imagedata r:id="rId34" o:title=""/>
          </v:shape>
          <o:OLEObject Type="Embed" ProgID="Equation.DSMT4" ShapeID="_x0000_i1166" DrawAspect="Content" ObjectID="_1834491629" r:id="rId35"/>
        </w:object>
      </w:r>
      <w:r>
        <w:t xml:space="preserve"> and the pump impeller speed ω and these </w:t>
      </w:r>
      <w:r>
        <w:lastRenderedPageBreak/>
        <w:t xml:space="preserve">curves are known as four quadrant curves, which are generally supplied by the pump manufacturers. Four quadrant curves model are applied in THACS, and </w:t>
      </w:r>
      <w:r w:rsidRPr="00746C19">
        <w:rPr>
          <w:position w:val="-4"/>
        </w:rPr>
        <w:object w:dxaOrig="279" w:dyaOrig="260" w14:anchorId="1E2D04FF">
          <v:shape id="_x0000_i1167" type="#_x0000_t75" style="width:14.25pt;height:12.75pt" o:ole="">
            <v:imagedata r:id="rId30" o:title=""/>
          </v:shape>
          <o:OLEObject Type="Embed" ProgID="Equation.DSMT4" ShapeID="_x0000_i1167" DrawAspect="Content" ObjectID="_1834491630" r:id="rId36"/>
        </w:object>
      </w:r>
      <w:r>
        <w:t xml:space="preserve"> </w:t>
      </w:r>
      <w:proofErr w:type="spellStart"/>
      <w:r>
        <w:t>and</w:t>
      </w:r>
      <w:proofErr w:type="spellEnd"/>
      <w:r>
        <w:t xml:space="preserve"> </w:t>
      </w:r>
      <w:r w:rsidRPr="00746C19">
        <w:rPr>
          <w:position w:val="-14"/>
        </w:rPr>
        <w:object w:dxaOrig="320" w:dyaOrig="380" w14:anchorId="20D6B47F">
          <v:shape id="_x0000_i1168" type="#_x0000_t75" style="width:15.75pt;height:18.75pt" o:ole="">
            <v:imagedata r:id="rId32" o:title=""/>
          </v:shape>
          <o:OLEObject Type="Embed" ProgID="Equation.DSMT4" ShapeID="_x0000_i1168" DrawAspect="Content" ObjectID="_1834491631" r:id="rId37"/>
        </w:object>
      </w:r>
      <w:r>
        <w:t xml:space="preserve"> could be calculated from the curves by giving </w:t>
      </w:r>
      <w:r w:rsidRPr="00746C19">
        <w:rPr>
          <w:position w:val="-10"/>
        </w:rPr>
        <w:object w:dxaOrig="240" w:dyaOrig="320" w14:anchorId="4988064D">
          <v:shape id="_x0000_i1169" type="#_x0000_t75" style="width:12pt;height:15.75pt" o:ole="">
            <v:imagedata r:id="rId34" o:title=""/>
          </v:shape>
          <o:OLEObject Type="Embed" ProgID="Equation.DSMT4" ShapeID="_x0000_i1169" DrawAspect="Content" ObjectID="_1834491632" r:id="rId38"/>
        </w:object>
      </w:r>
      <w:r>
        <w:t xml:space="preserve"> </w:t>
      </w:r>
      <w:proofErr w:type="spellStart"/>
      <w:r>
        <w:t>and</w:t>
      </w:r>
      <w:proofErr w:type="spellEnd"/>
      <w:r>
        <w:t xml:space="preserve"> </w:t>
      </w:r>
      <w:r w:rsidRPr="00746C19">
        <w:rPr>
          <w:position w:val="-6"/>
        </w:rPr>
        <w:object w:dxaOrig="240" w:dyaOrig="220" w14:anchorId="50D24038">
          <v:shape id="_x0000_i1176" type="#_x0000_t75" style="width:12pt;height:11.25pt" o:ole="">
            <v:imagedata r:id="rId39" o:title=""/>
          </v:shape>
          <o:OLEObject Type="Embed" ProgID="Equation.DSMT4" ShapeID="_x0000_i1176" DrawAspect="Content" ObjectID="_1834491633" r:id="rId40"/>
        </w:object>
      </w:r>
      <w:r>
        <w:t>.</w:t>
      </w:r>
    </w:p>
    <w:p w14:paraId="7B685148" w14:textId="7732DF59" w:rsidR="0071269E" w:rsidRDefault="00746C19" w:rsidP="00746C19">
      <w:r>
        <w:t xml:space="preserve">For dynamic simulation, </w:t>
      </w:r>
      <w:r w:rsidRPr="00746C19">
        <w:rPr>
          <w:position w:val="-10"/>
        </w:rPr>
        <w:object w:dxaOrig="240" w:dyaOrig="320" w14:anchorId="34A98D64">
          <v:shape id="_x0000_i1177" type="#_x0000_t75" style="width:12pt;height:15.75pt" o:ole="">
            <v:imagedata r:id="rId34" o:title=""/>
          </v:shape>
          <o:OLEObject Type="Embed" ProgID="Equation.DSMT4" ShapeID="_x0000_i1177" DrawAspect="Content" ObjectID="_1834491634" r:id="rId41"/>
        </w:object>
      </w:r>
      <w:r>
        <w:t xml:space="preserve"> is the inlet volumetric flow rate of the pump, while the </w:t>
      </w:r>
      <w:r w:rsidRPr="00746C19">
        <w:rPr>
          <w:position w:val="-6"/>
        </w:rPr>
        <w:object w:dxaOrig="240" w:dyaOrig="220" w14:anchorId="533E64EC">
          <v:shape id="_x0000_i1178" type="#_x0000_t75" style="width:12pt;height:11.25pt" o:ole="">
            <v:imagedata r:id="rId39" o:title=""/>
          </v:shape>
          <o:OLEObject Type="Embed" ProgID="Equation.DSMT4" ShapeID="_x0000_i1178" DrawAspect="Content" ObjectID="_1834491635" r:id="rId42"/>
        </w:object>
      </w:r>
      <w:r>
        <w:t xml:space="preserve"> needs to be calculated by the following equation:</w:t>
      </w:r>
    </w:p>
    <w:p w14:paraId="75AF5B7B" w14:textId="412D2896" w:rsidR="00746C19" w:rsidRPr="00746C19" w:rsidRDefault="00746C19" w:rsidP="00746C19">
      <w:pPr>
        <w:pStyle w:val="MTDisplayEquation"/>
      </w:pPr>
      <w:r>
        <w:tab/>
      </w:r>
      <w:r w:rsidRPr="00746C19">
        <w:rPr>
          <w:position w:val="-24"/>
        </w:rPr>
        <w:object w:dxaOrig="1800" w:dyaOrig="660" w14:anchorId="6353CB76">
          <v:shape id="_x0000_i1428" type="#_x0000_t75" style="width:90pt;height:33pt" o:ole="">
            <v:imagedata r:id="rId43" o:title=""/>
          </v:shape>
          <o:OLEObject Type="Embed" ProgID="Equation.DSMT4" ShapeID="_x0000_i1428" DrawAspect="Content" ObjectID="_1834491636"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3</w:instrText>
        </w:r>
      </w:fldSimple>
      <w:r>
        <w:instrText>)</w:instrText>
      </w:r>
      <w:r>
        <w:fldChar w:fldCharType="end"/>
      </w:r>
    </w:p>
    <w:p w14:paraId="2D9F1D59" w14:textId="6D594E68" w:rsidR="00746C19" w:rsidRDefault="00746C19" w:rsidP="00746C19">
      <w:r w:rsidRPr="00746C19">
        <w:t xml:space="preserve">where </w:t>
      </w:r>
      <w:r w:rsidRPr="00B51BFB">
        <w:rPr>
          <w:position w:val="-12"/>
        </w:rPr>
        <w:object w:dxaOrig="240" w:dyaOrig="360" w14:anchorId="61F00BB1">
          <v:shape id="_x0000_i1429" type="#_x0000_t75" style="width:12pt;height:18pt" o:ole="">
            <v:imagedata r:id="rId45" o:title=""/>
          </v:shape>
          <o:OLEObject Type="Embed" ProgID="Equation.DSMT4" ShapeID="_x0000_i1429" DrawAspect="Content" ObjectID="_1834491637" r:id="rId46"/>
        </w:object>
      </w:r>
      <w:r w:rsidRPr="00746C19">
        <w:t xml:space="preserve"> is the pump electrical torque, </w:t>
      </w:r>
      <w:r w:rsidRPr="00746C19">
        <w:rPr>
          <w:position w:val="-14"/>
        </w:rPr>
        <w:object w:dxaOrig="279" w:dyaOrig="380" w14:anchorId="50E8316C">
          <v:shape id="_x0000_i1432" type="#_x0000_t75" style="width:14.25pt;height:18.75pt" o:ole="">
            <v:imagedata r:id="rId47" o:title=""/>
          </v:shape>
          <o:OLEObject Type="Embed" ProgID="Equation.DSMT4" ShapeID="_x0000_i1432" DrawAspect="Content" ObjectID="_1834491638" r:id="rId48"/>
        </w:object>
      </w:r>
      <w:r w:rsidRPr="00746C19">
        <w:t xml:space="preserve"> is the pump frictional torque and </w:t>
      </w:r>
      <w:r w:rsidRPr="00746C19">
        <w:rPr>
          <w:position w:val="-4"/>
        </w:rPr>
        <w:object w:dxaOrig="200" w:dyaOrig="260" w14:anchorId="701B510C">
          <v:shape id="_x0000_i1435" type="#_x0000_t75" style="width:9.75pt;height:12.75pt" o:ole="">
            <v:imagedata r:id="rId49" o:title=""/>
          </v:shape>
          <o:OLEObject Type="Embed" ProgID="Equation.DSMT4" ShapeID="_x0000_i1435" DrawAspect="Content" ObjectID="_1834491639" r:id="rId50"/>
        </w:object>
      </w:r>
      <w:r w:rsidRPr="00746C19">
        <w:t xml:space="preserve"> is the pump rotational </w:t>
      </w:r>
      <w:proofErr w:type="gramStart"/>
      <w:r w:rsidRPr="00746C19">
        <w:t>inertia.</w:t>
      </w:r>
      <w:proofErr w:type="gramEnd"/>
      <w:r w:rsidRPr="00746C19">
        <w:t xml:space="preserve"> </w:t>
      </w:r>
      <w:r w:rsidRPr="00746C19">
        <w:rPr>
          <w:position w:val="-14"/>
        </w:rPr>
        <w:object w:dxaOrig="279" w:dyaOrig="380" w14:anchorId="411C6095">
          <v:shape id="_x0000_i1436" type="#_x0000_t75" style="width:14.25pt;height:18.75pt" o:ole="">
            <v:imagedata r:id="rId47" o:title=""/>
          </v:shape>
          <o:OLEObject Type="Embed" ProgID="Equation.DSMT4" ShapeID="_x0000_i1436" DrawAspect="Content" ObjectID="_1834491640" r:id="rId51"/>
        </w:object>
      </w:r>
      <w:r w:rsidRPr="00746C19">
        <w:t xml:space="preserve"> could be calculated by Eq. </w:t>
      </w:r>
      <w:r>
        <w:rPr>
          <w:iCs/>
        </w:rPr>
        <w:fldChar w:fldCharType="begin"/>
      </w:r>
      <w:r>
        <w:rPr>
          <w:iCs/>
        </w:rPr>
        <w:instrText xml:space="preserve"> </w:instrText>
      </w:r>
      <w:r>
        <w:rPr>
          <w:rFonts w:hint="eastAsia"/>
          <w:iCs/>
        </w:rPr>
        <w:instrText>GOTOBUTTON ZEqnNum360276  \* MERGEFORMAT</w:instrText>
      </w:r>
      <w:r>
        <w:rPr>
          <w:iCs/>
        </w:rPr>
        <w:instrText xml:space="preserve"> </w:instrText>
      </w:r>
      <w:r>
        <w:rPr>
          <w:iCs/>
        </w:rPr>
        <w:fldChar w:fldCharType="begin"/>
      </w:r>
      <w:r>
        <w:rPr>
          <w:iCs/>
        </w:rPr>
        <w:instrText xml:space="preserve"> REF ZEqnNum360276 \* Charformat \! \* MERGEFORMAT </w:instrText>
      </w:r>
      <w:r>
        <w:rPr>
          <w:iCs/>
        </w:rPr>
        <w:fldChar w:fldCharType="separate"/>
      </w:r>
      <w:r w:rsidR="00B4546B" w:rsidRPr="00B4546B">
        <w:rPr>
          <w:iCs/>
        </w:rPr>
        <w:instrText>(4)</w:instrText>
      </w:r>
      <w:r>
        <w:rPr>
          <w:iCs/>
        </w:rPr>
        <w:fldChar w:fldCharType="end"/>
      </w:r>
      <w:r>
        <w:rPr>
          <w:iCs/>
        </w:rPr>
        <w:fldChar w:fldCharType="end"/>
      </w:r>
      <w:r w:rsidRPr="00746C19">
        <w:t>:</w:t>
      </w:r>
    </w:p>
    <w:p w14:paraId="44D3199B" w14:textId="3AC9AA20" w:rsidR="00746C19" w:rsidRDefault="00746C19" w:rsidP="00746C19">
      <w:pPr>
        <w:pStyle w:val="MTDisplayEquation"/>
      </w:pPr>
      <w:r>
        <w:tab/>
      </w:r>
      <w:r w:rsidRPr="00746C19">
        <w:rPr>
          <w:position w:val="-32"/>
        </w:rPr>
        <w:object w:dxaOrig="1560" w:dyaOrig="800" w14:anchorId="3BB0F5D4">
          <v:shape id="_x0000_i1788" type="#_x0000_t75" style="width:78pt;height:39.75pt" o:ole="">
            <v:imagedata r:id="rId52" o:title=""/>
          </v:shape>
          <o:OLEObject Type="Embed" ProgID="Equation.DSMT4" ShapeID="_x0000_i1788" DrawAspect="Content" ObjectID="_1834491641" r:id="rId5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 w:name="ZEqnNum360276"/>
      <w:r>
        <w:instrText>(</w:instrText>
      </w:r>
      <w:fldSimple w:instr=" SEQ MTEqn \c \* Arabic \* MERGEFORMAT ">
        <w:r w:rsidR="00B4546B">
          <w:rPr>
            <w:noProof/>
          </w:rPr>
          <w:instrText>4</w:instrText>
        </w:r>
      </w:fldSimple>
      <w:r>
        <w:instrText>)</w:instrText>
      </w:r>
      <w:bookmarkEnd w:id="4"/>
      <w:r>
        <w:fldChar w:fldCharType="end"/>
      </w:r>
    </w:p>
    <w:p w14:paraId="67EA5D7E" w14:textId="0E278DD6" w:rsidR="00746C19" w:rsidRDefault="00746C19" w:rsidP="00746C19">
      <w:r w:rsidRPr="00746C19">
        <w:t xml:space="preserve">where </w:t>
      </w:r>
      <w:r w:rsidRPr="00746C19">
        <w:rPr>
          <w:position w:val="-12"/>
        </w:rPr>
        <w:object w:dxaOrig="300" w:dyaOrig="360" w14:anchorId="4DA89E5E">
          <v:shape id="_x0000_i1911" type="#_x0000_t75" style="width:15pt;height:18pt" o:ole="">
            <v:imagedata r:id="rId54" o:title=""/>
          </v:shape>
          <o:OLEObject Type="Embed" ProgID="Equation.DSMT4" ShapeID="_x0000_i1911" DrawAspect="Content" ObjectID="_1834491642" r:id="rId55"/>
        </w:object>
      </w:r>
      <w:r w:rsidRPr="00746C19">
        <w:t xml:space="preserve"> is the pump rated speed, and ci a constant is inputted by </w:t>
      </w:r>
      <w:proofErr w:type="gramStart"/>
      <w:r w:rsidRPr="00746C19">
        <w:t>users.</w:t>
      </w:r>
      <w:proofErr w:type="gramEnd"/>
      <w:r w:rsidRPr="00746C19">
        <w:t xml:space="preserve"> There are three typical conditions: (1) Constant pump speed; (2) Zero pump speed for simulating pump rotor seizure accident; (3) </w:t>
      </w:r>
      <w:r w:rsidRPr="00B51BFB">
        <w:rPr>
          <w:position w:val="-12"/>
        </w:rPr>
        <w:object w:dxaOrig="240" w:dyaOrig="360" w14:anchorId="5AC1B366">
          <v:shape id="_x0000_i1912" type="#_x0000_t75" style="width:12pt;height:18pt" o:ole="">
            <v:imagedata r:id="rId45" o:title=""/>
          </v:shape>
          <o:OLEObject Type="Embed" ProgID="Equation.DSMT4" ShapeID="_x0000_i1912" DrawAspect="Content" ObjectID="_1834491643" r:id="rId56"/>
        </w:object>
      </w:r>
      <w:r w:rsidRPr="00746C19">
        <w:t xml:space="preserve"> being zero for loss of flow accident.</w:t>
      </w:r>
    </w:p>
    <w:p w14:paraId="1E78FAD9" w14:textId="1376D57C" w:rsidR="00C50CAA" w:rsidRDefault="00C50CAA" w:rsidP="00C50CAA">
      <w:pPr>
        <w:pStyle w:val="a7"/>
        <w:numPr>
          <w:ilvl w:val="1"/>
          <w:numId w:val="1"/>
        </w:numPr>
        <w:ind w:firstLineChars="0"/>
      </w:pPr>
      <w:r w:rsidRPr="00C50CAA">
        <w:t>Intermediate heat exchanger model</w:t>
      </w:r>
    </w:p>
    <w:p w14:paraId="50E8B835" w14:textId="2F3095E7" w:rsidR="00C50CAA" w:rsidRDefault="00956154" w:rsidP="00C50CAA">
      <w:r w:rsidRPr="00956154">
        <w:t>Three IHXs are applied to transfer the heat from the main heat transport system to the secondary loops, which consist of three steam generators. The shell side of the IHX connects the hot pool to the cold pool, where the primary sodium is driven to flow downward by the pressure difference between the inlet and the outlet of the IHX, as is shown in Fig. 6. And the mass flow rate equation for each IHX, WIHX is shown as follows:</w:t>
      </w:r>
    </w:p>
    <w:p w14:paraId="40CD8340" w14:textId="6E8005D2" w:rsidR="004D0D7E" w:rsidRDefault="004D0D7E" w:rsidP="004D0D7E">
      <w:pPr>
        <w:pStyle w:val="MTDisplayEquation"/>
      </w:pPr>
      <w:r>
        <w:tab/>
      </w:r>
      <w:r w:rsidRPr="004D0D7E">
        <w:rPr>
          <w:position w:val="-30"/>
        </w:rPr>
        <w:object w:dxaOrig="5460" w:dyaOrig="700" w14:anchorId="63F2FEEC">
          <v:shape id="_x0000_i2322" type="#_x0000_t75" style="width:273pt;height:35.25pt" o:ole="">
            <v:imagedata r:id="rId57" o:title=""/>
          </v:shape>
          <o:OLEObject Type="Embed" ProgID="Equation.DSMT4" ShapeID="_x0000_i2322" DrawAspect="Content" ObjectID="_1834491644"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5</w:instrText>
        </w:r>
      </w:fldSimple>
      <w:r>
        <w:instrText>)</w:instrText>
      </w:r>
      <w:r>
        <w:fldChar w:fldCharType="end"/>
      </w:r>
    </w:p>
    <w:p w14:paraId="4EAEAE09" w14:textId="75F39768" w:rsidR="00956154" w:rsidRDefault="00956154" w:rsidP="00C50CAA">
      <w:r w:rsidRPr="00956154">
        <w:t>Thermal simulation of IHX could be carried out by a lumped parameter single tube model or a detailed multi-channel model. They noted that the single tube model provided similar results with the multi-channel model for transient simulation. Therefore, single tube model is applied, assumed that all the tubes have the same transient behavior, to save the calculation time.</w:t>
      </w:r>
    </w:p>
    <w:p w14:paraId="1E43080F" w14:textId="5BE506CF" w:rsidR="00956154" w:rsidRDefault="00956154" w:rsidP="00C50CAA">
      <w:r w:rsidRPr="00956154">
        <w:t xml:space="preserve">For simplification, other reasonable assumptions are also needed: (1) The flow in the IHX is single phase; (2) Axial heat conduction of sodium is neglected; (3) Axial heat conduction in the tube wall is neglected. For the primary side sodium, secondary side sodium and the middle wall, a certain amount of control volumes are divided, respectively. </w:t>
      </w:r>
    </w:p>
    <w:p w14:paraId="6A51B6F7" w14:textId="5642C0FF" w:rsidR="00956154" w:rsidRDefault="004D0D7E" w:rsidP="004D0D7E">
      <w:pPr>
        <w:pStyle w:val="a7"/>
        <w:numPr>
          <w:ilvl w:val="1"/>
          <w:numId w:val="1"/>
        </w:numPr>
        <w:ind w:firstLineChars="0"/>
      </w:pPr>
      <w:r>
        <w:rPr>
          <w:rFonts w:hint="eastAsia"/>
        </w:rPr>
        <w:t>A</w:t>
      </w:r>
      <w:r>
        <w:t>ssistant models</w:t>
      </w:r>
    </w:p>
    <w:p w14:paraId="2561C811" w14:textId="77777777" w:rsidR="001871BD" w:rsidRDefault="004D0D7E" w:rsidP="004D0D7E">
      <w:r w:rsidRPr="004D0D7E">
        <w:t>For flow in a pipe, the correlation for calculating the frictional coefficient of laminar flow is</w:t>
      </w:r>
    </w:p>
    <w:p w14:paraId="29D5CB01" w14:textId="430B7546" w:rsidR="001871BD" w:rsidRDefault="000A1E0D" w:rsidP="000A1E0D">
      <w:pPr>
        <w:pStyle w:val="MTDisplayEquation"/>
      </w:pPr>
      <w:r>
        <w:tab/>
      </w:r>
      <w:r w:rsidRPr="000A1E0D">
        <w:rPr>
          <w:position w:val="-10"/>
        </w:rPr>
        <w:object w:dxaOrig="2420" w:dyaOrig="320" w14:anchorId="2877717F">
          <v:shape id="_x0000_i2750" type="#_x0000_t75" style="width:120.75pt;height:15.75pt" o:ole="">
            <v:imagedata r:id="rId59" o:title=""/>
          </v:shape>
          <o:OLEObject Type="Embed" ProgID="Equation.DSMT4" ShapeID="_x0000_i2750" DrawAspect="Content" ObjectID="_1834491645"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6</w:instrText>
        </w:r>
      </w:fldSimple>
      <w:r>
        <w:instrText>)</w:instrText>
      </w:r>
      <w:r>
        <w:fldChar w:fldCharType="end"/>
      </w:r>
    </w:p>
    <w:p w14:paraId="01B13DC2" w14:textId="336DCD78" w:rsidR="001871BD" w:rsidRDefault="004D0D7E" w:rsidP="004D0D7E">
      <w:r w:rsidRPr="004D0D7E">
        <w:lastRenderedPageBreak/>
        <w:t>and for turbulent flow in a rough pipe, the empirical Blasius formula is selected:</w:t>
      </w:r>
    </w:p>
    <w:p w14:paraId="16703110" w14:textId="6FB9D041" w:rsidR="000A1E0D" w:rsidRDefault="000A1E0D" w:rsidP="000A1E0D">
      <w:pPr>
        <w:pStyle w:val="MTDisplayEquation"/>
      </w:pPr>
      <w:r>
        <w:tab/>
      </w:r>
      <w:r w:rsidRPr="000A1E0D">
        <w:rPr>
          <w:position w:val="-24"/>
        </w:rPr>
        <w:object w:dxaOrig="2460" w:dyaOrig="620" w14:anchorId="0F6E88F6">
          <v:shape id="_x0000_i3198" type="#_x0000_t75" style="width:123pt;height:30.75pt" o:ole="">
            <v:imagedata r:id="rId61" o:title=""/>
          </v:shape>
          <o:OLEObject Type="Embed" ProgID="Equation.DSMT4" ShapeID="_x0000_i3198" DrawAspect="Content" ObjectID="_1834491646" r:id="rId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7</w:instrText>
        </w:r>
      </w:fldSimple>
      <w:r>
        <w:instrText>)</w:instrText>
      </w:r>
      <w:r>
        <w:fldChar w:fldCharType="end"/>
      </w:r>
    </w:p>
    <w:p w14:paraId="53B9A62D" w14:textId="66EBDF89" w:rsidR="001871BD" w:rsidRDefault="004D0D7E" w:rsidP="004D0D7E">
      <w:r w:rsidRPr="004D0D7E">
        <w:t xml:space="preserve">The laminar heat transfer coefficient is calculated by </w:t>
      </w:r>
      <w:proofErr w:type="spellStart"/>
      <w:r w:rsidRPr="004D0D7E">
        <w:t>Mikityuk</w:t>
      </w:r>
      <w:proofErr w:type="spellEnd"/>
      <w:r w:rsidR="000A1E0D">
        <w:fldChar w:fldCharType="begin"/>
      </w:r>
      <w:r w:rsidR="000A1E0D">
        <w:instrText xml:space="preserve"> REF _Ref223877412 \r \h </w:instrText>
      </w:r>
      <w:r w:rsidR="000A1E0D">
        <w:fldChar w:fldCharType="separate"/>
      </w:r>
      <w:r w:rsidR="00B4546B">
        <w:t>[7]</w:t>
      </w:r>
      <w:r w:rsidR="000A1E0D">
        <w:fldChar w:fldCharType="end"/>
      </w:r>
      <w:r w:rsidRPr="004D0D7E">
        <w:t>:</w:t>
      </w:r>
    </w:p>
    <w:p w14:paraId="1CF74A17" w14:textId="296496B9" w:rsidR="000A1E0D" w:rsidRDefault="000A1E0D" w:rsidP="000A1E0D">
      <w:pPr>
        <w:pStyle w:val="MTDisplayEquation"/>
      </w:pPr>
      <w:r>
        <w:tab/>
      </w:r>
      <w:r w:rsidRPr="000A1E0D">
        <w:rPr>
          <w:position w:val="-10"/>
        </w:rPr>
        <w:object w:dxaOrig="2299" w:dyaOrig="320" w14:anchorId="21FAC0F3">
          <v:shape id="_x0000_i3666" type="#_x0000_t75" style="width:114.75pt;height:15.75pt" o:ole="">
            <v:imagedata r:id="rId63" o:title=""/>
          </v:shape>
          <o:OLEObject Type="Embed" ProgID="Equation.DSMT4" ShapeID="_x0000_i3666" DrawAspect="Content" ObjectID="_1834491647"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8</w:instrText>
        </w:r>
      </w:fldSimple>
      <w:r>
        <w:instrText>)</w:instrText>
      </w:r>
      <w:r>
        <w:fldChar w:fldCharType="end"/>
      </w:r>
    </w:p>
    <w:p w14:paraId="025B16DC" w14:textId="268D4220" w:rsidR="001871BD" w:rsidRDefault="004D0D7E" w:rsidP="004D0D7E">
      <w:r w:rsidRPr="004D0D7E">
        <w:t xml:space="preserve">and for the turbulent region </w:t>
      </w:r>
      <w:proofErr w:type="spellStart"/>
      <w:r w:rsidRPr="004D0D7E">
        <w:t>Mikityuk</w:t>
      </w:r>
      <w:proofErr w:type="spellEnd"/>
      <w:r w:rsidR="000A1E0D">
        <w:fldChar w:fldCharType="begin"/>
      </w:r>
      <w:r w:rsidR="000A1E0D">
        <w:instrText xml:space="preserve"> REF _Ref223877412 \r \h </w:instrText>
      </w:r>
      <w:r w:rsidR="000A1E0D">
        <w:fldChar w:fldCharType="separate"/>
      </w:r>
      <w:r w:rsidR="00B4546B">
        <w:t>[7]</w:t>
      </w:r>
      <w:r w:rsidR="000A1E0D">
        <w:fldChar w:fldCharType="end"/>
      </w:r>
      <w:r w:rsidRPr="004D0D7E">
        <w:t>,</w:t>
      </w:r>
    </w:p>
    <w:p w14:paraId="71E254DB" w14:textId="30618626" w:rsidR="000A1E0D" w:rsidRDefault="000A1E0D" w:rsidP="000A1E0D">
      <w:pPr>
        <w:pStyle w:val="MTDisplayEquation"/>
      </w:pPr>
      <w:r>
        <w:tab/>
      </w:r>
      <w:r w:rsidRPr="000A1E0D">
        <w:rPr>
          <w:position w:val="-10"/>
        </w:rPr>
        <w:object w:dxaOrig="3780" w:dyaOrig="360" w14:anchorId="2C114BEC">
          <v:shape id="_x0000_i4154" type="#_x0000_t75" style="width:189pt;height:18pt" o:ole="">
            <v:imagedata r:id="rId65" o:title=""/>
          </v:shape>
          <o:OLEObject Type="Embed" ProgID="Equation.DSMT4" ShapeID="_x0000_i4154" DrawAspect="Content" ObjectID="_1834491648"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4546B">
          <w:rPr>
            <w:noProof/>
          </w:rPr>
          <w:instrText>9</w:instrText>
        </w:r>
      </w:fldSimple>
      <w:r>
        <w:instrText>)</w:instrText>
      </w:r>
      <w:r>
        <w:fldChar w:fldCharType="end"/>
      </w:r>
    </w:p>
    <w:p w14:paraId="59F2CD2D" w14:textId="216DD5C0" w:rsidR="004D0D7E" w:rsidRDefault="004D0D7E" w:rsidP="004D0D7E">
      <w:pPr>
        <w:rPr>
          <w:rFonts w:hint="eastAsia"/>
        </w:rPr>
      </w:pPr>
      <w:r w:rsidRPr="004D0D7E">
        <w:t>Linear interpolation is applied between the laminar and turbulent correlations for the transition region.</w:t>
      </w:r>
    </w:p>
    <w:p w14:paraId="2C00F503" w14:textId="4E625903" w:rsidR="00A523FD" w:rsidRPr="004C5A73" w:rsidRDefault="006D48F9" w:rsidP="00A523FD">
      <w:pPr>
        <w:pStyle w:val="a7"/>
        <w:numPr>
          <w:ilvl w:val="1"/>
          <w:numId w:val="1"/>
        </w:numPr>
        <w:ind w:firstLineChars="0"/>
        <w:rPr>
          <w:rFonts w:hint="eastAsia"/>
        </w:rPr>
      </w:pPr>
      <w:r>
        <w:rPr>
          <w:rFonts w:hint="eastAsia"/>
        </w:rPr>
        <w:t>M</w:t>
      </w:r>
      <w:r>
        <w:t>odeling of NACIE-UP</w:t>
      </w:r>
    </w:p>
    <w:p w14:paraId="25691757" w14:textId="18EE4A15" w:rsidR="008C65A3" w:rsidRDefault="008C65A3" w:rsidP="004C6898">
      <w:pPr>
        <w:rPr>
          <w:lang w:val="fr-FR"/>
        </w:rPr>
      </w:pPr>
      <w:r>
        <w:rPr>
          <w:lang w:val="fr-FR"/>
        </w:rPr>
        <w:fldChar w:fldCharType="begin"/>
      </w:r>
      <w:r>
        <w:rPr>
          <w:lang w:val="fr-FR"/>
        </w:rPr>
        <w:instrText xml:space="preserve"> REF _Ref223875634 \h </w:instrText>
      </w:r>
      <w:r>
        <w:rPr>
          <w:lang w:val="fr-FR"/>
        </w:rPr>
      </w:r>
      <w:r>
        <w:rPr>
          <w:lang w:val="fr-FR"/>
        </w:rPr>
        <w:fldChar w:fldCharType="separate"/>
      </w:r>
      <w:r w:rsidR="00B4546B">
        <w:t xml:space="preserve">Fig. </w:t>
      </w:r>
      <w:r w:rsidR="00B4546B">
        <w:rPr>
          <w:noProof/>
        </w:rPr>
        <w:t>3</w:t>
      </w:r>
      <w:r>
        <w:rPr>
          <w:lang w:val="fr-FR"/>
        </w:rPr>
        <w:fldChar w:fldCharType="end"/>
      </w:r>
      <w:r>
        <w:rPr>
          <w:lang w:val="fr-FR"/>
        </w:rPr>
        <w:t xml:space="preserve"> </w:t>
      </w:r>
      <w:r>
        <w:rPr>
          <w:lang w:val="fr-FR"/>
        </w:rPr>
        <w:t>shows the comparison of old and new modeling methods in THACS for NACIE-UP. In one-dimensional system-level thermal-hydraulics analysis, the NACIE-UP circulation facility could be expected to be simplified to 1 fuel-pin simulation (FPS), 1 heat exchanger, and several pipelines. In our old modeling, pump is not considered and the numerical prediction of THACS also not in good agreement with the experimental measurements. In the new modeling, pump functional facility is added to simulation the gas injection.</w:t>
      </w:r>
    </w:p>
    <w:p w14:paraId="4BB1286A" w14:textId="72A85EFA" w:rsidR="008C65A3" w:rsidRDefault="008C65A3" w:rsidP="008C65A3">
      <w:pPr>
        <w:jc w:val="center"/>
        <w:rPr>
          <w:lang w:val="fr-FR"/>
        </w:rPr>
      </w:pPr>
      <w:r>
        <w:rPr>
          <w:noProof/>
        </w:rPr>
        <w:drawing>
          <wp:inline distT="0" distB="0" distL="0" distR="0" wp14:anchorId="598F0C9A" wp14:editId="57124330">
            <wp:extent cx="1828800" cy="3467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28800" cy="3467100"/>
                    </a:xfrm>
                    <a:prstGeom prst="rect">
                      <a:avLst/>
                    </a:prstGeom>
                    <a:noFill/>
                    <a:ln>
                      <a:noFill/>
                    </a:ln>
                  </pic:spPr>
                </pic:pic>
              </a:graphicData>
            </a:graphic>
          </wp:inline>
        </w:drawing>
      </w:r>
      <w:r>
        <w:rPr>
          <w:noProof/>
        </w:rPr>
        <w:drawing>
          <wp:inline distT="0" distB="0" distL="0" distR="0" wp14:anchorId="5FE3570C" wp14:editId="7ACB9F6F">
            <wp:extent cx="1514475" cy="3540760"/>
            <wp:effectExtent l="0" t="0" r="952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68" cstate="print">
                      <a:extLst>
                        <a:ext uri="{28A0092B-C50C-407E-A947-70E740481C1C}">
                          <a14:useLocalDpi xmlns:a14="http://schemas.microsoft.com/office/drawing/2010/main" val="0"/>
                        </a:ext>
                      </a:extLst>
                    </a:blip>
                    <a:srcRect l="44225" r="23557"/>
                    <a:stretch>
                      <a:fillRect/>
                    </a:stretch>
                  </pic:blipFill>
                  <pic:spPr bwMode="auto">
                    <a:xfrm>
                      <a:off x="0" y="0"/>
                      <a:ext cx="1514475" cy="3540760"/>
                    </a:xfrm>
                    <a:prstGeom prst="rect">
                      <a:avLst/>
                    </a:prstGeom>
                    <a:noFill/>
                    <a:ln>
                      <a:noFill/>
                    </a:ln>
                  </pic:spPr>
                </pic:pic>
              </a:graphicData>
            </a:graphic>
          </wp:inline>
        </w:drawing>
      </w:r>
      <w:r>
        <w:rPr>
          <w:noProof/>
        </w:rPr>
        <w:drawing>
          <wp:inline distT="0" distB="0" distL="0" distR="0" wp14:anchorId="2F8F3ECD" wp14:editId="1E255190">
            <wp:extent cx="1748155" cy="350393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748155" cy="3503930"/>
                    </a:xfrm>
                    <a:prstGeom prst="rect">
                      <a:avLst/>
                    </a:prstGeom>
                    <a:noFill/>
                    <a:ln>
                      <a:noFill/>
                    </a:ln>
                  </pic:spPr>
                </pic:pic>
              </a:graphicData>
            </a:graphic>
          </wp:inline>
        </w:drawing>
      </w:r>
    </w:p>
    <w:p w14:paraId="6668531B" w14:textId="77777777" w:rsidR="008C65A3" w:rsidRDefault="008C65A3" w:rsidP="008C65A3">
      <w:pPr>
        <w:rPr>
          <w:lang w:val="fr-FR"/>
        </w:rPr>
      </w:pPr>
      <w:r>
        <w:rPr>
          <w:lang w:val="fr-FR"/>
        </w:rPr>
        <w:t xml:space="preserve">     (a) NACIE-UP facility</w:t>
      </w:r>
      <w:r>
        <w:rPr>
          <w:lang w:val="fr-FR"/>
        </w:rPr>
        <w:tab/>
      </w:r>
      <w:r>
        <w:rPr>
          <w:lang w:val="fr-FR"/>
        </w:rPr>
        <w:tab/>
        <w:t xml:space="preserve">     (b) old model</w:t>
      </w:r>
      <w:r>
        <w:rPr>
          <w:lang w:val="fr-FR"/>
        </w:rPr>
        <w:tab/>
        <w:t xml:space="preserve">             (c) new model</w:t>
      </w:r>
    </w:p>
    <w:p w14:paraId="7EBFDB78" w14:textId="3C079CEE" w:rsidR="006A6704" w:rsidRPr="006A6704" w:rsidRDefault="008C65A3" w:rsidP="006A6704">
      <w:pPr>
        <w:pStyle w:val="a8"/>
        <w:rPr>
          <w:rFonts w:hint="eastAsia"/>
        </w:rPr>
      </w:pPr>
      <w:bookmarkStart w:id="5" w:name="_Ref223875634"/>
      <w:r>
        <w:t xml:space="preserve">Fig. </w:t>
      </w:r>
      <w:fldSimple w:instr=" SEQ Fig. \* ARABIC ">
        <w:r w:rsidR="00B4546B">
          <w:rPr>
            <w:noProof/>
          </w:rPr>
          <w:t>3</w:t>
        </w:r>
      </w:fldSimple>
      <w:bookmarkEnd w:id="5"/>
      <w:r>
        <w:t xml:space="preserve"> </w:t>
      </w:r>
      <w:r>
        <w:t>Comparison of old and new modeling methods in THACS for NACIE-UP</w:t>
      </w:r>
    </w:p>
    <w:p w14:paraId="382D1D9B" w14:textId="23C636C2" w:rsidR="004966CC" w:rsidRDefault="004966CC" w:rsidP="009B16C4">
      <w:pPr>
        <w:rPr>
          <w:lang w:val="fr-FR"/>
        </w:rPr>
      </w:pPr>
      <w:r>
        <w:rPr>
          <w:lang w:val="fr-FR"/>
        </w:rPr>
        <w:fldChar w:fldCharType="begin"/>
      </w:r>
      <w:r>
        <w:rPr>
          <w:lang w:val="fr-FR"/>
        </w:rPr>
        <w:instrText xml:space="preserve"> REF _Ref223875949 \h </w:instrText>
      </w:r>
      <w:r>
        <w:rPr>
          <w:lang w:val="fr-FR"/>
        </w:rPr>
      </w:r>
      <w:r>
        <w:rPr>
          <w:lang w:val="fr-FR"/>
        </w:rPr>
        <w:fldChar w:fldCharType="separate"/>
      </w:r>
      <w:r w:rsidR="00B4546B">
        <w:t xml:space="preserve">Fig. </w:t>
      </w:r>
      <w:r w:rsidR="00B4546B">
        <w:rPr>
          <w:noProof/>
        </w:rPr>
        <w:t>4</w:t>
      </w:r>
      <w:r>
        <w:rPr>
          <w:lang w:val="fr-FR"/>
        </w:rPr>
        <w:fldChar w:fldCharType="end"/>
      </w:r>
      <w:r>
        <w:rPr>
          <w:lang w:val="fr-FR"/>
        </w:rPr>
        <w:t xml:space="preserve"> and </w:t>
      </w:r>
      <w:r>
        <w:rPr>
          <w:lang w:val="fr-FR"/>
        </w:rPr>
        <w:fldChar w:fldCharType="begin"/>
      </w:r>
      <w:r>
        <w:rPr>
          <w:lang w:val="fr-FR"/>
        </w:rPr>
        <w:instrText xml:space="preserve"> REF _Ref223875953 \h </w:instrText>
      </w:r>
      <w:r>
        <w:rPr>
          <w:lang w:val="fr-FR"/>
        </w:rPr>
      </w:r>
      <w:r>
        <w:rPr>
          <w:lang w:val="fr-FR"/>
        </w:rPr>
        <w:fldChar w:fldCharType="separate"/>
      </w:r>
      <w:r w:rsidR="00B4546B">
        <w:t xml:space="preserve">Fig. </w:t>
      </w:r>
      <w:r w:rsidR="00B4546B">
        <w:rPr>
          <w:noProof/>
        </w:rPr>
        <w:t>5</w:t>
      </w:r>
      <w:r>
        <w:rPr>
          <w:lang w:val="fr-FR"/>
        </w:rPr>
        <w:fldChar w:fldCharType="end"/>
      </w:r>
      <w:r>
        <w:rPr>
          <w:lang w:val="fr-FR"/>
        </w:rPr>
        <w:t xml:space="preserve"> shows the mass flow rate and thermal-couple (TP) temperature prediction of new modeling in THACS for NACIE-UP facility. From the result, it can be seen that overall transient variation of mass flow rate predicted by THACS is in good agrement with that of experimental measurements.</w:t>
      </w:r>
    </w:p>
    <w:p w14:paraId="35D58EB0" w14:textId="77777777" w:rsidR="004966CC" w:rsidRDefault="004966CC" w:rsidP="009B16C4">
      <w:pPr>
        <w:rPr>
          <w:lang w:val="fr-FR"/>
        </w:rPr>
      </w:pPr>
      <w:r>
        <w:rPr>
          <w:lang w:val="fr-FR"/>
        </w:rPr>
        <w:t xml:space="preserve">For the temperature measurement points such as TP101 to TP107, the temperature variation trends are basically consistent with the experiment. Most of the results have small errors when comparing </w:t>
      </w:r>
      <w:r>
        <w:rPr>
          <w:lang w:val="fr-FR"/>
        </w:rPr>
        <w:lastRenderedPageBreak/>
        <w:t>to experimental values.</w:t>
      </w:r>
    </w:p>
    <w:p w14:paraId="5CCFC56F" w14:textId="77777777" w:rsidR="004966CC" w:rsidRDefault="004966CC" w:rsidP="009B16C4">
      <w:pPr>
        <w:rPr>
          <w:lang w:val="fr-FR"/>
        </w:rPr>
      </w:pPr>
      <w:r>
        <w:rPr>
          <w:lang w:val="fr-FR"/>
        </w:rPr>
        <w:t>The results show that new modeling in THACS for ADP-10 is proper, which can be used for further system-level thermal-hydraulics analyses for NACIE-UP facility.</w:t>
      </w:r>
    </w:p>
    <w:p w14:paraId="29D628D0" w14:textId="6A151F6B" w:rsidR="004966CC" w:rsidRDefault="004966CC" w:rsidP="004966CC">
      <w:pPr>
        <w:ind w:firstLineChars="200" w:firstLine="420"/>
        <w:rPr>
          <w:lang w:val="fr-FR"/>
        </w:rPr>
      </w:pPr>
      <w:r>
        <w:rPr>
          <w:noProof/>
        </w:rPr>
        <w:drawing>
          <wp:inline distT="0" distB="0" distL="0" distR="0" wp14:anchorId="28C61A2D" wp14:editId="238CC2AD">
            <wp:extent cx="1762760" cy="3057525"/>
            <wp:effectExtent l="0" t="0" r="889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62760" cy="3057525"/>
                    </a:xfrm>
                    <a:prstGeom prst="rect">
                      <a:avLst/>
                    </a:prstGeom>
                    <a:noFill/>
                    <a:ln>
                      <a:noFill/>
                    </a:ln>
                  </pic:spPr>
                </pic:pic>
              </a:graphicData>
            </a:graphic>
          </wp:inline>
        </w:drawing>
      </w:r>
      <w:r>
        <w:rPr>
          <w:noProof/>
        </w:rPr>
        <w:drawing>
          <wp:inline distT="0" distB="0" distL="0" distR="0" wp14:anchorId="52E70936" wp14:editId="7166A8EA">
            <wp:extent cx="3145790" cy="24580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145790" cy="2458085"/>
                    </a:xfrm>
                    <a:prstGeom prst="rect">
                      <a:avLst/>
                    </a:prstGeom>
                    <a:noFill/>
                    <a:ln>
                      <a:noFill/>
                    </a:ln>
                  </pic:spPr>
                </pic:pic>
              </a:graphicData>
            </a:graphic>
          </wp:inline>
        </w:drawing>
      </w:r>
    </w:p>
    <w:p w14:paraId="17E88636" w14:textId="77777777" w:rsidR="004966CC" w:rsidRDefault="004966CC" w:rsidP="004966CC">
      <w:pPr>
        <w:ind w:firstLineChars="400" w:firstLine="840"/>
        <w:rPr>
          <w:lang w:val="fr-FR"/>
        </w:rPr>
      </w:pPr>
      <w:r>
        <w:rPr>
          <w:lang w:val="fr-FR"/>
        </w:rPr>
        <w:t>(a) NACIE-UP facility                 (b) mass flow rate</w:t>
      </w:r>
    </w:p>
    <w:p w14:paraId="4E718681" w14:textId="361897D2" w:rsidR="004966CC" w:rsidRDefault="004966CC" w:rsidP="004966CC">
      <w:pPr>
        <w:pStyle w:val="a8"/>
        <w:rPr>
          <w:lang w:val="fr-FR"/>
        </w:rPr>
      </w:pPr>
      <w:bookmarkStart w:id="6" w:name="_Ref223875949"/>
      <w:r>
        <w:t xml:space="preserve">Fig. </w:t>
      </w:r>
      <w:fldSimple w:instr=" SEQ Fig. \* ARABIC ">
        <w:r w:rsidR="00B4546B">
          <w:rPr>
            <w:noProof/>
          </w:rPr>
          <w:t>4</w:t>
        </w:r>
      </w:fldSimple>
      <w:bookmarkEnd w:id="6"/>
      <w:r>
        <w:t xml:space="preserve"> </w:t>
      </w:r>
      <w:r>
        <w:t>Mass flow rate of new modeling in THACS</w:t>
      </w:r>
    </w:p>
    <w:p w14:paraId="7441E83D" w14:textId="594F9504" w:rsidR="004966CC" w:rsidRDefault="004966CC" w:rsidP="004966CC">
      <w:pPr>
        <w:jc w:val="center"/>
        <w:rPr>
          <w:lang w:val="fr-FR"/>
        </w:rPr>
      </w:pPr>
      <w:r>
        <w:rPr>
          <w:noProof/>
        </w:rPr>
        <w:drawing>
          <wp:inline distT="0" distB="0" distL="0" distR="0" wp14:anchorId="045946CB" wp14:editId="46C04623">
            <wp:extent cx="2597150" cy="20408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97150" cy="2040890"/>
                    </a:xfrm>
                    <a:prstGeom prst="rect">
                      <a:avLst/>
                    </a:prstGeom>
                    <a:noFill/>
                    <a:ln>
                      <a:noFill/>
                    </a:ln>
                  </pic:spPr>
                </pic:pic>
              </a:graphicData>
            </a:graphic>
          </wp:inline>
        </w:drawing>
      </w:r>
      <w:r>
        <w:rPr>
          <w:noProof/>
        </w:rPr>
        <w:drawing>
          <wp:inline distT="0" distB="0" distL="0" distR="0" wp14:anchorId="6FFD9BFB" wp14:editId="441175A0">
            <wp:extent cx="2618740" cy="20040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18740" cy="2004060"/>
                    </a:xfrm>
                    <a:prstGeom prst="rect">
                      <a:avLst/>
                    </a:prstGeom>
                    <a:noFill/>
                    <a:ln>
                      <a:noFill/>
                    </a:ln>
                  </pic:spPr>
                </pic:pic>
              </a:graphicData>
            </a:graphic>
          </wp:inline>
        </w:drawing>
      </w:r>
    </w:p>
    <w:p w14:paraId="1F776326" w14:textId="77777777" w:rsidR="004966CC" w:rsidRDefault="004966CC" w:rsidP="004966CC">
      <w:pPr>
        <w:rPr>
          <w:lang w:val="fr-FR"/>
        </w:rPr>
      </w:pPr>
      <w:r>
        <w:rPr>
          <w:lang w:val="fr-FR"/>
        </w:rPr>
        <w:t xml:space="preserve">         (a) TP101 and TP102                   (b) TP203 and TP204</w:t>
      </w:r>
    </w:p>
    <w:p w14:paraId="42236D5D" w14:textId="1B7E12E8" w:rsidR="004966CC" w:rsidRDefault="004966CC" w:rsidP="004966CC">
      <w:pPr>
        <w:jc w:val="center"/>
        <w:rPr>
          <w:lang w:val="fr-FR"/>
        </w:rPr>
      </w:pPr>
      <w:r>
        <w:rPr>
          <w:noProof/>
        </w:rPr>
        <w:drawing>
          <wp:inline distT="0" distB="0" distL="0" distR="0" wp14:anchorId="6F55DBE6" wp14:editId="2777016A">
            <wp:extent cx="2574925" cy="2019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74925" cy="2019300"/>
                    </a:xfrm>
                    <a:prstGeom prst="rect">
                      <a:avLst/>
                    </a:prstGeom>
                    <a:noFill/>
                    <a:ln>
                      <a:noFill/>
                    </a:ln>
                  </pic:spPr>
                </pic:pic>
              </a:graphicData>
            </a:graphic>
          </wp:inline>
        </w:drawing>
      </w:r>
      <w:r>
        <w:rPr>
          <w:noProof/>
        </w:rPr>
        <w:drawing>
          <wp:inline distT="0" distB="0" distL="0" distR="0" wp14:anchorId="4BE2002A" wp14:editId="5BE9379C">
            <wp:extent cx="2574925" cy="19748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74925" cy="1974850"/>
                    </a:xfrm>
                    <a:prstGeom prst="rect">
                      <a:avLst/>
                    </a:prstGeom>
                    <a:noFill/>
                    <a:ln>
                      <a:noFill/>
                    </a:ln>
                  </pic:spPr>
                </pic:pic>
              </a:graphicData>
            </a:graphic>
          </wp:inline>
        </w:drawing>
      </w:r>
    </w:p>
    <w:p w14:paraId="64276A57" w14:textId="77777777" w:rsidR="004966CC" w:rsidRDefault="004966CC" w:rsidP="004966CC">
      <w:pPr>
        <w:rPr>
          <w:lang w:val="fr-FR"/>
        </w:rPr>
      </w:pPr>
      <w:r>
        <w:rPr>
          <w:lang w:val="fr-FR"/>
        </w:rPr>
        <w:lastRenderedPageBreak/>
        <w:t xml:space="preserve">         (c) TP103 and TP104               (d) TP105, TP106, and TP107</w:t>
      </w:r>
    </w:p>
    <w:p w14:paraId="7668EE0F" w14:textId="2F3EE446" w:rsidR="004966CC" w:rsidRDefault="004966CC" w:rsidP="004966CC">
      <w:pPr>
        <w:pStyle w:val="a8"/>
      </w:pPr>
      <w:bookmarkStart w:id="7" w:name="_Ref223875953"/>
      <w:r>
        <w:t xml:space="preserve">Fig. </w:t>
      </w:r>
      <w:fldSimple w:instr=" SEQ Fig. \* ARABIC ">
        <w:r w:rsidR="00B4546B">
          <w:rPr>
            <w:noProof/>
          </w:rPr>
          <w:t>5</w:t>
        </w:r>
      </w:fldSimple>
      <w:bookmarkEnd w:id="7"/>
      <w:r>
        <w:t xml:space="preserve"> </w:t>
      </w:r>
      <w:r>
        <w:t>Thermal-couple (TP) temperature prediction of new modeling in THACS</w:t>
      </w:r>
    </w:p>
    <w:p w14:paraId="6E1329A4" w14:textId="77777777" w:rsidR="004966CC" w:rsidRPr="004966CC" w:rsidRDefault="004966CC" w:rsidP="004966CC">
      <w:pPr>
        <w:rPr>
          <w:rFonts w:hint="eastAsia"/>
        </w:rPr>
      </w:pPr>
    </w:p>
    <w:p w14:paraId="1EAD5CC1" w14:textId="697F5502" w:rsidR="009738E5" w:rsidRDefault="009738E5" w:rsidP="003071BE">
      <w:r>
        <w:rPr>
          <w:rFonts w:hint="eastAsia"/>
        </w:rPr>
        <w:t>References</w:t>
      </w:r>
    </w:p>
    <w:p w14:paraId="54ED10A2" w14:textId="3C8B585C" w:rsidR="009738E5" w:rsidRDefault="009738E5" w:rsidP="009738E5">
      <w:pPr>
        <w:pStyle w:val="a7"/>
        <w:numPr>
          <w:ilvl w:val="0"/>
          <w:numId w:val="2"/>
        </w:numPr>
        <w:ind w:firstLineChars="0"/>
      </w:pPr>
      <w:bookmarkStart w:id="8" w:name="_Ref223782090"/>
      <w:r w:rsidRPr="009738E5">
        <w:t>HU, B.X., WU, Y.W., TIAN, W.X., et al. Development of a transient thermal-hydraulic code for analysis of China Demonstration Fast Reactor. Annals of Nuclear Energy 55, (2013) 302-311.</w:t>
      </w:r>
      <w:bookmarkEnd w:id="8"/>
    </w:p>
    <w:p w14:paraId="48C9A3E1" w14:textId="14E91745" w:rsidR="009738E5" w:rsidRDefault="009738E5" w:rsidP="009738E5">
      <w:pPr>
        <w:pStyle w:val="a7"/>
        <w:numPr>
          <w:ilvl w:val="0"/>
          <w:numId w:val="2"/>
        </w:numPr>
        <w:ind w:firstLineChars="0"/>
      </w:pPr>
      <w:bookmarkStart w:id="9" w:name="_Ref223782092"/>
      <w:r w:rsidRPr="009738E5">
        <w:t>MA, Z., YUE, N., ZHENG, M., et al. Basic verification of THACS for sodium-cooled fast reactor system analysis. Annals of Nuclear Energy 76, (2015) 1-11.</w:t>
      </w:r>
      <w:bookmarkEnd w:id="9"/>
    </w:p>
    <w:p w14:paraId="4D2E6564" w14:textId="1DD98147" w:rsidR="009738E5" w:rsidRDefault="009738E5" w:rsidP="009738E5">
      <w:pPr>
        <w:pStyle w:val="a7"/>
        <w:numPr>
          <w:ilvl w:val="0"/>
          <w:numId w:val="2"/>
        </w:numPr>
        <w:ind w:firstLineChars="0"/>
      </w:pPr>
      <w:bookmarkStart w:id="10" w:name="_Ref223782100"/>
      <w:r w:rsidRPr="009738E5">
        <w:rPr>
          <w:rFonts w:hint="eastAsia"/>
        </w:rPr>
        <w:t>WANG, S., ZHANG, D., LIANG, Y., et al. Development a methodology for evaluating inter</w:t>
      </w:r>
      <w:r w:rsidRPr="009738E5">
        <w:rPr>
          <w:rFonts w:hint="eastAsia"/>
        </w:rPr>
        <w:t>‐</w:t>
      </w:r>
      <w:r w:rsidRPr="009738E5">
        <w:rPr>
          <w:rFonts w:hint="eastAsia"/>
        </w:rPr>
        <w:t>assembly heat transfer effect through reactor core in system safety analysis of sodium</w:t>
      </w:r>
      <w:r w:rsidRPr="009738E5">
        <w:rPr>
          <w:rFonts w:hint="eastAsia"/>
        </w:rPr>
        <w:t>‐</w:t>
      </w:r>
      <w:r w:rsidRPr="009738E5">
        <w:rPr>
          <w:rFonts w:hint="eastAsia"/>
        </w:rPr>
        <w:t>cooled fast reactor. International Journal of Energy Research 45, (2021) 12258-1227</w:t>
      </w:r>
      <w:r w:rsidRPr="009738E5">
        <w:t>1.</w:t>
      </w:r>
      <w:bookmarkEnd w:id="10"/>
    </w:p>
    <w:p w14:paraId="3C41479A" w14:textId="6BC373A8" w:rsidR="009738E5" w:rsidRDefault="009738E5" w:rsidP="009738E5">
      <w:pPr>
        <w:pStyle w:val="a7"/>
        <w:numPr>
          <w:ilvl w:val="0"/>
          <w:numId w:val="2"/>
        </w:numPr>
        <w:ind w:firstLineChars="0"/>
      </w:pPr>
      <w:bookmarkStart w:id="11" w:name="_Ref223782109"/>
      <w:r w:rsidRPr="009738E5">
        <w:t>WANG, S., ZHANG, D., SONG, P., et al. Validation of a methodology for thermal stratification analysis in sodium-cooled fast reactors. International Journal of Energy Research 42, (2018). 3803-3822.</w:t>
      </w:r>
      <w:bookmarkEnd w:id="11"/>
    </w:p>
    <w:p w14:paraId="6A2A091A" w14:textId="109CC3F6" w:rsidR="009738E5" w:rsidRDefault="009738E5" w:rsidP="009738E5">
      <w:pPr>
        <w:pStyle w:val="a7"/>
        <w:numPr>
          <w:ilvl w:val="0"/>
          <w:numId w:val="2"/>
        </w:numPr>
        <w:ind w:firstLineChars="0"/>
      </w:pPr>
      <w:bookmarkStart w:id="12" w:name="_Ref223782114"/>
      <w:r w:rsidRPr="009738E5">
        <w:t>YUE, N., MA, Z., CAI, R., et al. Thermal-hydraulic analysis of EBR-II Shutdown Heat Removal Tests SHRT-17 and SHRT-45R. Progress in Nuclear Energy 85, (2015). 682-693.</w:t>
      </w:r>
      <w:bookmarkEnd w:id="12"/>
    </w:p>
    <w:p w14:paraId="691676D4" w14:textId="394DD644" w:rsidR="009738E5" w:rsidRDefault="00404C77" w:rsidP="009738E5">
      <w:pPr>
        <w:pStyle w:val="a7"/>
        <w:numPr>
          <w:ilvl w:val="0"/>
          <w:numId w:val="2"/>
        </w:numPr>
        <w:ind w:firstLineChars="0"/>
      </w:pPr>
      <w:bookmarkStart w:id="13" w:name="_Ref223782115"/>
      <w:r w:rsidRPr="00404C77">
        <w:t>YUE, N., ZHANG, D., CHEN, J., et al. The development and validation of the inter-wrapper flow model in sodium-cooled fast reactors. Progress in Nuclear Energy 108, (2018) 54-65.</w:t>
      </w:r>
      <w:bookmarkEnd w:id="13"/>
    </w:p>
    <w:p w14:paraId="7A21BFFF" w14:textId="695E293E" w:rsidR="000A1E0D" w:rsidRDefault="000A1E0D" w:rsidP="009738E5">
      <w:pPr>
        <w:pStyle w:val="a7"/>
        <w:numPr>
          <w:ilvl w:val="0"/>
          <w:numId w:val="2"/>
        </w:numPr>
        <w:ind w:firstLineChars="0"/>
        <w:rPr>
          <w:rFonts w:hint="eastAsia"/>
        </w:rPr>
      </w:pPr>
      <w:bookmarkStart w:id="14" w:name="_Ref223877412"/>
      <w:proofErr w:type="spellStart"/>
      <w:r w:rsidRPr="000A1E0D">
        <w:t>Mikityuk</w:t>
      </w:r>
      <w:proofErr w:type="spellEnd"/>
      <w:r w:rsidRPr="000A1E0D">
        <w:t xml:space="preserve"> K. Heat transfer to liquid metal: review of data and correlations for tube bundles[J]. Nuclear Engineering and Design, 2009, 239(4): 680-687.</w:t>
      </w:r>
      <w:bookmarkEnd w:id="14"/>
    </w:p>
    <w:sectPr w:rsidR="000A1E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4A554" w14:textId="77777777" w:rsidR="009E26F4" w:rsidRDefault="009E26F4" w:rsidP="003071BE">
      <w:r>
        <w:separator/>
      </w:r>
    </w:p>
  </w:endnote>
  <w:endnote w:type="continuationSeparator" w:id="0">
    <w:p w14:paraId="5A855FD3" w14:textId="77777777" w:rsidR="009E26F4" w:rsidRDefault="009E26F4" w:rsidP="00307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303DF" w14:textId="77777777" w:rsidR="009E26F4" w:rsidRDefault="009E26F4" w:rsidP="003071BE">
      <w:r>
        <w:separator/>
      </w:r>
    </w:p>
  </w:footnote>
  <w:footnote w:type="continuationSeparator" w:id="0">
    <w:p w14:paraId="3541EA13" w14:textId="77777777" w:rsidR="009E26F4" w:rsidRDefault="009E26F4" w:rsidP="00307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7D8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33340D5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CCC0DD1"/>
    <w:multiLevelType w:val="hybridMultilevel"/>
    <w:tmpl w:val="5E56A014"/>
    <w:lvl w:ilvl="0" w:tplc="4456ED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9E7557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7DD765E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DD"/>
    <w:rsid w:val="00002384"/>
    <w:rsid w:val="00007DB3"/>
    <w:rsid w:val="0006493A"/>
    <w:rsid w:val="00095DEC"/>
    <w:rsid w:val="000A1E0D"/>
    <w:rsid w:val="00174F07"/>
    <w:rsid w:val="001871BD"/>
    <w:rsid w:val="002D784A"/>
    <w:rsid w:val="003071BE"/>
    <w:rsid w:val="00371673"/>
    <w:rsid w:val="003A193A"/>
    <w:rsid w:val="003E6F62"/>
    <w:rsid w:val="00404C77"/>
    <w:rsid w:val="004559DD"/>
    <w:rsid w:val="004966CC"/>
    <w:rsid w:val="004C5A73"/>
    <w:rsid w:val="004C6898"/>
    <w:rsid w:val="004D0D7E"/>
    <w:rsid w:val="004E0017"/>
    <w:rsid w:val="00517C2B"/>
    <w:rsid w:val="00527232"/>
    <w:rsid w:val="006111D6"/>
    <w:rsid w:val="00646D92"/>
    <w:rsid w:val="006A25CC"/>
    <w:rsid w:val="006A6704"/>
    <w:rsid w:val="006D48F9"/>
    <w:rsid w:val="00710011"/>
    <w:rsid w:val="0071269E"/>
    <w:rsid w:val="00746C19"/>
    <w:rsid w:val="0079313D"/>
    <w:rsid w:val="008049B3"/>
    <w:rsid w:val="008C65A3"/>
    <w:rsid w:val="00956154"/>
    <w:rsid w:val="009738E5"/>
    <w:rsid w:val="009B16C4"/>
    <w:rsid w:val="009B41F5"/>
    <w:rsid w:val="009E26F4"/>
    <w:rsid w:val="00A16C58"/>
    <w:rsid w:val="00A33A0E"/>
    <w:rsid w:val="00A523FD"/>
    <w:rsid w:val="00A811E8"/>
    <w:rsid w:val="00B4546B"/>
    <w:rsid w:val="00C30750"/>
    <w:rsid w:val="00C30FD4"/>
    <w:rsid w:val="00C50CAA"/>
    <w:rsid w:val="00C60F07"/>
    <w:rsid w:val="00C93C00"/>
    <w:rsid w:val="00CA5DAD"/>
    <w:rsid w:val="00DD72FC"/>
    <w:rsid w:val="00ED04A0"/>
    <w:rsid w:val="00ED786E"/>
    <w:rsid w:val="00F04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A75FA"/>
  <w15:chartTrackingRefBased/>
  <w15:docId w15:val="{9795AAB4-9CAA-4AE5-BAFE-000CE167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1BE"/>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1B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1BE"/>
    <w:rPr>
      <w:sz w:val="18"/>
      <w:szCs w:val="18"/>
    </w:rPr>
  </w:style>
  <w:style w:type="paragraph" w:styleId="a5">
    <w:name w:val="footer"/>
    <w:basedOn w:val="a"/>
    <w:link w:val="a6"/>
    <w:uiPriority w:val="99"/>
    <w:unhideWhenUsed/>
    <w:rsid w:val="003071BE"/>
    <w:pPr>
      <w:tabs>
        <w:tab w:val="center" w:pos="4153"/>
        <w:tab w:val="right" w:pos="8306"/>
      </w:tabs>
      <w:snapToGrid w:val="0"/>
      <w:jc w:val="left"/>
    </w:pPr>
    <w:rPr>
      <w:sz w:val="18"/>
      <w:szCs w:val="18"/>
    </w:rPr>
  </w:style>
  <w:style w:type="character" w:customStyle="1" w:styleId="a6">
    <w:name w:val="页脚 字符"/>
    <w:basedOn w:val="a0"/>
    <w:link w:val="a5"/>
    <w:uiPriority w:val="99"/>
    <w:rsid w:val="003071BE"/>
    <w:rPr>
      <w:sz w:val="18"/>
      <w:szCs w:val="18"/>
    </w:rPr>
  </w:style>
  <w:style w:type="paragraph" w:styleId="a7">
    <w:name w:val="List Paragraph"/>
    <w:basedOn w:val="a"/>
    <w:uiPriority w:val="34"/>
    <w:qFormat/>
    <w:rsid w:val="00ED786E"/>
    <w:pPr>
      <w:ind w:firstLineChars="200" w:firstLine="420"/>
    </w:pPr>
  </w:style>
  <w:style w:type="paragraph" w:styleId="a8">
    <w:name w:val="caption"/>
    <w:aliases w:val="图表题注"/>
    <w:basedOn w:val="a"/>
    <w:next w:val="a"/>
    <w:unhideWhenUsed/>
    <w:qFormat/>
    <w:rsid w:val="006111D6"/>
    <w:pPr>
      <w:jc w:val="center"/>
    </w:pPr>
    <w:rPr>
      <w:rFonts w:eastAsia="黑体" w:cstheme="majorBidi"/>
      <w:sz w:val="20"/>
      <w:szCs w:val="20"/>
    </w:rPr>
  </w:style>
  <w:style w:type="character" w:customStyle="1" w:styleId="MTEquationSection">
    <w:name w:val="MTEquationSection"/>
    <w:basedOn w:val="a0"/>
    <w:rsid w:val="0079313D"/>
    <w:rPr>
      <w:vanish/>
      <w:color w:val="FF0000"/>
    </w:rPr>
  </w:style>
  <w:style w:type="paragraph" w:customStyle="1" w:styleId="MTDisplayEquation">
    <w:name w:val="MTDisplayEquation"/>
    <w:basedOn w:val="a"/>
    <w:next w:val="a"/>
    <w:link w:val="MTDisplayEquation0"/>
    <w:rsid w:val="0079313D"/>
    <w:pPr>
      <w:tabs>
        <w:tab w:val="center" w:pos="4160"/>
        <w:tab w:val="right" w:pos="8300"/>
      </w:tabs>
    </w:pPr>
  </w:style>
  <w:style w:type="character" w:customStyle="1" w:styleId="MTDisplayEquation0">
    <w:name w:val="MTDisplayEquation 字符"/>
    <w:basedOn w:val="a0"/>
    <w:link w:val="MTDisplayEquation"/>
    <w:rsid w:val="0079313D"/>
    <w:rPr>
      <w:rFonts w:ascii="Times New Roman" w:eastAsia="宋体" w:hAnsi="Times New Roman"/>
    </w:rPr>
  </w:style>
  <w:style w:type="table" w:styleId="a9">
    <w:name w:val="Table Grid"/>
    <w:basedOn w:val="a1"/>
    <w:uiPriority w:val="39"/>
    <w:rsid w:val="00B4546B"/>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图片表格"/>
    <w:basedOn w:val="a"/>
    <w:qFormat/>
    <w:rsid w:val="00B4546B"/>
    <w:pPr>
      <w:spacing w:line="360" w:lineRule="auto"/>
      <w:jc w:val="center"/>
    </w:pPr>
    <w:rPr>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65274">
      <w:bodyDiv w:val="1"/>
      <w:marLeft w:val="0"/>
      <w:marRight w:val="0"/>
      <w:marTop w:val="0"/>
      <w:marBottom w:val="0"/>
      <w:divBdr>
        <w:top w:val="none" w:sz="0" w:space="0" w:color="auto"/>
        <w:left w:val="none" w:sz="0" w:space="0" w:color="auto"/>
        <w:bottom w:val="none" w:sz="0" w:space="0" w:color="auto"/>
        <w:right w:val="none" w:sz="0" w:space="0" w:color="auto"/>
      </w:divBdr>
    </w:div>
    <w:div w:id="191647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9.bin"/><Relationship Id="rId47" Type="http://schemas.openxmlformats.org/officeDocument/2006/relationships/image" Target="media/image19.wmf"/><Relationship Id="rId63" Type="http://schemas.openxmlformats.org/officeDocument/2006/relationships/image" Target="media/image26.wmf"/><Relationship Id="rId68" Type="http://schemas.openxmlformats.org/officeDocument/2006/relationships/image" Target="media/image29.jpeg"/><Relationship Id="rId16" Type="http://schemas.openxmlformats.org/officeDocument/2006/relationships/image" Target="media/image6.wmf"/><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oleObject" Target="embeddings/oleObject17.bin"/><Relationship Id="rId45" Type="http://schemas.openxmlformats.org/officeDocument/2006/relationships/image" Target="media/image18.wmf"/><Relationship Id="rId53" Type="http://schemas.openxmlformats.org/officeDocument/2006/relationships/oleObject" Target="embeddings/oleObject25.bin"/><Relationship Id="rId58" Type="http://schemas.openxmlformats.org/officeDocument/2006/relationships/oleObject" Target="embeddings/oleObject28.bin"/><Relationship Id="rId66" Type="http://schemas.openxmlformats.org/officeDocument/2006/relationships/oleObject" Target="embeddings/oleObject32.bin"/><Relationship Id="rId74" Type="http://schemas.openxmlformats.org/officeDocument/2006/relationships/image" Target="media/image35.png"/><Relationship Id="rId79"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image" Target="media/image25.wmf"/><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image" Target="media/image17.wmf"/><Relationship Id="rId48" Type="http://schemas.openxmlformats.org/officeDocument/2006/relationships/oleObject" Target="embeddings/oleObject22.bin"/><Relationship Id="rId56" Type="http://schemas.openxmlformats.org/officeDocument/2006/relationships/oleObject" Target="embeddings/oleObject27.bin"/><Relationship Id="rId64" Type="http://schemas.openxmlformats.org/officeDocument/2006/relationships/oleObject" Target="embeddings/oleObject31.bin"/><Relationship Id="rId69" Type="http://schemas.openxmlformats.org/officeDocument/2006/relationships/image" Target="media/image30.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24.bin"/><Relationship Id="rId72" Type="http://schemas.openxmlformats.org/officeDocument/2006/relationships/image" Target="media/image33.png"/><Relationship Id="rId80"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oleObject" Target="embeddings/oleObject16.bin"/><Relationship Id="rId46" Type="http://schemas.openxmlformats.org/officeDocument/2006/relationships/oleObject" Target="embeddings/oleObject21.bin"/><Relationship Id="rId59" Type="http://schemas.openxmlformats.org/officeDocument/2006/relationships/image" Target="media/image24.wmf"/><Relationship Id="rId67" Type="http://schemas.openxmlformats.org/officeDocument/2006/relationships/image" Target="media/image28.png"/><Relationship Id="rId20" Type="http://schemas.openxmlformats.org/officeDocument/2006/relationships/image" Target="media/image8.wmf"/><Relationship Id="rId41" Type="http://schemas.openxmlformats.org/officeDocument/2006/relationships/oleObject" Target="embeddings/oleObject18.bin"/><Relationship Id="rId54" Type="http://schemas.openxmlformats.org/officeDocument/2006/relationships/image" Target="media/image22.wmf"/><Relationship Id="rId62" Type="http://schemas.openxmlformats.org/officeDocument/2006/relationships/oleObject" Target="embeddings/oleObject30.bin"/><Relationship Id="rId70" Type="http://schemas.openxmlformats.org/officeDocument/2006/relationships/image" Target="media/image31.png"/><Relationship Id="rId75"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4.bin"/><Relationship Id="rId49" Type="http://schemas.openxmlformats.org/officeDocument/2006/relationships/image" Target="media/image20.wmf"/><Relationship Id="rId57" Type="http://schemas.openxmlformats.org/officeDocument/2006/relationships/image" Target="media/image23.wmf"/><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oleObject" Target="embeddings/oleObject20.bin"/><Relationship Id="rId52" Type="http://schemas.openxmlformats.org/officeDocument/2006/relationships/image" Target="media/image21.wmf"/><Relationship Id="rId60" Type="http://schemas.openxmlformats.org/officeDocument/2006/relationships/oleObject" Target="embeddings/oleObject29.bin"/><Relationship Id="rId65" Type="http://schemas.openxmlformats.org/officeDocument/2006/relationships/image" Target="media/image27.wmf"/><Relationship Id="rId73" Type="http://schemas.openxmlformats.org/officeDocument/2006/relationships/image" Target="media/image34.png"/><Relationship Id="rId78"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6.wmf"/><Relationship Id="rId34" Type="http://schemas.openxmlformats.org/officeDocument/2006/relationships/image" Target="media/image15.wmf"/><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oleObject" Target="embeddings/oleObject1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BBD58-72EC-4B58-8095-74347D50DC86}">
  <ds:schemaRefs>
    <ds:schemaRef ds:uri="http://schemas.openxmlformats.org/officeDocument/2006/bibliography"/>
  </ds:schemaRefs>
</ds:datastoreItem>
</file>

<file path=customXml/itemProps2.xml><?xml version="1.0" encoding="utf-8"?>
<ds:datastoreItem xmlns:ds="http://schemas.openxmlformats.org/officeDocument/2006/customXml" ds:itemID="{87FC4DF5-BE02-49F2-B6BA-194C9D2BC279}"/>
</file>

<file path=customXml/itemProps3.xml><?xml version="1.0" encoding="utf-8"?>
<ds:datastoreItem xmlns:ds="http://schemas.openxmlformats.org/officeDocument/2006/customXml" ds:itemID="{0DF2AC64-BD79-4A5F-88CA-239A8B74476B}"/>
</file>

<file path=customXml/itemProps4.xml><?xml version="1.0" encoding="utf-8"?>
<ds:datastoreItem xmlns:ds="http://schemas.openxmlformats.org/officeDocument/2006/customXml" ds:itemID="{72B09BFE-C805-47C5-971A-4BC97BF17698}"/>
</file>

<file path=docProps/app.xml><?xml version="1.0" encoding="utf-8"?>
<Properties xmlns="http://schemas.openxmlformats.org/officeDocument/2006/extended-properties" xmlns:vt="http://schemas.openxmlformats.org/officeDocument/2006/docPropsVTypes">
  <Template>Normal.dotm</Template>
  <TotalTime>1618</TotalTime>
  <Pages>7</Pages>
  <Words>1949</Words>
  <Characters>11115</Characters>
  <Application>Microsoft Office Word</Application>
  <DocSecurity>0</DocSecurity>
  <Lines>92</Lines>
  <Paragraphs>26</Paragraphs>
  <ScaleCrop>false</ScaleCrop>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Haoyang Li</dc:creator>
  <cp:keywords/>
  <dc:description/>
  <cp:lastModifiedBy>Haoyang Li</cp:lastModifiedBy>
  <cp:revision>42</cp:revision>
  <dcterms:created xsi:type="dcterms:W3CDTF">2026-03-07T04:49:00Z</dcterms:created>
  <dcterms:modified xsi:type="dcterms:W3CDTF">2026-03-08T07:54:00Z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0x010100C38D9328E238A74E9F29FD7E721AEDAB</vt:lpwstr>
  </property>
</Properties>
</file>