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A1CC5" w14:textId="659532B3" w:rsidR="00362206" w:rsidRPr="00F930F7" w:rsidRDefault="00362206" w:rsidP="00F930F7">
      <w:pPr>
        <w:pStyle w:val="Paragrafoelenco"/>
        <w:numPr>
          <w:ilvl w:val="0"/>
          <w:numId w:val="2"/>
        </w:numPr>
        <w:spacing w:line="360" w:lineRule="auto"/>
        <w:rPr>
          <w:rFonts w:ascii="Times New Roman" w:hAnsi="Times New Roman" w:cs="Times New Roman"/>
          <w:sz w:val="32"/>
          <w:szCs w:val="32"/>
        </w:rPr>
      </w:pPr>
      <w:r w:rsidRPr="00F930F7">
        <w:rPr>
          <w:rFonts w:ascii="Times New Roman" w:hAnsi="Times New Roman" w:cs="Times New Roman"/>
          <w:sz w:val="32"/>
          <w:szCs w:val="32"/>
        </w:rPr>
        <w:t>WP4-Multiphysics</w:t>
      </w:r>
    </w:p>
    <w:p w14:paraId="4DCC21F8" w14:textId="4DAE265C" w:rsidR="00B45EA4" w:rsidRPr="00362206" w:rsidRDefault="00B45EA4" w:rsidP="00B45EA4">
      <w:pPr>
        <w:pStyle w:val="Paragrafoelenco"/>
        <w:numPr>
          <w:ilvl w:val="1"/>
          <w:numId w:val="2"/>
        </w:numPr>
        <w:spacing w:line="360" w:lineRule="auto"/>
        <w:rPr>
          <w:rFonts w:ascii="Times New Roman" w:hAnsi="Times New Roman" w:cs="Times New Roman"/>
          <w:sz w:val="32"/>
          <w:szCs w:val="32"/>
        </w:rPr>
      </w:pPr>
      <w:r>
        <w:rPr>
          <w:rFonts w:ascii="Times New Roman" w:hAnsi="Times New Roman" w:cs="Times New Roman"/>
          <w:sz w:val="32"/>
          <w:szCs w:val="32"/>
        </w:rPr>
        <w:t>Introduction</w:t>
      </w:r>
    </w:p>
    <w:p w14:paraId="079DCDD1" w14:textId="6C858947" w:rsidR="00362206" w:rsidRPr="00362206" w:rsidRDefault="00362206" w:rsidP="00362206">
      <w:pPr>
        <w:spacing w:line="360" w:lineRule="auto"/>
        <w:jc w:val="both"/>
        <w:rPr>
          <w:rFonts w:ascii="Times New Roman" w:hAnsi="Times New Roman" w:cs="Times New Roman"/>
          <w:sz w:val="24"/>
          <w:szCs w:val="24"/>
        </w:rPr>
      </w:pPr>
      <w:r w:rsidRPr="00362206">
        <w:rPr>
          <w:rFonts w:ascii="Times New Roman" w:hAnsi="Times New Roman" w:cs="Times New Roman"/>
          <w:sz w:val="24"/>
          <w:szCs w:val="24"/>
        </w:rPr>
        <w:t xml:space="preserve">Multiphysics analysis </w:t>
      </w:r>
      <w:r>
        <w:rPr>
          <w:rFonts w:ascii="Times New Roman" w:hAnsi="Times New Roman" w:cs="Times New Roman"/>
          <w:sz w:val="24"/>
          <w:szCs w:val="24"/>
        </w:rPr>
        <w:t xml:space="preserve">is foreseen to play a relevant role in Generation IV applications. Indeed, owing to the considered reactor concept designs and involved fluids and fluid-dynamic phenomena, the 1D approaches which proved to be suitable for LWRs may not be enough to achieve a sufficient level of detail. In this sense, CFD and subchannel codes may provide relevant information allowing jumping the gap and solving issues related to complicated components geometries or configurations. CFD may indeed allow achieving suitable predictions of intrinsically 3D environments, as the large pools foreseen for LMFBRs as well as detailed information about bulk and wall temperatures in fuel elements. Nevertheless, owing to the large computational cost, such detailed approaches should be limited to vital components for which the </w:t>
      </w:r>
      <w:r w:rsidR="003324DD">
        <w:rPr>
          <w:rFonts w:ascii="Times New Roman" w:hAnsi="Times New Roman" w:cs="Times New Roman"/>
          <w:sz w:val="24"/>
          <w:szCs w:val="24"/>
        </w:rPr>
        <w:t xml:space="preserve">System Thermal Hydraulics </w:t>
      </w:r>
      <w:r>
        <w:rPr>
          <w:rFonts w:ascii="Times New Roman" w:hAnsi="Times New Roman" w:cs="Times New Roman"/>
          <w:sz w:val="24"/>
          <w:szCs w:val="24"/>
        </w:rPr>
        <w:t xml:space="preserve">1D approach could be hardly applied, even after a suitable tuning of the lumped parameters and the considered </w:t>
      </w:r>
      <w:proofErr w:type="spellStart"/>
      <w:r>
        <w:rPr>
          <w:rFonts w:ascii="Times New Roman" w:hAnsi="Times New Roman" w:cs="Times New Roman"/>
          <w:sz w:val="24"/>
          <w:szCs w:val="24"/>
        </w:rPr>
        <w:t>nodalization</w:t>
      </w:r>
      <w:proofErr w:type="spellEnd"/>
      <w:r>
        <w:rPr>
          <w:rFonts w:ascii="Times New Roman" w:hAnsi="Times New Roman" w:cs="Times New Roman"/>
          <w:sz w:val="24"/>
          <w:szCs w:val="24"/>
        </w:rPr>
        <w:t>.</w:t>
      </w:r>
      <w:r w:rsidR="00AA2ABF">
        <w:rPr>
          <w:rFonts w:ascii="Times New Roman" w:hAnsi="Times New Roman" w:cs="Times New Roman"/>
          <w:sz w:val="24"/>
          <w:szCs w:val="24"/>
        </w:rPr>
        <w:t xml:space="preserve"> Coupling STH and subchannel codes, instead, my add depth to the analysis without increasing too much the computational cost.</w:t>
      </w:r>
      <w:r w:rsidR="003324DD">
        <w:rPr>
          <w:rFonts w:ascii="Times New Roman" w:hAnsi="Times New Roman" w:cs="Times New Roman"/>
          <w:sz w:val="24"/>
          <w:szCs w:val="24"/>
        </w:rPr>
        <w:t xml:space="preserve"> Consequently, the development of Multiphysics approaches, or coupled codes applications, may help in overcoming the limits of stand-alone applications while granting the advantages of each code when used in its natural suitable environment. </w:t>
      </w:r>
    </w:p>
    <w:p w14:paraId="3A8306D7" w14:textId="1006A022" w:rsidR="00B45EA4" w:rsidRDefault="003324DD" w:rsidP="003324DD">
      <w:pPr>
        <w:spacing w:line="360" w:lineRule="auto"/>
        <w:jc w:val="both"/>
        <w:rPr>
          <w:rFonts w:ascii="Times New Roman" w:hAnsi="Times New Roman" w:cs="Times New Roman"/>
          <w:sz w:val="24"/>
          <w:szCs w:val="24"/>
        </w:rPr>
      </w:pPr>
      <w:bookmarkStart w:id="0" w:name="_Hlk221182633"/>
      <w:r>
        <w:rPr>
          <w:rFonts w:ascii="Times New Roman" w:hAnsi="Times New Roman" w:cs="Times New Roman"/>
          <w:sz w:val="24"/>
          <w:szCs w:val="24"/>
        </w:rPr>
        <w:t>In the framework of the present Coordinated Research Project, Multiphysics approaches were intended as coupled applications between STH and CFD codes</w:t>
      </w:r>
      <w:r w:rsidR="00AA2ABF">
        <w:rPr>
          <w:rFonts w:ascii="Times New Roman" w:hAnsi="Times New Roman" w:cs="Times New Roman"/>
          <w:sz w:val="24"/>
          <w:szCs w:val="24"/>
        </w:rPr>
        <w:t xml:space="preserve"> and STH and subchannel codes</w:t>
      </w:r>
      <w:r>
        <w:rPr>
          <w:rFonts w:ascii="Times New Roman" w:hAnsi="Times New Roman" w:cs="Times New Roman"/>
          <w:sz w:val="24"/>
          <w:szCs w:val="24"/>
        </w:rPr>
        <w:t xml:space="preserve">. </w:t>
      </w:r>
      <w:bookmarkEnd w:id="0"/>
      <w:r>
        <w:rPr>
          <w:rFonts w:ascii="Times New Roman" w:hAnsi="Times New Roman" w:cs="Times New Roman"/>
          <w:sz w:val="24"/>
          <w:szCs w:val="24"/>
        </w:rPr>
        <w:t xml:space="preserve">The main goal of all the participants was providing detailed information during the postulated transient scenarios of the temperature trends inside the Fuel Pin Simulator. </w:t>
      </w:r>
      <w:proofErr w:type="gramStart"/>
      <w:r>
        <w:rPr>
          <w:rFonts w:ascii="Times New Roman" w:hAnsi="Times New Roman" w:cs="Times New Roman"/>
          <w:sz w:val="24"/>
          <w:szCs w:val="24"/>
        </w:rPr>
        <w:t>As a consequence</w:t>
      </w:r>
      <w:proofErr w:type="gramEnd"/>
      <w:r>
        <w:rPr>
          <w:rFonts w:ascii="Times New Roman" w:hAnsi="Times New Roman" w:cs="Times New Roman"/>
          <w:sz w:val="24"/>
          <w:szCs w:val="24"/>
        </w:rPr>
        <w:t xml:space="preserve">, </w:t>
      </w:r>
      <w:r w:rsidR="00AA2ABF">
        <w:rPr>
          <w:rFonts w:ascii="Times New Roman" w:hAnsi="Times New Roman" w:cs="Times New Roman"/>
          <w:sz w:val="24"/>
          <w:szCs w:val="24"/>
        </w:rPr>
        <w:t xml:space="preserve">concerning coupled CFD/STH codes applications, </w:t>
      </w:r>
      <w:r>
        <w:rPr>
          <w:rFonts w:ascii="Times New Roman" w:hAnsi="Times New Roman" w:cs="Times New Roman"/>
          <w:sz w:val="24"/>
          <w:szCs w:val="24"/>
        </w:rPr>
        <w:t>the NACIE-UP loop was simulated adopting a STH approach except for the Fuel Pin Simulator region, which was instead simulated via CFD applications. This way, the computational cost of the calculations is reduced allowing for a more cost</w:t>
      </w:r>
      <w:r w:rsidR="00B45EA4">
        <w:rPr>
          <w:rFonts w:ascii="Times New Roman" w:hAnsi="Times New Roman" w:cs="Times New Roman"/>
          <w:sz w:val="24"/>
          <w:szCs w:val="24"/>
        </w:rPr>
        <w:t>-</w:t>
      </w:r>
      <w:r>
        <w:rPr>
          <w:rFonts w:ascii="Times New Roman" w:hAnsi="Times New Roman" w:cs="Times New Roman"/>
          <w:sz w:val="24"/>
          <w:szCs w:val="24"/>
        </w:rPr>
        <w:t xml:space="preserve">effective simulation. Participants were free to select any STH or CFD code to be coupled as well as the spatial and temporal </w:t>
      </w:r>
      <w:proofErr w:type="spellStart"/>
      <w:r>
        <w:rPr>
          <w:rFonts w:ascii="Times New Roman" w:hAnsi="Times New Roman" w:cs="Times New Roman"/>
          <w:sz w:val="24"/>
          <w:szCs w:val="24"/>
        </w:rPr>
        <w:t>discretizations</w:t>
      </w:r>
      <w:proofErr w:type="spellEnd"/>
      <w:r>
        <w:rPr>
          <w:rFonts w:ascii="Times New Roman" w:hAnsi="Times New Roman" w:cs="Times New Roman"/>
          <w:sz w:val="24"/>
          <w:szCs w:val="24"/>
        </w:rPr>
        <w:t xml:space="preserve">. </w:t>
      </w:r>
      <w:r w:rsidR="00AA2ABF">
        <w:rPr>
          <w:rFonts w:ascii="Times New Roman" w:hAnsi="Times New Roman" w:cs="Times New Roman"/>
          <w:sz w:val="24"/>
          <w:szCs w:val="24"/>
        </w:rPr>
        <w:t xml:space="preserve">A similar strategy was considered for the considered coupled STH/subchannel code application. </w:t>
      </w:r>
      <w:r>
        <w:rPr>
          <w:rFonts w:ascii="Times New Roman" w:hAnsi="Times New Roman" w:cs="Times New Roman"/>
          <w:sz w:val="24"/>
          <w:szCs w:val="24"/>
        </w:rPr>
        <w:t>The performed work mainly consisted of two phases: an open phase in which participants tested their models against the available data for ADP06 and ADP10 and a blind phase for ADP07. Unlike other WPs, it must be here remarked that coupled applications could be performed only after a solid base for both STH and CFD</w:t>
      </w:r>
      <w:r w:rsidR="00B45EA4">
        <w:rPr>
          <w:rFonts w:ascii="Times New Roman" w:hAnsi="Times New Roman" w:cs="Times New Roman"/>
          <w:sz w:val="24"/>
          <w:szCs w:val="24"/>
        </w:rPr>
        <w:t xml:space="preserve"> </w:t>
      </w:r>
      <w:r w:rsidR="00AA2ABF">
        <w:rPr>
          <w:rFonts w:ascii="Times New Roman" w:hAnsi="Times New Roman" w:cs="Times New Roman"/>
          <w:sz w:val="24"/>
          <w:szCs w:val="24"/>
        </w:rPr>
        <w:t xml:space="preserve">(or STH and subchannel code) </w:t>
      </w:r>
      <w:r w:rsidR="00B45EA4">
        <w:rPr>
          <w:rFonts w:ascii="Times New Roman" w:hAnsi="Times New Roman" w:cs="Times New Roman"/>
          <w:sz w:val="24"/>
          <w:szCs w:val="24"/>
        </w:rPr>
        <w:t>stand-alone</w:t>
      </w:r>
      <w:r>
        <w:rPr>
          <w:rFonts w:ascii="Times New Roman" w:hAnsi="Times New Roman" w:cs="Times New Roman"/>
          <w:sz w:val="24"/>
          <w:szCs w:val="24"/>
        </w:rPr>
        <w:t xml:space="preserve"> applications was achieved. With respect to other WPs, indeed, WP4 started operations later and, owing to the larger </w:t>
      </w:r>
      <w:r>
        <w:rPr>
          <w:rFonts w:ascii="Times New Roman" w:hAnsi="Times New Roman" w:cs="Times New Roman"/>
          <w:sz w:val="24"/>
          <w:szCs w:val="24"/>
        </w:rPr>
        <w:lastRenderedPageBreak/>
        <w:t xml:space="preserve">computational cost with respect to other applications, only a few calculations per participant were performed. </w:t>
      </w:r>
      <w:r w:rsidR="00B45EA4">
        <w:rPr>
          <w:rFonts w:ascii="Times New Roman" w:hAnsi="Times New Roman" w:cs="Times New Roman"/>
          <w:sz w:val="24"/>
          <w:szCs w:val="24"/>
        </w:rPr>
        <w:t xml:space="preserve">A refinement of the results after the release of data for the blind case was in addition not possible for all the participants. </w:t>
      </w:r>
      <w:proofErr w:type="gramStart"/>
      <w:r w:rsidR="00B45EA4">
        <w:rPr>
          <w:rFonts w:ascii="Times New Roman" w:hAnsi="Times New Roman" w:cs="Times New Roman"/>
          <w:sz w:val="24"/>
          <w:szCs w:val="24"/>
        </w:rPr>
        <w:t>As a consequence</w:t>
      </w:r>
      <w:proofErr w:type="gramEnd"/>
      <w:r w:rsidR="00B45EA4">
        <w:rPr>
          <w:rFonts w:ascii="Times New Roman" w:hAnsi="Times New Roman" w:cs="Times New Roman"/>
          <w:sz w:val="24"/>
          <w:szCs w:val="24"/>
        </w:rPr>
        <w:t xml:space="preserve">, in the present chapter comparisons for the open and blind phase only will be reported. In the next sections, the activities performed in the WP4 are reported, mainly focusing on the selected </w:t>
      </w:r>
      <w:proofErr w:type="spellStart"/>
      <w:r w:rsidR="00B45EA4">
        <w:rPr>
          <w:rFonts w:ascii="Times New Roman" w:hAnsi="Times New Roman" w:cs="Times New Roman"/>
          <w:sz w:val="24"/>
          <w:szCs w:val="24"/>
        </w:rPr>
        <w:t>discretizations</w:t>
      </w:r>
      <w:proofErr w:type="spellEnd"/>
      <w:r w:rsidR="00B45EA4">
        <w:rPr>
          <w:rFonts w:ascii="Times New Roman" w:hAnsi="Times New Roman" w:cs="Times New Roman"/>
          <w:sz w:val="24"/>
          <w:szCs w:val="24"/>
        </w:rPr>
        <w:t xml:space="preserve"> strategies, adopted codes and comparison of the obtained results, trying to finally draw the lessons learned.</w:t>
      </w:r>
      <w:r w:rsidR="00AA2ABF">
        <w:rPr>
          <w:rFonts w:ascii="Times New Roman" w:hAnsi="Times New Roman" w:cs="Times New Roman"/>
          <w:sz w:val="24"/>
          <w:szCs w:val="24"/>
        </w:rPr>
        <w:t xml:space="preserve"> The first subsection refers to coupled CFD/STH calculations while the second one reports about the coupled STH/subchannel code calculation performed at </w:t>
      </w:r>
      <w:r w:rsidR="00D70416">
        <w:rPr>
          <w:rFonts w:ascii="Times New Roman" w:hAnsi="Times New Roman" w:cs="Times New Roman"/>
          <w:sz w:val="24"/>
          <w:szCs w:val="24"/>
        </w:rPr>
        <w:t>EC-</w:t>
      </w:r>
      <w:r w:rsidR="00AA2ABF">
        <w:rPr>
          <w:rFonts w:ascii="Times New Roman" w:hAnsi="Times New Roman" w:cs="Times New Roman"/>
          <w:sz w:val="24"/>
          <w:szCs w:val="24"/>
        </w:rPr>
        <w:t xml:space="preserve">JRC. </w:t>
      </w:r>
    </w:p>
    <w:p w14:paraId="3C423001" w14:textId="523862B7" w:rsidR="00AA2ABF" w:rsidRDefault="00AA2ABF" w:rsidP="00AA2ABF">
      <w:pPr>
        <w:rPr>
          <w:rFonts w:ascii="Times New Roman" w:hAnsi="Times New Roman" w:cs="Times New Roman"/>
          <w:sz w:val="24"/>
          <w:szCs w:val="24"/>
        </w:rPr>
      </w:pPr>
      <w:r>
        <w:rPr>
          <w:rFonts w:ascii="Times New Roman" w:hAnsi="Times New Roman" w:cs="Times New Roman"/>
          <w:sz w:val="24"/>
          <w:szCs w:val="24"/>
        </w:rPr>
        <w:br w:type="page"/>
      </w:r>
    </w:p>
    <w:p w14:paraId="1C929BF9" w14:textId="1022AB01" w:rsidR="00AA2ABF" w:rsidRDefault="00AA2ABF" w:rsidP="00AA2ABF">
      <w:pPr>
        <w:pStyle w:val="Paragrafoelenco"/>
        <w:numPr>
          <w:ilvl w:val="1"/>
          <w:numId w:val="2"/>
        </w:numPr>
        <w:spacing w:line="360" w:lineRule="auto"/>
        <w:rPr>
          <w:rFonts w:ascii="Times New Roman" w:hAnsi="Times New Roman" w:cs="Times New Roman"/>
          <w:sz w:val="32"/>
          <w:szCs w:val="32"/>
        </w:rPr>
      </w:pPr>
      <w:r>
        <w:rPr>
          <w:rFonts w:ascii="Times New Roman" w:hAnsi="Times New Roman" w:cs="Times New Roman"/>
          <w:sz w:val="32"/>
          <w:szCs w:val="32"/>
        </w:rPr>
        <w:lastRenderedPageBreak/>
        <w:t>Coupled STH/CFD applications</w:t>
      </w:r>
    </w:p>
    <w:p w14:paraId="766F7EC8" w14:textId="77777777" w:rsidR="00AA2ABF" w:rsidRPr="00AA2ABF" w:rsidRDefault="00AA2ABF" w:rsidP="00AA2ABF">
      <w:pPr>
        <w:pStyle w:val="Paragrafoelenco"/>
        <w:spacing w:line="360" w:lineRule="auto"/>
        <w:ind w:left="792"/>
        <w:rPr>
          <w:rFonts w:ascii="Times New Roman" w:hAnsi="Times New Roman" w:cs="Times New Roman"/>
          <w:sz w:val="32"/>
          <w:szCs w:val="32"/>
        </w:rPr>
      </w:pPr>
    </w:p>
    <w:p w14:paraId="50B4950A" w14:textId="28E90E84" w:rsidR="00B45EA4" w:rsidRPr="00D70416" w:rsidRDefault="00B45EA4" w:rsidP="00AA2ABF">
      <w:pPr>
        <w:pStyle w:val="Paragrafoelenco"/>
        <w:numPr>
          <w:ilvl w:val="2"/>
          <w:numId w:val="2"/>
        </w:numPr>
        <w:spacing w:line="360" w:lineRule="auto"/>
        <w:rPr>
          <w:rFonts w:ascii="Times New Roman" w:hAnsi="Times New Roman" w:cs="Times New Roman"/>
          <w:sz w:val="28"/>
          <w:szCs w:val="28"/>
        </w:rPr>
      </w:pPr>
      <w:r w:rsidRPr="00D70416">
        <w:rPr>
          <w:rFonts w:ascii="Times New Roman" w:hAnsi="Times New Roman" w:cs="Times New Roman"/>
          <w:sz w:val="28"/>
          <w:szCs w:val="28"/>
        </w:rPr>
        <w:t xml:space="preserve"> Description of the expected and optional outputs</w:t>
      </w:r>
    </w:p>
    <w:p w14:paraId="74DDD174" w14:textId="68D5720E" w:rsidR="00B45EA4" w:rsidRDefault="00B45EA4" w:rsidP="003324D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amount of information that can be provide by Multiphysics approaches is huge. Unlike STH codes, owing to the CFD domain, millions of cells are included in the calculation and detailed </w:t>
      </w:r>
      <w:proofErr w:type="gramStart"/>
      <w:r>
        <w:rPr>
          <w:rFonts w:ascii="Times New Roman" w:hAnsi="Times New Roman" w:cs="Times New Roman"/>
          <w:sz w:val="24"/>
          <w:szCs w:val="24"/>
        </w:rPr>
        <w:t>temperature</w:t>
      </w:r>
      <w:proofErr w:type="gramEnd"/>
      <w:r>
        <w:rPr>
          <w:rFonts w:ascii="Times New Roman" w:hAnsi="Times New Roman" w:cs="Times New Roman"/>
          <w:sz w:val="24"/>
          <w:szCs w:val="24"/>
        </w:rPr>
        <w:t xml:space="preserve"> and velocity distributions can of course be derived. As also mentioned above, this comes at the cost of large computational efforts, both in terms of spatial and temporal </w:t>
      </w:r>
      <w:proofErr w:type="spellStart"/>
      <w:r>
        <w:rPr>
          <w:rFonts w:ascii="Times New Roman" w:hAnsi="Times New Roman" w:cs="Times New Roman"/>
          <w:sz w:val="24"/>
          <w:szCs w:val="24"/>
        </w:rPr>
        <w:t>discretizations</w:t>
      </w:r>
      <w:proofErr w:type="spellEnd"/>
      <w:r>
        <w:rPr>
          <w:rFonts w:ascii="Times New Roman" w:hAnsi="Times New Roman" w:cs="Times New Roman"/>
          <w:sz w:val="24"/>
          <w:szCs w:val="24"/>
        </w:rPr>
        <w:t xml:space="preserve">. Indeed, the simulation of the Fuel Pin Simulator required from 6 to 60 million cells, depending on the considered level of detail. In addition, sufficiently </w:t>
      </w:r>
      <w:proofErr w:type="gramStart"/>
      <w:r>
        <w:rPr>
          <w:rFonts w:ascii="Times New Roman" w:hAnsi="Times New Roman" w:cs="Times New Roman"/>
          <w:sz w:val="24"/>
          <w:szCs w:val="24"/>
        </w:rPr>
        <w:t>small time</w:t>
      </w:r>
      <w:proofErr w:type="gramEnd"/>
      <w:r>
        <w:rPr>
          <w:rFonts w:ascii="Times New Roman" w:hAnsi="Times New Roman" w:cs="Times New Roman"/>
          <w:sz w:val="24"/>
          <w:szCs w:val="24"/>
        </w:rPr>
        <w:t xml:space="preserve"> steps ranging from 0.025s to 10s were considered which relevantly increased the global computational cost. </w:t>
      </w:r>
    </w:p>
    <w:p w14:paraId="418A4686" w14:textId="77777777" w:rsidR="00C919DC" w:rsidRDefault="00C919DC" w:rsidP="003324DD">
      <w:pPr>
        <w:spacing w:line="360" w:lineRule="auto"/>
        <w:jc w:val="both"/>
        <w:rPr>
          <w:rFonts w:ascii="Times New Roman" w:hAnsi="Times New Roman" w:cs="Times New Roman"/>
          <w:sz w:val="24"/>
          <w:szCs w:val="24"/>
        </w:rPr>
      </w:pPr>
      <w:r>
        <w:rPr>
          <w:rFonts w:ascii="Times New Roman" w:hAnsi="Times New Roman" w:cs="Times New Roman"/>
          <w:sz w:val="24"/>
          <w:szCs w:val="24"/>
        </w:rPr>
        <w:t>Owing to these issues,</w:t>
      </w:r>
      <w:r w:rsidR="00B45EA4">
        <w:rPr>
          <w:rFonts w:ascii="Times New Roman" w:hAnsi="Times New Roman" w:cs="Times New Roman"/>
          <w:sz w:val="24"/>
          <w:szCs w:val="24"/>
        </w:rPr>
        <w:t xml:space="preserve"> during the </w:t>
      </w:r>
      <w:r>
        <w:rPr>
          <w:rFonts w:ascii="Times New Roman" w:hAnsi="Times New Roman" w:cs="Times New Roman"/>
          <w:sz w:val="24"/>
          <w:szCs w:val="24"/>
        </w:rPr>
        <w:t xml:space="preserve">WP4 Kick-Off Meeting no minimum contribution per participant was fixed, letting everyone contribute with what could be </w:t>
      </w:r>
      <w:proofErr w:type="gramStart"/>
      <w:r>
        <w:rPr>
          <w:rFonts w:ascii="Times New Roman" w:hAnsi="Times New Roman" w:cs="Times New Roman"/>
          <w:sz w:val="24"/>
          <w:szCs w:val="24"/>
        </w:rPr>
        <w:t>actually afforded</w:t>
      </w:r>
      <w:proofErr w:type="gramEnd"/>
      <w:r>
        <w:rPr>
          <w:rFonts w:ascii="Times New Roman" w:hAnsi="Times New Roman" w:cs="Times New Roman"/>
          <w:sz w:val="24"/>
          <w:szCs w:val="24"/>
        </w:rPr>
        <w:t>. This consequently translated in a slightly scattered contribution with some institutions focusing only on the blind case while other managing to run all cases, depending on the readiness level at the beginning of the project and on the available manpower and computational resources.</w:t>
      </w:r>
    </w:p>
    <w:p w14:paraId="58EE684B" w14:textId="77777777" w:rsidR="00C919DC" w:rsidRDefault="00C919DC" w:rsidP="003324DD">
      <w:pPr>
        <w:spacing w:line="360" w:lineRule="auto"/>
        <w:jc w:val="both"/>
        <w:rPr>
          <w:rFonts w:ascii="Times New Roman" w:hAnsi="Times New Roman" w:cs="Times New Roman"/>
          <w:sz w:val="24"/>
          <w:szCs w:val="24"/>
        </w:rPr>
      </w:pPr>
      <w:r>
        <w:rPr>
          <w:rFonts w:ascii="Times New Roman" w:hAnsi="Times New Roman" w:cs="Times New Roman"/>
          <w:sz w:val="24"/>
          <w:szCs w:val="24"/>
        </w:rPr>
        <w:t>Most of the institutions agreed, and managed, to run at least one calculation per each transient scenario and this will be the basis of the comparisons reported in the present chapter. Owing to differences in the adopted simulations strategies and adopted codes, the comparison is performed only for some experimental values, without including any information for which an experimental result is available. Particularly, the mandatory information to be supplied were:</w:t>
      </w:r>
    </w:p>
    <w:p w14:paraId="2AB3C976" w14:textId="77777777" w:rsidR="00AA2ABF" w:rsidRDefault="00AA2ABF" w:rsidP="003324DD">
      <w:pPr>
        <w:spacing w:line="360" w:lineRule="auto"/>
        <w:jc w:val="both"/>
        <w:rPr>
          <w:rFonts w:ascii="Times New Roman" w:hAnsi="Times New Roman" w:cs="Times New Roman"/>
          <w:sz w:val="24"/>
          <w:szCs w:val="24"/>
        </w:rPr>
      </w:pPr>
    </w:p>
    <w:p w14:paraId="6E9EF5AC" w14:textId="467D675F" w:rsidR="00B45EA4" w:rsidRDefault="00C919DC" w:rsidP="00C919DC">
      <w:pPr>
        <w:pStyle w:val="Paragrafoelenco"/>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Mass flow rate time trend</w:t>
      </w:r>
    </w:p>
    <w:p w14:paraId="3EF7581C" w14:textId="19C7A907" w:rsidR="00C919DC" w:rsidRDefault="00C919DC" w:rsidP="00C919DC">
      <w:pPr>
        <w:pStyle w:val="Paragrafoelenco"/>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Temperatures time trends for the inlet and outlet sections of the FPS (TP101 and TP102)</w:t>
      </w:r>
    </w:p>
    <w:p w14:paraId="0A73F8DC" w14:textId="2C9325A4" w:rsidR="00C919DC" w:rsidRDefault="00C919DC" w:rsidP="00C919DC">
      <w:pPr>
        <w:pStyle w:val="Paragrafoelenco"/>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Temperatures time trend for some bulk thermocouples in the FPS section (TC2, TC4, TC12, TC14)</w:t>
      </w:r>
    </w:p>
    <w:p w14:paraId="068319BB" w14:textId="5A4A4429" w:rsidR="00C919DC" w:rsidRDefault="00C919DC" w:rsidP="00C919DC">
      <w:pPr>
        <w:pStyle w:val="Paragrafoelenco"/>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Temperatures time trend for some wall thermocouples in the FPS section (TC25, TC51, TC55, TC67)</w:t>
      </w:r>
    </w:p>
    <w:p w14:paraId="397BAA39" w14:textId="3924AC54" w:rsidR="00474277" w:rsidRDefault="00C919DC" w:rsidP="00C919D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selected </w:t>
      </w:r>
      <w:proofErr w:type="gramStart"/>
      <w:r>
        <w:rPr>
          <w:rFonts w:ascii="Times New Roman" w:hAnsi="Times New Roman" w:cs="Times New Roman"/>
          <w:sz w:val="24"/>
          <w:szCs w:val="24"/>
        </w:rPr>
        <w:t>information, yet</w:t>
      </w:r>
      <w:proofErr w:type="gramEnd"/>
      <w:r>
        <w:rPr>
          <w:rFonts w:ascii="Times New Roman" w:hAnsi="Times New Roman" w:cs="Times New Roman"/>
          <w:sz w:val="24"/>
          <w:szCs w:val="24"/>
        </w:rPr>
        <w:t xml:space="preserve"> not representing of course the totality of the available data, were considered sufficient at least to understand the big picture of the involved phenomena. Thanks to the information already available at that time about both STH and CFD applications, some general trends were already observed</w:t>
      </w:r>
      <w:r w:rsidR="00474277">
        <w:rPr>
          <w:rFonts w:ascii="Times New Roman" w:hAnsi="Times New Roman" w:cs="Times New Roman"/>
          <w:sz w:val="24"/>
          <w:szCs w:val="24"/>
        </w:rPr>
        <w:t xml:space="preserve"> in stand-alone applications</w:t>
      </w:r>
      <w:r>
        <w:rPr>
          <w:rFonts w:ascii="Times New Roman" w:hAnsi="Times New Roman" w:cs="Times New Roman"/>
          <w:sz w:val="24"/>
          <w:szCs w:val="24"/>
        </w:rPr>
        <w:t xml:space="preserve"> and</w:t>
      </w:r>
      <w:r w:rsidR="00474277">
        <w:rPr>
          <w:rFonts w:ascii="Times New Roman" w:hAnsi="Times New Roman" w:cs="Times New Roman"/>
          <w:sz w:val="24"/>
          <w:szCs w:val="24"/>
        </w:rPr>
        <w:t xml:space="preserve"> assumed to be repeated as well in the coupled codes applications. Particularly, the selection of the wall and bulk thermocouples allows to test the difference between channels, and pin walls, which could be heated or unheated depending on the simulated transient. The observed trends were sufficiently in line with the stand-alone applications and similar patterns were indeed obtained for the initial and final steady state conditions. </w:t>
      </w:r>
    </w:p>
    <w:p w14:paraId="4B7E998E" w14:textId="40449562" w:rsidR="00AA2ABF" w:rsidRDefault="00474277" w:rsidP="00AA2AB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Of course, no upper limit was set </w:t>
      </w:r>
      <w:proofErr w:type="gramStart"/>
      <w:r>
        <w:rPr>
          <w:rFonts w:ascii="Times New Roman" w:hAnsi="Times New Roman" w:cs="Times New Roman"/>
          <w:sz w:val="24"/>
          <w:szCs w:val="24"/>
        </w:rPr>
        <w:t>for the amount of</w:t>
      </w:r>
      <w:proofErr w:type="gramEnd"/>
      <w:r>
        <w:rPr>
          <w:rFonts w:ascii="Times New Roman" w:hAnsi="Times New Roman" w:cs="Times New Roman"/>
          <w:sz w:val="24"/>
          <w:szCs w:val="24"/>
        </w:rPr>
        <w:t xml:space="preserve"> information to be provided, each institution thus contributed according to its own capabilities. In the following, results will be mainly provided for comparisons in which several predictions can be included. Values reported by only a few participants are sometimes reported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show the global performance that can be expected in some regions of the loop or of the FPS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provide a sounder analysis of the capabilities and limits of the adopted applications. It is here remarked that the added value of CFD is of course the capability to achieve detailed temperature and velocity distributions inside the Fuel Pin Simulator, something that could not be achieved adopting a STH approach. Contour plots of some relevant quantities are thus reported as well </w:t>
      </w:r>
      <w:proofErr w:type="gramStart"/>
      <w:r w:rsidR="00031161">
        <w:rPr>
          <w:rFonts w:ascii="Times New Roman" w:hAnsi="Times New Roman" w:cs="Times New Roman"/>
          <w:sz w:val="24"/>
          <w:szCs w:val="24"/>
        </w:rPr>
        <w:t>in order to</w:t>
      </w:r>
      <w:proofErr w:type="gramEnd"/>
      <w:r w:rsidR="00031161">
        <w:rPr>
          <w:rFonts w:ascii="Times New Roman" w:hAnsi="Times New Roman" w:cs="Times New Roman"/>
          <w:sz w:val="24"/>
          <w:szCs w:val="24"/>
        </w:rPr>
        <w:t xml:space="preserve"> provide a qualitative description of the involved phenomena, while punctual numerical vs. experimental values are considered for a quantitative assessment. </w:t>
      </w:r>
      <w:r>
        <w:rPr>
          <w:rFonts w:ascii="Times New Roman" w:hAnsi="Times New Roman" w:cs="Times New Roman"/>
          <w:sz w:val="24"/>
          <w:szCs w:val="24"/>
        </w:rPr>
        <w:t xml:space="preserve"> </w:t>
      </w:r>
    </w:p>
    <w:p w14:paraId="33E26A55" w14:textId="5BC9CD61" w:rsidR="00031161" w:rsidRPr="00D70416" w:rsidRDefault="00031161" w:rsidP="00AA2ABF">
      <w:pPr>
        <w:pStyle w:val="Paragrafoelenco"/>
        <w:numPr>
          <w:ilvl w:val="2"/>
          <w:numId w:val="2"/>
        </w:numPr>
        <w:spacing w:line="360" w:lineRule="auto"/>
        <w:rPr>
          <w:rFonts w:ascii="Times New Roman" w:hAnsi="Times New Roman" w:cs="Times New Roman"/>
          <w:sz w:val="28"/>
          <w:szCs w:val="28"/>
        </w:rPr>
      </w:pPr>
      <w:r w:rsidRPr="00D70416">
        <w:rPr>
          <w:rFonts w:ascii="Times New Roman" w:hAnsi="Times New Roman" w:cs="Times New Roman"/>
          <w:sz w:val="28"/>
          <w:szCs w:val="28"/>
        </w:rPr>
        <w:t>Participants</w:t>
      </w:r>
      <w:r w:rsidR="009873C7" w:rsidRPr="00D70416">
        <w:rPr>
          <w:rFonts w:ascii="Times New Roman" w:hAnsi="Times New Roman" w:cs="Times New Roman"/>
          <w:sz w:val="28"/>
          <w:szCs w:val="28"/>
        </w:rPr>
        <w:t>,</w:t>
      </w:r>
      <w:r w:rsidRPr="00D70416">
        <w:rPr>
          <w:rFonts w:ascii="Times New Roman" w:hAnsi="Times New Roman" w:cs="Times New Roman"/>
          <w:sz w:val="28"/>
          <w:szCs w:val="28"/>
        </w:rPr>
        <w:t xml:space="preserve"> adopted codes and coupling strategies</w:t>
      </w:r>
    </w:p>
    <w:p w14:paraId="6E8DE04D" w14:textId="77777777" w:rsidR="00945160" w:rsidRDefault="00945160" w:rsidP="0094516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Among all the Coordinated Research Project participants, only five institutions joined the WP4 activities, namely ENEA, IGCAR, NRG-PALLAS, </w:t>
      </w:r>
      <w:proofErr w:type="spellStart"/>
      <w:r>
        <w:rPr>
          <w:rFonts w:ascii="Times New Roman" w:hAnsi="Times New Roman" w:cs="Times New Roman"/>
          <w:sz w:val="24"/>
          <w:szCs w:val="24"/>
        </w:rPr>
        <w:t>UniPi</w:t>
      </w:r>
      <w:proofErr w:type="spellEnd"/>
      <w:r>
        <w:rPr>
          <w:rFonts w:ascii="Times New Roman" w:hAnsi="Times New Roman" w:cs="Times New Roman"/>
          <w:sz w:val="24"/>
          <w:szCs w:val="24"/>
        </w:rPr>
        <w:t xml:space="preserve"> and XJTU. All the participants were tasked to perform calculations addressing the considered experimental conditions adopting coupled STH/CFD approaches. </w:t>
      </w:r>
    </w:p>
    <w:p w14:paraId="28082675" w14:textId="52D3CD49" w:rsidR="00945160" w:rsidRDefault="00945160" w:rsidP="0094516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During the first phase of the project, ADP06 and ADP10 worked as valuable case studies to train the model and find out about their limits and capabilities, providing indeed a solid benchmark also to check the soundness of the assumed modelling hypotheses. This is very important to be remarked as the participants reported a scattered level of readiness at the beginning of the project as well as different levels of experience with code coupling. While ENEA and </w:t>
      </w:r>
      <w:proofErr w:type="spellStart"/>
      <w:r>
        <w:rPr>
          <w:rFonts w:ascii="Times New Roman" w:hAnsi="Times New Roman" w:cs="Times New Roman"/>
          <w:sz w:val="24"/>
          <w:szCs w:val="24"/>
        </w:rPr>
        <w:t>UniPi</w:t>
      </w:r>
      <w:proofErr w:type="spellEnd"/>
      <w:r>
        <w:rPr>
          <w:rFonts w:ascii="Times New Roman" w:hAnsi="Times New Roman" w:cs="Times New Roman"/>
          <w:sz w:val="24"/>
          <w:szCs w:val="24"/>
        </w:rPr>
        <w:t xml:space="preserve"> already dealt in the past with the NACIE-UP facility</w:t>
      </w:r>
      <w:r w:rsidR="003A5898">
        <w:rPr>
          <w:rFonts w:ascii="Times New Roman" w:hAnsi="Times New Roman" w:cs="Times New Roman"/>
          <w:sz w:val="24"/>
          <w:szCs w:val="24"/>
        </w:rPr>
        <w:t xml:space="preserve"> </w:t>
      </w:r>
      <w:r w:rsidR="00F70AD2">
        <w:rPr>
          <w:rFonts w:ascii="Times New Roman" w:hAnsi="Times New Roman" w:cs="Times New Roman"/>
          <w:color w:val="EE0000"/>
          <w:sz w:val="24"/>
          <w:szCs w:val="24"/>
        </w:rPr>
        <w:fldChar w:fldCharType="begin"/>
      </w:r>
      <w:r w:rsidR="00F70AD2">
        <w:rPr>
          <w:rFonts w:ascii="Times New Roman" w:hAnsi="Times New Roman" w:cs="Times New Roman"/>
          <w:color w:val="EE0000"/>
          <w:sz w:val="24"/>
          <w:szCs w:val="24"/>
        </w:rPr>
        <w:instrText xml:space="preserve"> ADDIN ZOTERO_ITEM CSL_CITATION {"citationID":"T0WuuyVG","properties":{"unsorted":false,"formattedCitation":"(Angelucci, 2018; Martelli et al., 2013; Pucciarelli et al., 2020)","plainCitation":"(Angelucci, 2018; Martelli et al., 2013; Pucciarelli et al., 2020)","noteIndex":0},"citationItems":[{"id":159,"uris":["http://zotero.org/users/local/K2cmawAu/items/H3JZM8WS"],"itemData":{"id":159,"type":"article-journal","abstract":"The focus of the present research activity was the experimental and numerical investigations, aiming to analyse some thermal-hydraulic phenomena peculiar of the heavy liquid metal-cooled systems like the Lead Fast Reactors (LFR). The two activities, experimental and numerical, were carried out in parallel during the three years of research and performed at the Department of Civil and Industrial Engineering (DICI) of the University of Pisa and at the Experimental Thermo-fluid-dynamic Laboratory (FSN-ING-TESP) of ENEA Brasimone R.C., in the framework of a collaboration between the two institutes. The main thermal-hydraulic aspects, treated during this work, were the core coolability in normal and accidental conditions, as well as the transition from forced to natural circulation and the consequent forced and natural convection heat transfer in Heavy Liquid Metal (HLM) systems. These topics are relevant for the safety objectives of the Generation-IV reactors, being related to the assessment of the decay heat removal capabilities by means of passive safety systems. The experimental activity focused on the evaluation of the heat transfer coefficient in a wire-spaced fuel bundle cooled by HLM. For this purpose, a 19 wire-spaced pins bundle was installed in the loop-type facility NACIE-UP located at ENEA Brasimone R.C., which employs lead-bismuth eutectic (LBE) as main coolant. Several experimental tests were performed in steady state and transient conditions, investigating natural and mixed circulation flow regimes. The 67 thermocouples in the test section allowed to measure wall and LBE temperatures and to calculate the heat transfer coefficient in five different sub-channels. Local and section-averaged Nusselt numbers were computed and graphically reported as a function of the Péclet number. These latter data were compared with correlations existing in literature, developed for rod bundles configurations cooled by liquid metals. The obtained results enrich the set of data available in the literature, which are essential for the characterization of this phenomenon and for the assessment of empirical correlations to describe it. The numerical studies concerned the development and the use of multi-scale approach, i.e. coupled calculation between a modified version of the system thermal-hydraulic code RELAP5/Mod3.3 and the CFD code ANSYS Fluent. Indeed, the use of multi-scale simulations have been emerging during the last years, due to their potentiality to model different levels of detail in a unique simulation and to account for the mutual feedbacks among the different sections of the overall system. In this context, a coupling methodology have been developed at the University of Pisa since 2012, characterized by “non-overlapping” domain decomposition, “on-line” and “two-ways” exchange of data and a semi-implicit numerical scheme. The MATLAB® software was used to manage the information transfer between the two codes. In this work, the semi-implicit numerical scheme was optimized, and the methodology was extended to heat transfer problems by implementing the coupling at the thermal boundaries with no hydraulic interaction. The developed tool was tested with simple test cases in loop-type and pool-type applications and was assessed through the comparison with the available experimental data. It was used to analyze the fuel pin simulator in the NACIE-UP facility, proving to be useful to calculate the total pressure losses, to investigate the flow distribution and the heat transfer in a wire-spaced core configuration. In the application to the CIRCE facility, the coupling methodology allowed to calculate the main thermal-hydraulic phenomena during an accidental scenario in a pool reactor, such as the transition from forced to natural circulation flow, the removal of residual heat thanks to dedicated passive systems and thermal stratification. The overall comparison of the numerical results with data obtained from NACIE-UP and CIRCE experiments was rather satisfactory, qualifying the use of the set-up coupling technique for the simulation of loop-type and pool-type systems. The developed multi-scale approach proved to bring remarkable advantages in the analysis of entire large/medium-sized facilities but with a focus on the 2D/3D flow characteristics in a limited portion of the domain.","language":"ita","note":"Accepted: 2024-06-12T09:21:59Z","source":"tesidottorato.depositolegale.it","title":"Coupling between System and CFD codes for the analysis of thermal-hydraulic phenomena relevant for LMFR","URL":"https://tesidottorato.depositolegale.it/handle/20.500.14242/146630","author":[{"family":"Angelucci","given":"Morena"}],"accessed":{"date-parts":[["2026",2,6]]},"issued":{"date-parts":[["2018",5,3]]}}},{"id":171,"uris":["http://zotero.org/users/local/K2cmawAu/items/BLB2RZDG"],"itemData":{"id":171,"type":"chapter","abstract":"Since the Lead-cooled Fast Reactor (LFR) has been conceptualized in the frame of GEN IV  International  Forum  (GIF),  ENEA  is  strongly  involved  on  the  HLM  technology \ndevelopment.  Currently  ENEA  has  implemented  large  competencies  and  capabilities  in  the  field  of \nHLM  thermal-hydraulic,  coolant  technology,  material  for  high  temperature  applications, corrosion  and  material  protection,  heat  transfer  and  removal,  component  development  and testing,  remote  maintenance,  procedure  definition  and  coolant  handling.  In  this  frame,  the \nNACIE-UP  loop  has  been designed  to  perform  mixed  convection  experiment  with  LBE.  A 19-pin wire-spaced Fuel Pin bundle Simulator (FPS) is installed to measure clad temperature and heat transfer co</w:instrText>
      </w:r>
      <w:r w:rsidR="00F70AD2">
        <w:rPr>
          <w:rFonts w:ascii="Times New Roman" w:hAnsi="Times New Roman" w:cs="Times New Roman" w:hint="eastAsia"/>
          <w:color w:val="EE0000"/>
          <w:sz w:val="24"/>
          <w:szCs w:val="24"/>
        </w:rPr>
        <w:instrText>efficients in different conditions in the different ranks of sub-channels of \nthe MYRRHA bundle. NACIE-UP  is  a  rectangular  2.5</w:instrText>
      </w:r>
      <w:r w:rsidR="00F70AD2">
        <w:rPr>
          <w:rFonts w:ascii="Times New Roman" w:hAnsi="Times New Roman" w:cs="Times New Roman" w:hint="eastAsia"/>
          <w:color w:val="EE0000"/>
          <w:sz w:val="24"/>
          <w:szCs w:val="24"/>
        </w:rPr>
        <w:instrText>″</w:instrText>
      </w:r>
      <w:r w:rsidR="00F70AD2">
        <w:rPr>
          <w:rFonts w:ascii="Times New Roman" w:hAnsi="Times New Roman" w:cs="Times New Roman" w:hint="eastAsia"/>
          <w:color w:val="EE0000"/>
          <w:sz w:val="24"/>
          <w:szCs w:val="24"/>
        </w:rPr>
        <w:instrText>-pipe  loop  where  a  difference  in  height  H~5  m  exists \nbetween the heat source (FPS) and the heat sink (Heat Excha</w:instrText>
      </w:r>
      <w:r w:rsidR="00F70AD2">
        <w:rPr>
          <w:rFonts w:ascii="Times New Roman" w:hAnsi="Times New Roman" w:cs="Times New Roman"/>
          <w:color w:val="EE0000"/>
          <w:sz w:val="24"/>
          <w:szCs w:val="24"/>
        </w:rPr>
        <w:instrText xml:space="preserve">nger, HX). This difference in height  provides  the  pressure  head  Dp~rgβDT×H  for  the  natural  circulation  of  the  Heavy Liquid Metal in the loop. A gas-lift system provides a void fraction in the riser promoting an enhanced circulation in the loop. Most of the pressure losses are located in the FPS, and the maximum mass flow rate is around 2 kg/s in natural circulation and  7 kg/s in gas-enhanced circulation. A 7 tube/shell-and-tube Heat Exchanger couples the primary LBE loop with the secondary side with water in pressure at 16 bar. The tube-in-tube technology with LBE tube side, water shell side, steel powder in the gap, and two section for low and high power, is adopted  for  HX.  In  the  primary  side,  two  prototypical  Induction  Flow  Meters  (IFM)  are installed,  one  in  the  natural  circulation  range  and  another  one  in  the  enhanced  circulation range. Bubble tubes with flowing Ar are adopted to measure pressure losses in the different \nbranches of the loop. Several thermocouples monitor the loop in different points. An ancillary gas system ensures the cover gas and provides flow rate for the gas-lift system. \nThe  paper  reports  the  description  of  the  experiment,  the  proposed  test  matrix  and description the technological solution adopted for the NACIE-UP implementation.","language":"eng","note":"Accepted: 2015-04-28T20:56:01Z","source":"arpi.unipi.it","title":"NACIE-UP: an heavy liquid metal loop for mixed convection experiments with instrumented pin bundle","title-short":"NACIE-UP","URL":"https://arpi.unipi.it/handle/11568/426669","author":[{"family":"Martelli","given":"Daniele"},{"family":"Forgione","given":"Nicola"},{"family":"Di Piazza","given":"I."},{"family":"Agostini","given":"P."},{"family":"Tarantino","given":"M."},{"family":"Gaggini","given":"P."},{"family":"Polazzi","given":"G."}],"accessed":{"date-parts":[["2026",2,6]]},"issued":{"date-parts":[["2013"]]}}},{"id":194,"uris":["http://zotero.org/users/local/K2cmawAu/items/T8VPQ4TJ"],"itemData":{"id":194,"type":"article-journal","abstract":"In the present paper, coupled STH/CFD calculations are performed addressing two operating conditions in the frame of the NACIE-UP experimental campaign. In order to simulate mixed and natural circulation phenomena related to liquid metals thermal hydraulics, the RELAP5/Mod3.3 STH code and the CFD code ANSYS Fluent are adopted in an integrated manner. The combined use of STH and CFD codes aims to help the user overcoming the limits of the individual techniques and thus achieving a better predicting capability with respect to each stand-alone application. Measured values and calculated results are compared. In particular, the coupled application provides the best results in terms of predicted mass flow rate and comprehensiveness of information giving the possibility to analyse the local and cross-sectional distributions. Furthermore, as an additional beneficial aspect, CFD results can be used as a tuning tool for some of the STH code parameters. The aim of the present work is highlighting the advantages and drawbacks of the adopted techniques, also reporting the margins of error that may presently be expected from these applications. Though perfectly matching results were not obtained, coupled STH/CFD application report promising modelling capabilities and may be consequently considered as a sound candidate for addressing liquid metal thermal hydraulics in complex geometries and large systems.","container-title":"Nuclear Engineering and Design","DOI":"10.1016/j.nucengdes.2020.110913","ISSN":"0029-5493","journalAbbreviation":"Nuclear Engineering and Design","page":"110913","source":"ScienceDirect","title":"STH/CFD coupled calculations of postulated transients from mixed to natural circulation conditions in the NACIE-UP facility","volume":"370","author":[{"family":"Pucciarelli","given":"A."},{"family":"Galleni","given":"F."},{"family":"Moscardini","given":"M."},{"family":"Martelli","given":"D."},{"family":"Forgione","given":"N."}],"issued":{"date-parts":[["2020",12,15]]}}}],"schema":"https://github.com/citation-style-language/schema/raw/master/csl-citation.json"} </w:instrText>
      </w:r>
      <w:r w:rsidR="00F70AD2">
        <w:rPr>
          <w:rFonts w:ascii="Times New Roman" w:hAnsi="Times New Roman" w:cs="Times New Roman"/>
          <w:color w:val="EE0000"/>
          <w:sz w:val="24"/>
          <w:szCs w:val="24"/>
        </w:rPr>
        <w:fldChar w:fldCharType="separate"/>
      </w:r>
      <w:r w:rsidR="00F70AD2" w:rsidRPr="00F70AD2">
        <w:rPr>
          <w:rFonts w:ascii="Calibri" w:hAnsi="Calibri" w:cs="Calibri"/>
          <w:sz w:val="24"/>
        </w:rPr>
        <w:t>(Angelucci, 2018; Martelli et al., 2013; Pucciarelli et al., 2020)</w:t>
      </w:r>
      <w:r w:rsidR="00F70AD2">
        <w:rPr>
          <w:rFonts w:ascii="Times New Roman" w:hAnsi="Times New Roman" w:cs="Times New Roman"/>
          <w:color w:val="EE0000"/>
          <w:sz w:val="24"/>
          <w:szCs w:val="24"/>
        </w:rPr>
        <w:fldChar w:fldCharType="end"/>
      </w:r>
      <w:r>
        <w:rPr>
          <w:rFonts w:ascii="Times New Roman" w:hAnsi="Times New Roman" w:cs="Times New Roman"/>
          <w:sz w:val="24"/>
          <w:szCs w:val="24"/>
        </w:rPr>
        <w:t xml:space="preserve">, </w:t>
      </w:r>
      <w:r w:rsidR="003747BF">
        <w:rPr>
          <w:rFonts w:ascii="Times New Roman" w:hAnsi="Times New Roman" w:cs="Times New Roman"/>
          <w:sz w:val="24"/>
          <w:szCs w:val="24"/>
        </w:rPr>
        <w:t xml:space="preserve">for other institutions this was a completely new </w:t>
      </w:r>
      <w:r w:rsidR="003747BF">
        <w:rPr>
          <w:rFonts w:ascii="Times New Roman" w:hAnsi="Times New Roman" w:cs="Times New Roman"/>
          <w:sz w:val="24"/>
          <w:szCs w:val="24"/>
        </w:rPr>
        <w:lastRenderedPageBreak/>
        <w:t>task and a longer training and development phase was required in order to set both the best discretization and modelling techniques to be associated to the adopted codes.</w:t>
      </w:r>
    </w:p>
    <w:p w14:paraId="401DEEA6" w14:textId="539ACB85" w:rsidR="007E5070" w:rsidRPr="003747BF" w:rsidRDefault="003747BF" w:rsidP="003747BF">
      <w:pPr>
        <w:spacing w:line="360" w:lineRule="auto"/>
        <w:jc w:val="both"/>
        <w:rPr>
          <w:rFonts w:ascii="Times New Roman" w:hAnsi="Times New Roman" w:cs="Times New Roman"/>
          <w:sz w:val="24"/>
          <w:szCs w:val="24"/>
        </w:rPr>
      </w:pPr>
      <w:r>
        <w:rPr>
          <w:rFonts w:ascii="Times New Roman" w:hAnsi="Times New Roman" w:cs="Times New Roman"/>
          <w:sz w:val="24"/>
          <w:szCs w:val="24"/>
        </w:rPr>
        <w:t>Each institution developed indeed a unique combination of modelling tools, to be also combined with different discretization strategies both for the spatial and temporal domains. The most relevant information is reported in</w:t>
      </w:r>
      <w:r w:rsidR="00ED3F95">
        <w:rPr>
          <w:rFonts w:ascii="Times New Roman" w:hAnsi="Times New Roman" w:cs="Times New Roman"/>
          <w:sz w:val="24"/>
          <w:szCs w:val="24"/>
        </w:rPr>
        <w:t xml:space="preserve"> </w:t>
      </w:r>
      <w:r w:rsidR="00ED3F95">
        <w:rPr>
          <w:rFonts w:ascii="Times New Roman" w:hAnsi="Times New Roman" w:cs="Times New Roman"/>
          <w:sz w:val="24"/>
          <w:szCs w:val="24"/>
        </w:rPr>
        <w:fldChar w:fldCharType="begin"/>
      </w:r>
      <w:r w:rsidR="00ED3F95">
        <w:rPr>
          <w:rFonts w:ascii="Times New Roman" w:hAnsi="Times New Roman" w:cs="Times New Roman"/>
          <w:sz w:val="24"/>
          <w:szCs w:val="24"/>
        </w:rPr>
        <w:instrText xml:space="preserve"> REF _Ref206828181 \h  \* MERGEFORMAT </w:instrText>
      </w:r>
      <w:r w:rsidR="00ED3F95">
        <w:rPr>
          <w:rFonts w:ascii="Times New Roman" w:hAnsi="Times New Roman" w:cs="Times New Roman"/>
          <w:sz w:val="24"/>
          <w:szCs w:val="24"/>
        </w:rPr>
      </w:r>
      <w:r w:rsidR="00ED3F95">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Table 11. 1</w:t>
      </w:r>
      <w:r w:rsidR="00ED3F95">
        <w:rPr>
          <w:rFonts w:ascii="Times New Roman" w:hAnsi="Times New Roman" w:cs="Times New Roman"/>
          <w:sz w:val="24"/>
          <w:szCs w:val="24"/>
        </w:rPr>
        <w:fldChar w:fldCharType="end"/>
      </w:r>
      <w:r>
        <w:rPr>
          <w:rFonts w:ascii="Times New Roman" w:hAnsi="Times New Roman" w:cs="Times New Roman"/>
          <w:sz w:val="24"/>
          <w:szCs w:val="24"/>
        </w:rPr>
        <w:t xml:space="preserve">. The achieved diversification of the adopted approaches allows gaining a sufficiently wide range of settings to be explored which should help to draw general lessons regarding both limits and capabilities of the adopted approach. Moreover, combining the present results with the ones provided by stand-alone applications reported in WP1 and WP2, both a qualitative and quantitative analysis of the results can be performed. This is a relevant point to be bore in mind since, even if the Multiphysics analysis may help overcoming some of the intrinsic limits of stand-alone applications, some of the drawbacks and lacks in the modelling approach are inevitably inherited from the stand-alone applications and cannot be overcome unless </w:t>
      </w:r>
      <w:r w:rsidR="00ED3F95">
        <w:rPr>
          <w:rFonts w:ascii="Times New Roman" w:hAnsi="Times New Roman" w:cs="Times New Roman"/>
          <w:sz w:val="24"/>
          <w:szCs w:val="24"/>
        </w:rPr>
        <w:t xml:space="preserve">the issue is solved by developing a </w:t>
      </w:r>
      <w:r>
        <w:rPr>
          <w:rFonts w:ascii="Times New Roman" w:hAnsi="Times New Roman" w:cs="Times New Roman"/>
          <w:sz w:val="24"/>
          <w:szCs w:val="24"/>
        </w:rPr>
        <w:t xml:space="preserve">more suitable </w:t>
      </w:r>
      <w:r w:rsidR="00ED3F95">
        <w:rPr>
          <w:rFonts w:ascii="Times New Roman" w:hAnsi="Times New Roman" w:cs="Times New Roman"/>
          <w:sz w:val="24"/>
          <w:szCs w:val="24"/>
        </w:rPr>
        <w:t>modelling approach for the addressed phenomena. This is for example the case of some issues reported for the gas-liquid metal interactions in the riser, which even in WP4 is completely dealt by the STH code, which proved to be a limit in the WP1 applications due to inaccuracies in the available modelling tools in the considered codes. Similar effects were coherently observed also in the present coupled STH/CFD applications.</w:t>
      </w:r>
    </w:p>
    <w:p w14:paraId="10C74D94" w14:textId="77777777" w:rsidR="007E5070" w:rsidRPr="003747BF" w:rsidRDefault="007E5070" w:rsidP="007E5070">
      <w:pPr>
        <w:pStyle w:val="Corpodeltesto3"/>
        <w:wordWrap/>
        <w:spacing w:line="276" w:lineRule="auto"/>
        <w:jc w:val="center"/>
        <w:rPr>
          <w:rFonts w:eastAsiaTheme="minorEastAsia"/>
          <w:sz w:val="28"/>
          <w:szCs w:val="28"/>
          <w:lang w:val="en-GB" w:eastAsia="zh-CN"/>
          <w14:ligatures w14:val="standardContextual"/>
        </w:rPr>
      </w:pPr>
    </w:p>
    <w:p w14:paraId="4D9CA3AB" w14:textId="45EB344B" w:rsidR="003747BF" w:rsidRPr="003747BF" w:rsidRDefault="003747BF" w:rsidP="003747BF">
      <w:pPr>
        <w:pStyle w:val="Didascalia"/>
        <w:keepNext/>
        <w:rPr>
          <w:rFonts w:ascii="Times New Roman" w:hAnsi="Times New Roman" w:cs="Times New Roman"/>
          <w:color w:val="000000" w:themeColor="text1"/>
          <w:sz w:val="20"/>
          <w:szCs w:val="20"/>
        </w:rPr>
      </w:pPr>
      <w:bookmarkStart w:id="1" w:name="_Ref206828181"/>
      <w:r w:rsidRPr="003747BF">
        <w:rPr>
          <w:rFonts w:ascii="Times New Roman" w:hAnsi="Times New Roman" w:cs="Times New Roman"/>
          <w:color w:val="000000" w:themeColor="text1"/>
          <w:sz w:val="20"/>
          <w:szCs w:val="20"/>
        </w:rPr>
        <w:t xml:space="preserve">Table 11. </w:t>
      </w:r>
      <w:r w:rsidRPr="003747BF">
        <w:rPr>
          <w:rFonts w:ascii="Times New Roman" w:hAnsi="Times New Roman" w:cs="Times New Roman"/>
          <w:color w:val="000000" w:themeColor="text1"/>
          <w:sz w:val="20"/>
          <w:szCs w:val="20"/>
        </w:rPr>
        <w:fldChar w:fldCharType="begin"/>
      </w:r>
      <w:r w:rsidRPr="003747BF">
        <w:rPr>
          <w:rFonts w:ascii="Times New Roman" w:hAnsi="Times New Roman" w:cs="Times New Roman"/>
          <w:color w:val="000000" w:themeColor="text1"/>
          <w:sz w:val="20"/>
          <w:szCs w:val="20"/>
        </w:rPr>
        <w:instrText xml:space="preserve"> SEQ Table_11. \* ARABIC </w:instrText>
      </w:r>
      <w:r w:rsidRPr="003747BF">
        <w:rPr>
          <w:rFonts w:ascii="Times New Roman" w:hAnsi="Times New Roman" w:cs="Times New Roman"/>
          <w:color w:val="000000" w:themeColor="text1"/>
          <w:sz w:val="20"/>
          <w:szCs w:val="20"/>
        </w:rPr>
        <w:fldChar w:fldCharType="separate"/>
      </w:r>
      <w:r w:rsidR="005248B3">
        <w:rPr>
          <w:rFonts w:ascii="Times New Roman" w:hAnsi="Times New Roman" w:cs="Times New Roman"/>
          <w:noProof/>
          <w:color w:val="000000" w:themeColor="text1"/>
          <w:sz w:val="20"/>
          <w:szCs w:val="20"/>
        </w:rPr>
        <w:t>1</w:t>
      </w:r>
      <w:r w:rsidRPr="003747BF">
        <w:rPr>
          <w:rFonts w:ascii="Times New Roman" w:hAnsi="Times New Roman" w:cs="Times New Roman"/>
          <w:color w:val="000000" w:themeColor="text1"/>
          <w:sz w:val="20"/>
          <w:szCs w:val="20"/>
        </w:rPr>
        <w:fldChar w:fldCharType="end"/>
      </w:r>
      <w:bookmarkEnd w:id="1"/>
      <w:r w:rsidRPr="003747BF">
        <w:rPr>
          <w:rFonts w:ascii="Times New Roman" w:hAnsi="Times New Roman" w:cs="Times New Roman"/>
          <w:color w:val="000000" w:themeColor="text1"/>
          <w:sz w:val="20"/>
          <w:szCs w:val="20"/>
        </w:rPr>
        <w:t xml:space="preserve"> – Considered modelling tools and </w:t>
      </w:r>
      <w:proofErr w:type="spellStart"/>
      <w:r w:rsidRPr="003747BF">
        <w:rPr>
          <w:rFonts w:ascii="Times New Roman" w:hAnsi="Times New Roman" w:cs="Times New Roman"/>
          <w:color w:val="000000" w:themeColor="text1"/>
          <w:sz w:val="20"/>
          <w:szCs w:val="20"/>
        </w:rPr>
        <w:t>discretizations</w:t>
      </w:r>
      <w:proofErr w:type="spellEnd"/>
      <w:r w:rsidRPr="003747BF">
        <w:rPr>
          <w:rFonts w:ascii="Times New Roman" w:hAnsi="Times New Roman" w:cs="Times New Roman"/>
          <w:color w:val="000000" w:themeColor="text1"/>
          <w:sz w:val="20"/>
          <w:szCs w:val="20"/>
        </w:rPr>
        <w:t xml:space="preserve"> strategies by the Institutions attending WP4</w:t>
      </w: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985"/>
        <w:gridCol w:w="1843"/>
        <w:gridCol w:w="1417"/>
        <w:gridCol w:w="1890"/>
        <w:gridCol w:w="1796"/>
      </w:tblGrid>
      <w:tr w:rsidR="007E5070" w:rsidRPr="003322BA" w14:paraId="713DFFBD" w14:textId="77777777" w:rsidTr="003747BF">
        <w:trPr>
          <w:jc w:val="center"/>
        </w:trPr>
        <w:tc>
          <w:tcPr>
            <w:tcW w:w="1985" w:type="dxa"/>
            <w:tcBorders>
              <w:top w:val="double" w:sz="4" w:space="0" w:color="auto"/>
              <w:left w:val="double" w:sz="4" w:space="0" w:color="auto"/>
              <w:bottom w:val="double" w:sz="4" w:space="0" w:color="auto"/>
              <w:right w:val="double" w:sz="4" w:space="0" w:color="auto"/>
            </w:tcBorders>
            <w:vAlign w:val="center"/>
          </w:tcPr>
          <w:p w14:paraId="48F7D85E"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Institution</w:t>
            </w:r>
          </w:p>
        </w:tc>
        <w:tc>
          <w:tcPr>
            <w:tcW w:w="1843" w:type="dxa"/>
            <w:tcBorders>
              <w:top w:val="double" w:sz="4" w:space="0" w:color="auto"/>
              <w:left w:val="double" w:sz="4" w:space="0" w:color="auto"/>
              <w:bottom w:val="double" w:sz="4" w:space="0" w:color="auto"/>
            </w:tcBorders>
            <w:vAlign w:val="center"/>
          </w:tcPr>
          <w:p w14:paraId="6734716D"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CFD Code</w:t>
            </w:r>
          </w:p>
        </w:tc>
        <w:tc>
          <w:tcPr>
            <w:tcW w:w="1417" w:type="dxa"/>
            <w:tcBorders>
              <w:top w:val="double" w:sz="4" w:space="0" w:color="auto"/>
              <w:bottom w:val="double" w:sz="4" w:space="0" w:color="auto"/>
            </w:tcBorders>
          </w:tcPr>
          <w:p w14:paraId="61F05649" w14:textId="77777777" w:rsidR="007E5070" w:rsidRPr="003322BA" w:rsidRDefault="007E5070" w:rsidP="00904772">
            <w:pPr>
              <w:pStyle w:val="NormaleWeb"/>
              <w:spacing w:before="240" w:beforeAutospacing="0" w:after="24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STH Code</w:t>
            </w:r>
          </w:p>
        </w:tc>
        <w:tc>
          <w:tcPr>
            <w:tcW w:w="1890" w:type="dxa"/>
            <w:tcBorders>
              <w:top w:val="double" w:sz="4" w:space="0" w:color="auto"/>
              <w:bottom w:val="double" w:sz="4" w:space="0" w:color="auto"/>
            </w:tcBorders>
            <w:vAlign w:val="center"/>
          </w:tcPr>
          <w:p w14:paraId="5C2B19BE"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Geometrical Coupling Approach</w:t>
            </w:r>
          </w:p>
        </w:tc>
        <w:tc>
          <w:tcPr>
            <w:tcW w:w="1796" w:type="dxa"/>
            <w:tcBorders>
              <w:top w:val="double" w:sz="4" w:space="0" w:color="auto"/>
              <w:bottom w:val="double" w:sz="4" w:space="0" w:color="auto"/>
              <w:right w:val="double" w:sz="4" w:space="0" w:color="auto"/>
            </w:tcBorders>
            <w:vAlign w:val="center"/>
          </w:tcPr>
          <w:p w14:paraId="7C876516"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Time Advancing Scheme</w:t>
            </w:r>
          </w:p>
        </w:tc>
      </w:tr>
      <w:tr w:rsidR="007E5070" w:rsidRPr="003322BA" w14:paraId="26A851DC" w14:textId="77777777" w:rsidTr="003747BF">
        <w:trPr>
          <w:jc w:val="center"/>
        </w:trPr>
        <w:tc>
          <w:tcPr>
            <w:tcW w:w="1985" w:type="dxa"/>
            <w:tcBorders>
              <w:left w:val="double" w:sz="4" w:space="0" w:color="auto"/>
              <w:right w:val="double" w:sz="4" w:space="0" w:color="auto"/>
            </w:tcBorders>
            <w:vAlign w:val="center"/>
          </w:tcPr>
          <w:p w14:paraId="7288F483"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ENEA</w:t>
            </w:r>
          </w:p>
        </w:tc>
        <w:tc>
          <w:tcPr>
            <w:tcW w:w="1843" w:type="dxa"/>
            <w:tcBorders>
              <w:left w:val="double" w:sz="4" w:space="0" w:color="auto"/>
            </w:tcBorders>
            <w:vAlign w:val="center"/>
          </w:tcPr>
          <w:p w14:paraId="0B19335D"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ANSYS CFX</w:t>
            </w:r>
          </w:p>
        </w:tc>
        <w:tc>
          <w:tcPr>
            <w:tcW w:w="1417" w:type="dxa"/>
            <w:vAlign w:val="center"/>
          </w:tcPr>
          <w:p w14:paraId="60D42E4E" w14:textId="5DE10C6F"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RELAP</w:t>
            </w:r>
            <w:r w:rsidR="00945160">
              <w:rPr>
                <w:rFonts w:ascii="Times New Roman" w:eastAsiaTheme="minorEastAsia" w:hAnsi="Times New Roman"/>
                <w:color w:val="auto"/>
                <w:kern w:val="2"/>
                <w:lang w:val="en-GB" w:eastAsia="zh-CN"/>
                <w14:ligatures w14:val="standardContextual"/>
              </w:rPr>
              <w:t>5</w:t>
            </w:r>
          </w:p>
        </w:tc>
        <w:tc>
          <w:tcPr>
            <w:tcW w:w="1890" w:type="dxa"/>
            <w:vAlign w:val="center"/>
          </w:tcPr>
          <w:p w14:paraId="47015707"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Decomposition Method</w:t>
            </w:r>
          </w:p>
        </w:tc>
        <w:tc>
          <w:tcPr>
            <w:tcW w:w="1796" w:type="dxa"/>
            <w:tcBorders>
              <w:right w:val="double" w:sz="4" w:space="0" w:color="auto"/>
            </w:tcBorders>
            <w:vAlign w:val="center"/>
          </w:tcPr>
          <w:p w14:paraId="19748894"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Semi-Implicit</w:t>
            </w:r>
          </w:p>
        </w:tc>
      </w:tr>
      <w:tr w:rsidR="007E5070" w:rsidRPr="003322BA" w14:paraId="6D4CE123" w14:textId="77777777" w:rsidTr="003747BF">
        <w:trPr>
          <w:jc w:val="center"/>
        </w:trPr>
        <w:tc>
          <w:tcPr>
            <w:tcW w:w="1985" w:type="dxa"/>
            <w:tcBorders>
              <w:left w:val="double" w:sz="4" w:space="0" w:color="auto"/>
              <w:right w:val="double" w:sz="4" w:space="0" w:color="auto"/>
            </w:tcBorders>
            <w:vAlign w:val="center"/>
          </w:tcPr>
          <w:p w14:paraId="22593253"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IGCAR</w:t>
            </w:r>
          </w:p>
        </w:tc>
        <w:tc>
          <w:tcPr>
            <w:tcW w:w="1843" w:type="dxa"/>
            <w:tcBorders>
              <w:left w:val="double" w:sz="4" w:space="0" w:color="auto"/>
            </w:tcBorders>
            <w:vAlign w:val="center"/>
          </w:tcPr>
          <w:p w14:paraId="52EC65FB"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ANSYS Fluent</w:t>
            </w:r>
          </w:p>
        </w:tc>
        <w:tc>
          <w:tcPr>
            <w:tcW w:w="1417" w:type="dxa"/>
            <w:vAlign w:val="center"/>
          </w:tcPr>
          <w:p w14:paraId="52112121"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proofErr w:type="spellStart"/>
            <w:r w:rsidRPr="003322BA">
              <w:rPr>
                <w:rFonts w:ascii="Times New Roman" w:eastAsiaTheme="minorEastAsia" w:hAnsi="Times New Roman"/>
                <w:color w:val="auto"/>
                <w:kern w:val="2"/>
                <w:lang w:val="en-GB" w:eastAsia="zh-CN"/>
                <w14:ligatures w14:val="standardContextual"/>
              </w:rPr>
              <w:t>Flownex</w:t>
            </w:r>
            <w:proofErr w:type="spellEnd"/>
          </w:p>
        </w:tc>
        <w:tc>
          <w:tcPr>
            <w:tcW w:w="1890" w:type="dxa"/>
            <w:vAlign w:val="center"/>
          </w:tcPr>
          <w:p w14:paraId="7630CBBF"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Decomposition Method</w:t>
            </w:r>
          </w:p>
        </w:tc>
        <w:tc>
          <w:tcPr>
            <w:tcW w:w="1796" w:type="dxa"/>
            <w:tcBorders>
              <w:right w:val="double" w:sz="4" w:space="0" w:color="auto"/>
            </w:tcBorders>
            <w:vAlign w:val="center"/>
          </w:tcPr>
          <w:p w14:paraId="490559A5"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Explicit</w:t>
            </w:r>
          </w:p>
        </w:tc>
      </w:tr>
      <w:tr w:rsidR="007E5070" w:rsidRPr="003322BA" w14:paraId="1B1E93E5" w14:textId="77777777" w:rsidTr="003747BF">
        <w:trPr>
          <w:jc w:val="center"/>
        </w:trPr>
        <w:tc>
          <w:tcPr>
            <w:tcW w:w="1985" w:type="dxa"/>
            <w:tcBorders>
              <w:left w:val="double" w:sz="4" w:space="0" w:color="auto"/>
              <w:right w:val="double" w:sz="4" w:space="0" w:color="auto"/>
            </w:tcBorders>
            <w:vAlign w:val="center"/>
          </w:tcPr>
          <w:p w14:paraId="3965DF85"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NRG PALLAS</w:t>
            </w:r>
          </w:p>
        </w:tc>
        <w:tc>
          <w:tcPr>
            <w:tcW w:w="1843" w:type="dxa"/>
            <w:tcBorders>
              <w:left w:val="double" w:sz="4" w:space="0" w:color="auto"/>
            </w:tcBorders>
            <w:vAlign w:val="center"/>
          </w:tcPr>
          <w:p w14:paraId="143CC90F"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STAR-CCM+</w:t>
            </w:r>
          </w:p>
        </w:tc>
        <w:tc>
          <w:tcPr>
            <w:tcW w:w="1417" w:type="dxa"/>
            <w:vAlign w:val="center"/>
          </w:tcPr>
          <w:p w14:paraId="7AFA12D2"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SPECTRA</w:t>
            </w:r>
          </w:p>
        </w:tc>
        <w:tc>
          <w:tcPr>
            <w:tcW w:w="1890" w:type="dxa"/>
            <w:vAlign w:val="center"/>
          </w:tcPr>
          <w:p w14:paraId="66B10257"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Domain Overlapping</w:t>
            </w:r>
          </w:p>
        </w:tc>
        <w:tc>
          <w:tcPr>
            <w:tcW w:w="1796" w:type="dxa"/>
            <w:tcBorders>
              <w:right w:val="double" w:sz="4" w:space="0" w:color="auto"/>
            </w:tcBorders>
            <w:vAlign w:val="center"/>
          </w:tcPr>
          <w:p w14:paraId="2FB3ADC8"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Explicit</w:t>
            </w:r>
          </w:p>
        </w:tc>
      </w:tr>
      <w:tr w:rsidR="007E5070" w:rsidRPr="003322BA" w14:paraId="1E342767" w14:textId="77777777" w:rsidTr="003747BF">
        <w:trPr>
          <w:jc w:val="center"/>
        </w:trPr>
        <w:tc>
          <w:tcPr>
            <w:tcW w:w="1985" w:type="dxa"/>
            <w:tcBorders>
              <w:left w:val="double" w:sz="4" w:space="0" w:color="auto"/>
              <w:right w:val="double" w:sz="4" w:space="0" w:color="auto"/>
            </w:tcBorders>
            <w:vAlign w:val="center"/>
          </w:tcPr>
          <w:p w14:paraId="7F1C818B"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UNIPI</w:t>
            </w:r>
          </w:p>
        </w:tc>
        <w:tc>
          <w:tcPr>
            <w:tcW w:w="1843" w:type="dxa"/>
            <w:tcBorders>
              <w:left w:val="double" w:sz="4" w:space="0" w:color="auto"/>
            </w:tcBorders>
            <w:vAlign w:val="center"/>
          </w:tcPr>
          <w:p w14:paraId="03A2AB09"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STAR-CCM+</w:t>
            </w:r>
          </w:p>
        </w:tc>
        <w:tc>
          <w:tcPr>
            <w:tcW w:w="1417" w:type="dxa"/>
            <w:vAlign w:val="center"/>
          </w:tcPr>
          <w:p w14:paraId="12881D5D"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RELAP5</w:t>
            </w:r>
          </w:p>
        </w:tc>
        <w:tc>
          <w:tcPr>
            <w:tcW w:w="1890" w:type="dxa"/>
            <w:vAlign w:val="center"/>
          </w:tcPr>
          <w:p w14:paraId="0ADB28E5"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Decomposition Method</w:t>
            </w:r>
          </w:p>
        </w:tc>
        <w:tc>
          <w:tcPr>
            <w:tcW w:w="1796" w:type="dxa"/>
            <w:tcBorders>
              <w:right w:val="double" w:sz="4" w:space="0" w:color="auto"/>
            </w:tcBorders>
            <w:vAlign w:val="center"/>
          </w:tcPr>
          <w:p w14:paraId="14BC7DD6"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Explicit</w:t>
            </w:r>
          </w:p>
        </w:tc>
      </w:tr>
      <w:tr w:rsidR="007E5070" w:rsidRPr="003322BA" w14:paraId="5577278C" w14:textId="77777777" w:rsidTr="003747BF">
        <w:trPr>
          <w:jc w:val="center"/>
        </w:trPr>
        <w:tc>
          <w:tcPr>
            <w:tcW w:w="1985" w:type="dxa"/>
            <w:tcBorders>
              <w:left w:val="double" w:sz="4" w:space="0" w:color="auto"/>
              <w:right w:val="double" w:sz="4" w:space="0" w:color="auto"/>
            </w:tcBorders>
            <w:vAlign w:val="center"/>
          </w:tcPr>
          <w:p w14:paraId="51D857C9"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XJTU</w:t>
            </w:r>
          </w:p>
        </w:tc>
        <w:tc>
          <w:tcPr>
            <w:tcW w:w="1843" w:type="dxa"/>
            <w:tcBorders>
              <w:left w:val="double" w:sz="4" w:space="0" w:color="auto"/>
            </w:tcBorders>
            <w:vAlign w:val="center"/>
          </w:tcPr>
          <w:p w14:paraId="73AC8ACA"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ANSYS Fluent</w:t>
            </w:r>
          </w:p>
        </w:tc>
        <w:tc>
          <w:tcPr>
            <w:tcW w:w="1417" w:type="dxa"/>
            <w:vAlign w:val="center"/>
          </w:tcPr>
          <w:p w14:paraId="3D55603E"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RELAP5</w:t>
            </w:r>
          </w:p>
        </w:tc>
        <w:tc>
          <w:tcPr>
            <w:tcW w:w="1890" w:type="dxa"/>
            <w:vAlign w:val="center"/>
          </w:tcPr>
          <w:p w14:paraId="0F5A03EB"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Decomposition Method</w:t>
            </w:r>
          </w:p>
        </w:tc>
        <w:tc>
          <w:tcPr>
            <w:tcW w:w="1796" w:type="dxa"/>
            <w:tcBorders>
              <w:right w:val="double" w:sz="4" w:space="0" w:color="auto"/>
            </w:tcBorders>
            <w:vAlign w:val="center"/>
          </w:tcPr>
          <w:p w14:paraId="0B54F63D"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Explicit</w:t>
            </w:r>
          </w:p>
        </w:tc>
      </w:tr>
    </w:tbl>
    <w:p w14:paraId="57351833" w14:textId="77777777" w:rsidR="007E5070" w:rsidRPr="003322BA" w:rsidRDefault="007E5070" w:rsidP="007E5070">
      <w:pPr>
        <w:pStyle w:val="Corpodeltesto3"/>
        <w:wordWrap/>
        <w:spacing w:line="276" w:lineRule="auto"/>
        <w:jc w:val="both"/>
        <w:rPr>
          <w:rFonts w:eastAsiaTheme="minorEastAsia"/>
          <w:lang w:val="en-GB" w:eastAsia="zh-CN"/>
          <w14:ligatures w14:val="standardContextual"/>
        </w:rPr>
      </w:pPr>
    </w:p>
    <w:p w14:paraId="4CF566BB" w14:textId="77777777" w:rsidR="00AA2ABF" w:rsidRDefault="00AA2ABF" w:rsidP="00F930F7">
      <w:pPr>
        <w:pStyle w:val="Corpodeltesto3"/>
        <w:wordWrap/>
        <w:spacing w:line="360" w:lineRule="auto"/>
        <w:jc w:val="both"/>
        <w:rPr>
          <w:rFonts w:eastAsiaTheme="minorEastAsia"/>
          <w:lang w:val="en-GB" w:eastAsia="zh-CN"/>
          <w14:ligatures w14:val="standardContextual"/>
        </w:rPr>
      </w:pPr>
    </w:p>
    <w:p w14:paraId="10B6B9AB" w14:textId="41A5D044" w:rsidR="007E5070" w:rsidRDefault="00ED3F95" w:rsidP="00F930F7">
      <w:pPr>
        <w:pStyle w:val="Corpodeltesto3"/>
        <w:wordWrap/>
        <w:spacing w:line="360" w:lineRule="auto"/>
        <w:jc w:val="both"/>
        <w:rPr>
          <w:rFonts w:eastAsiaTheme="minorEastAsia"/>
          <w:lang w:val="en-GB" w:eastAsia="zh-CN"/>
          <w14:ligatures w14:val="standardContextual"/>
        </w:rPr>
      </w:pPr>
      <w:r>
        <w:rPr>
          <w:rFonts w:eastAsiaTheme="minorEastAsia"/>
          <w:lang w:val="en-GB" w:eastAsia="zh-CN"/>
          <w14:ligatures w14:val="standardContextual"/>
        </w:rPr>
        <w:lastRenderedPageBreak/>
        <w:t xml:space="preserve">As </w:t>
      </w:r>
      <w:r>
        <w:rPr>
          <w:rFonts w:eastAsiaTheme="minorEastAsia"/>
          <w:lang w:val="en-GB" w:eastAsia="zh-CN"/>
          <w14:ligatures w14:val="standardContextual"/>
        </w:rPr>
        <w:fldChar w:fldCharType="begin"/>
      </w:r>
      <w:r>
        <w:rPr>
          <w:rFonts w:eastAsiaTheme="minorEastAsia"/>
          <w:lang w:val="en-GB" w:eastAsia="zh-CN"/>
          <w14:ligatures w14:val="standardContextual"/>
        </w:rPr>
        <w:instrText xml:space="preserve"> REF _Ref206828181 \h  \* MERGEFORMAT </w:instrText>
      </w:r>
      <w:r>
        <w:rPr>
          <w:rFonts w:eastAsiaTheme="minorEastAsia"/>
          <w:lang w:val="en-GB" w:eastAsia="zh-CN"/>
          <w14:ligatures w14:val="standardContextual"/>
        </w:rPr>
      </w:r>
      <w:r>
        <w:rPr>
          <w:rFonts w:eastAsiaTheme="minorEastAsia"/>
          <w:lang w:val="en-GB" w:eastAsia="zh-CN"/>
          <w14:ligatures w14:val="standardContextual"/>
        </w:rPr>
        <w:fldChar w:fldCharType="separate"/>
      </w:r>
      <w:r w:rsidR="005248B3" w:rsidRPr="005248B3">
        <w:rPr>
          <w:rFonts w:eastAsiaTheme="minorEastAsia"/>
          <w:lang w:val="en-GB" w:eastAsia="zh-CN"/>
          <w14:ligatures w14:val="standardContextual"/>
        </w:rPr>
        <w:t>Table 11. 1</w:t>
      </w:r>
      <w:r>
        <w:rPr>
          <w:rFonts w:eastAsiaTheme="minorEastAsia"/>
          <w:lang w:val="en-GB" w:eastAsia="zh-CN"/>
          <w14:ligatures w14:val="standardContextual"/>
        </w:rPr>
        <w:fldChar w:fldCharType="end"/>
      </w:r>
      <w:r>
        <w:rPr>
          <w:rFonts w:eastAsiaTheme="minorEastAsia"/>
          <w:lang w:val="en-GB" w:eastAsia="zh-CN"/>
          <w14:ligatures w14:val="standardContextual"/>
        </w:rPr>
        <w:t xml:space="preserve"> clearly shows, most of the institutions adopted a Decomposition Method for the spatial discretization approach. </w:t>
      </w:r>
      <w:r w:rsidRPr="00ED3F95">
        <w:rPr>
          <w:rFonts w:eastAsiaTheme="minorEastAsia"/>
          <w:lang w:val="en-GB" w:eastAsia="zh-CN"/>
          <w14:ligatures w14:val="standardContextual"/>
        </w:rPr>
        <w:t>This technique considers that none of the coupled codes deal with the whole computational domain: each one is assigned instead to a specific region and information must be exchanged at the interfaces between the two codes.</w:t>
      </w:r>
      <w:r>
        <w:rPr>
          <w:rFonts w:eastAsiaTheme="minorEastAsia"/>
          <w:lang w:val="en-GB" w:eastAsia="zh-CN"/>
          <w14:ligatures w14:val="standardContextual"/>
        </w:rPr>
        <w:t xml:space="preserve"> All the participant institutions applied CFD for the Fuel Pin Simulator region, either for the active part only or for the whole hexagonal duct depending on the available computational resources and considered modelling hypotheses, while the STH code was adopted for the simulation of the remaining part of the primary loop and of the secondary side. </w:t>
      </w:r>
      <w:r w:rsidR="00F450E2" w:rsidRPr="00F450E2">
        <w:rPr>
          <w:rFonts w:eastAsiaTheme="minorEastAsia"/>
          <w:lang w:val="en-GB" w:eastAsia="zh-CN"/>
          <w14:ligatures w14:val="standardContextual"/>
        </w:rPr>
        <w:t xml:space="preserve">Mass flow, temperature and pressure </w:t>
      </w:r>
      <w:r w:rsidR="00F450E2">
        <w:rPr>
          <w:rFonts w:eastAsiaTheme="minorEastAsia"/>
          <w:lang w:val="en-GB" w:eastAsia="zh-CN"/>
          <w14:ligatures w14:val="standardContextual"/>
        </w:rPr>
        <w:t>information, to be updated at each time-step is</w:t>
      </w:r>
      <w:r w:rsidR="00F450E2" w:rsidRPr="00F450E2">
        <w:rPr>
          <w:rFonts w:eastAsiaTheme="minorEastAsia"/>
          <w:lang w:val="en-GB" w:eastAsia="zh-CN"/>
          <w14:ligatures w14:val="standardContextual"/>
        </w:rPr>
        <w:t xml:space="preserve"> exchanged at the interfaces</w:t>
      </w:r>
      <w:r w:rsidR="00F450E2">
        <w:rPr>
          <w:rFonts w:eastAsiaTheme="minorEastAsia"/>
          <w:lang w:val="en-GB" w:eastAsia="zh-CN"/>
          <w14:ligatures w14:val="standardContextual"/>
        </w:rPr>
        <w:t xml:space="preserve"> between the CFD and STH domains</w:t>
      </w:r>
      <w:r w:rsidR="00F450E2" w:rsidRPr="00F450E2">
        <w:rPr>
          <w:rFonts w:eastAsiaTheme="minorEastAsia"/>
          <w:lang w:val="en-GB" w:eastAsia="zh-CN"/>
          <w14:ligatures w14:val="standardContextual"/>
        </w:rPr>
        <w:t xml:space="preserve">, providing each code with suitable boundary conditions to run the </w:t>
      </w:r>
      <w:r w:rsidR="00F450E2">
        <w:rPr>
          <w:rFonts w:eastAsiaTheme="minorEastAsia"/>
          <w:lang w:val="en-GB" w:eastAsia="zh-CN"/>
          <w14:ligatures w14:val="standardContextual"/>
        </w:rPr>
        <w:t xml:space="preserve">transient </w:t>
      </w:r>
      <w:r w:rsidR="00F450E2" w:rsidRPr="00F450E2">
        <w:rPr>
          <w:rFonts w:eastAsiaTheme="minorEastAsia"/>
          <w:lang w:val="en-GB" w:eastAsia="zh-CN"/>
          <w14:ligatures w14:val="standardContextual"/>
        </w:rPr>
        <w:t>calculation</w:t>
      </w:r>
      <w:r w:rsidR="00F450E2">
        <w:rPr>
          <w:rFonts w:eastAsiaTheme="minorEastAsia"/>
          <w:lang w:val="en-GB" w:eastAsia="zh-CN"/>
          <w14:ligatures w14:val="standardContextual"/>
        </w:rPr>
        <w:t xml:space="preserve">. </w:t>
      </w:r>
      <w:r w:rsidR="00F450E2">
        <w:rPr>
          <w:rFonts w:eastAsiaTheme="minorEastAsia"/>
          <w:lang w:val="en-GB" w:eastAsia="zh-CN"/>
          <w14:ligatures w14:val="standardContextual"/>
        </w:rPr>
        <w:fldChar w:fldCharType="begin"/>
      </w:r>
      <w:r w:rsidR="00F450E2">
        <w:rPr>
          <w:rFonts w:eastAsiaTheme="minorEastAsia"/>
          <w:lang w:val="en-GB" w:eastAsia="zh-CN"/>
          <w14:ligatures w14:val="standardContextual"/>
        </w:rPr>
        <w:instrText xml:space="preserve"> REF _Ref206828645 \h </w:instrText>
      </w:r>
      <w:r w:rsidR="00F930F7">
        <w:rPr>
          <w:rFonts w:eastAsiaTheme="minorEastAsia"/>
          <w:lang w:val="en-GB" w:eastAsia="zh-CN"/>
          <w14:ligatures w14:val="standardContextual"/>
        </w:rPr>
        <w:instrText xml:space="preserve"> \* MERGEFORMAT </w:instrText>
      </w:r>
      <w:r w:rsidR="00F450E2">
        <w:rPr>
          <w:rFonts w:eastAsiaTheme="minorEastAsia"/>
          <w:lang w:val="en-GB" w:eastAsia="zh-CN"/>
          <w14:ligatures w14:val="standardContextual"/>
        </w:rPr>
      </w:r>
      <w:r w:rsidR="00F450E2">
        <w:rPr>
          <w:rFonts w:eastAsiaTheme="minorEastAsia"/>
          <w:lang w:val="en-GB" w:eastAsia="zh-CN"/>
          <w14:ligatures w14:val="standardContextual"/>
        </w:rPr>
        <w:fldChar w:fldCharType="separate"/>
      </w:r>
      <w:r w:rsidR="005248B3" w:rsidRPr="005248B3">
        <w:rPr>
          <w:rFonts w:eastAsiaTheme="minorEastAsia"/>
          <w:lang w:val="en-GB" w:eastAsia="zh-CN"/>
          <w14:ligatures w14:val="standardContextual"/>
        </w:rPr>
        <w:t>Figure 11. 1</w:t>
      </w:r>
      <w:r w:rsidR="00F450E2">
        <w:rPr>
          <w:rFonts w:eastAsiaTheme="minorEastAsia"/>
          <w:lang w:val="en-GB" w:eastAsia="zh-CN"/>
          <w14:ligatures w14:val="standardContextual"/>
        </w:rPr>
        <w:fldChar w:fldCharType="end"/>
      </w:r>
      <w:r w:rsidR="00F450E2">
        <w:rPr>
          <w:rFonts w:eastAsiaTheme="minorEastAsia"/>
          <w:lang w:val="en-GB" w:eastAsia="zh-CN"/>
          <w14:ligatures w14:val="standardContextual"/>
        </w:rPr>
        <w:t xml:space="preserve"> and </w:t>
      </w:r>
      <w:r w:rsidR="00F450E2">
        <w:rPr>
          <w:rFonts w:eastAsiaTheme="minorEastAsia"/>
          <w:lang w:val="en-GB" w:eastAsia="zh-CN"/>
          <w14:ligatures w14:val="standardContextual"/>
        </w:rPr>
        <w:fldChar w:fldCharType="begin"/>
      </w:r>
      <w:r w:rsidR="00F450E2">
        <w:rPr>
          <w:rFonts w:eastAsiaTheme="minorEastAsia"/>
          <w:lang w:val="en-GB" w:eastAsia="zh-CN"/>
          <w14:ligatures w14:val="standardContextual"/>
        </w:rPr>
        <w:instrText xml:space="preserve"> REF _Ref206828647 \h </w:instrText>
      </w:r>
      <w:r w:rsidR="00F930F7">
        <w:rPr>
          <w:rFonts w:eastAsiaTheme="minorEastAsia"/>
          <w:lang w:val="en-GB" w:eastAsia="zh-CN"/>
          <w14:ligatures w14:val="standardContextual"/>
        </w:rPr>
        <w:instrText xml:space="preserve"> \* MERGEFORMAT </w:instrText>
      </w:r>
      <w:r w:rsidR="00F450E2">
        <w:rPr>
          <w:rFonts w:eastAsiaTheme="minorEastAsia"/>
          <w:lang w:val="en-GB" w:eastAsia="zh-CN"/>
          <w14:ligatures w14:val="standardContextual"/>
        </w:rPr>
      </w:r>
      <w:r w:rsidR="00F450E2">
        <w:rPr>
          <w:rFonts w:eastAsiaTheme="minorEastAsia"/>
          <w:lang w:val="en-GB" w:eastAsia="zh-CN"/>
          <w14:ligatures w14:val="standardContextual"/>
        </w:rPr>
        <w:fldChar w:fldCharType="separate"/>
      </w:r>
      <w:r w:rsidR="005248B3" w:rsidRPr="005248B3">
        <w:rPr>
          <w:rFonts w:eastAsiaTheme="minorEastAsia"/>
          <w:lang w:val="en-GB" w:eastAsia="zh-CN"/>
          <w14:ligatures w14:val="standardContextual"/>
        </w:rPr>
        <w:t>Figure 11. 2</w:t>
      </w:r>
      <w:r w:rsidR="00F450E2">
        <w:rPr>
          <w:rFonts w:eastAsiaTheme="minorEastAsia"/>
          <w:lang w:val="en-GB" w:eastAsia="zh-CN"/>
          <w14:ligatures w14:val="standardContextual"/>
        </w:rPr>
        <w:fldChar w:fldCharType="end"/>
      </w:r>
      <w:r w:rsidR="00F450E2">
        <w:rPr>
          <w:rFonts w:eastAsiaTheme="minorEastAsia"/>
          <w:lang w:val="en-GB" w:eastAsia="zh-CN"/>
          <w14:ligatures w14:val="standardContextual"/>
        </w:rPr>
        <w:t xml:space="preserve"> </w:t>
      </w:r>
      <w:r w:rsidR="00F450E2" w:rsidRPr="00F450E2">
        <w:rPr>
          <w:rFonts w:eastAsiaTheme="minorEastAsia"/>
          <w:lang w:val="en-GB" w:eastAsia="zh-CN"/>
          <w14:ligatures w14:val="standardContextual"/>
        </w:rPr>
        <w:t>report as an example the coupling scheme adopted at the University of Pisa</w:t>
      </w:r>
      <w:r w:rsidR="00F450E2">
        <w:rPr>
          <w:rFonts w:eastAsiaTheme="minorEastAsia"/>
          <w:lang w:val="en-GB" w:eastAsia="zh-CN"/>
          <w14:ligatures w14:val="standardContextual"/>
        </w:rPr>
        <w:t xml:space="preserve">, in which the pressure information exchange occurs to be achieved via providing the STH code with the global pressure drop experienced in the CFD domain both </w:t>
      </w:r>
      <w:proofErr w:type="gramStart"/>
      <w:r w:rsidR="00F450E2">
        <w:rPr>
          <w:rFonts w:eastAsiaTheme="minorEastAsia"/>
          <w:lang w:val="en-GB" w:eastAsia="zh-CN"/>
          <w14:ligatures w14:val="standardContextual"/>
        </w:rPr>
        <w:t>as a consequence of</w:t>
      </w:r>
      <w:proofErr w:type="gramEnd"/>
      <w:r w:rsidR="00F450E2">
        <w:rPr>
          <w:rFonts w:eastAsiaTheme="minorEastAsia"/>
          <w:lang w:val="en-GB" w:eastAsia="zh-CN"/>
          <w14:ligatures w14:val="standardContextual"/>
        </w:rPr>
        <w:t xml:space="preserve"> friction and pressure head effects.</w:t>
      </w:r>
      <w:r w:rsidR="00F57DC8">
        <w:rPr>
          <w:rFonts w:eastAsiaTheme="minorEastAsia"/>
          <w:lang w:val="en-GB" w:eastAsia="zh-CN"/>
          <w14:ligatures w14:val="standardContextual"/>
        </w:rPr>
        <w:t xml:space="preserve"> </w:t>
      </w:r>
      <w:r w:rsidR="00F450E2">
        <w:rPr>
          <w:rFonts w:eastAsiaTheme="minorEastAsia"/>
          <w:lang w:val="en-GB" w:eastAsia="zh-CN"/>
          <w14:ligatures w14:val="standardContextual"/>
        </w:rPr>
        <w:t>Differently from the other institutions, NRG-PALLAS adopted a domain overlapping approach. By adopting this approach, the STH code is ideally capable of solving in stand-alone the numerical problem, while reckoning on CFD for a more accurate definition of key phenomena occurring in the Fuel Pin Simulator. CFD here works indeed in paral</w:t>
      </w:r>
      <w:r w:rsidR="0030384B">
        <w:rPr>
          <w:rFonts w:eastAsiaTheme="minorEastAsia"/>
          <w:lang w:val="en-GB" w:eastAsia="zh-CN"/>
          <w14:ligatures w14:val="standardContextual"/>
        </w:rPr>
        <w:t>le</w:t>
      </w:r>
      <w:r w:rsidR="00F450E2">
        <w:rPr>
          <w:rFonts w:eastAsiaTheme="minorEastAsia"/>
          <w:lang w:val="en-GB" w:eastAsia="zh-CN"/>
          <w14:ligatures w14:val="standardContextual"/>
        </w:rPr>
        <w:t>l with the STH code, and the</w:t>
      </w:r>
      <w:r w:rsidR="00F450E2" w:rsidRPr="00F450E2">
        <w:rPr>
          <w:rFonts w:eastAsiaTheme="minorEastAsia"/>
          <w:lang w:val="en-GB" w:eastAsia="zh-CN"/>
          <w14:ligatures w14:val="standardContextual"/>
        </w:rPr>
        <w:t xml:space="preserve"> improved pressure drop estimation is later fed to the STH code which adopts it to tune the pressure drop experienced in the FPS region and thus achieve a better estimation of the loop mass flow rate.</w:t>
      </w:r>
      <w:r w:rsidR="00F450E2">
        <w:rPr>
          <w:rFonts w:eastAsiaTheme="minorEastAsia"/>
          <w:lang w:val="en-GB" w:eastAsia="zh-CN"/>
          <w14:ligatures w14:val="standardContextual"/>
        </w:rPr>
        <w:t xml:space="preserve"> Temperature information is also provided by CFD for the outlet section of the Fuel Pin Simulator</w:t>
      </w:r>
      <w:r w:rsidR="00F450E2" w:rsidRPr="00F450E2">
        <w:rPr>
          <w:rFonts w:eastAsiaTheme="minorEastAsia"/>
          <w:lang w:val="en-GB" w:eastAsia="zh-CN"/>
          <w14:ligatures w14:val="standardContextual"/>
        </w:rPr>
        <w:t>.</w:t>
      </w:r>
      <w:r w:rsidR="00F450E2">
        <w:rPr>
          <w:rFonts w:eastAsiaTheme="minorEastAsia"/>
          <w:lang w:val="en-GB" w:eastAsia="zh-CN"/>
          <w14:ligatures w14:val="standardContextual"/>
        </w:rPr>
        <w:t xml:space="preserve"> A scheme of the considered modelling approach is reported in </w:t>
      </w:r>
      <w:r w:rsidR="00F450E2">
        <w:rPr>
          <w:rFonts w:eastAsiaTheme="minorEastAsia"/>
          <w:lang w:val="en-GB" w:eastAsia="zh-CN"/>
          <w14:ligatures w14:val="standardContextual"/>
        </w:rPr>
        <w:fldChar w:fldCharType="begin"/>
      </w:r>
      <w:r w:rsidR="00F450E2">
        <w:rPr>
          <w:rFonts w:eastAsiaTheme="minorEastAsia"/>
          <w:lang w:val="en-GB" w:eastAsia="zh-CN"/>
          <w14:ligatures w14:val="standardContextual"/>
        </w:rPr>
        <w:instrText xml:space="preserve"> REF _Ref206828989 \h </w:instrText>
      </w:r>
      <w:r w:rsidR="00F930F7">
        <w:rPr>
          <w:rFonts w:eastAsiaTheme="minorEastAsia"/>
          <w:lang w:val="en-GB" w:eastAsia="zh-CN"/>
          <w14:ligatures w14:val="standardContextual"/>
        </w:rPr>
        <w:instrText xml:space="preserve"> \* MERGEFORMAT </w:instrText>
      </w:r>
      <w:r w:rsidR="00F450E2">
        <w:rPr>
          <w:rFonts w:eastAsiaTheme="minorEastAsia"/>
          <w:lang w:val="en-GB" w:eastAsia="zh-CN"/>
          <w14:ligatures w14:val="standardContextual"/>
        </w:rPr>
      </w:r>
      <w:r w:rsidR="00F450E2">
        <w:rPr>
          <w:rFonts w:eastAsiaTheme="minorEastAsia"/>
          <w:lang w:val="en-GB" w:eastAsia="zh-CN"/>
          <w14:ligatures w14:val="standardContextual"/>
        </w:rPr>
        <w:fldChar w:fldCharType="separate"/>
      </w:r>
      <w:r w:rsidR="005248B3" w:rsidRPr="005248B3">
        <w:rPr>
          <w:rFonts w:eastAsiaTheme="minorEastAsia"/>
          <w:lang w:val="en-GB" w:eastAsia="zh-CN"/>
          <w14:ligatures w14:val="standardContextual"/>
        </w:rPr>
        <w:t>Figure 11. 3</w:t>
      </w:r>
      <w:r w:rsidR="00F450E2">
        <w:rPr>
          <w:rFonts w:eastAsiaTheme="minorEastAsia"/>
          <w:lang w:val="en-GB" w:eastAsia="zh-CN"/>
          <w14:ligatures w14:val="standardContextual"/>
        </w:rPr>
        <w:fldChar w:fldCharType="end"/>
      </w:r>
      <w:r w:rsidR="00F450E2">
        <w:rPr>
          <w:rFonts w:eastAsiaTheme="minorEastAsia"/>
          <w:lang w:val="en-GB" w:eastAsia="zh-CN"/>
          <w14:ligatures w14:val="standardContextual"/>
        </w:rPr>
        <w:t>.</w:t>
      </w:r>
    </w:p>
    <w:p w14:paraId="21AE6026" w14:textId="46D1A7EA" w:rsidR="00F450E2" w:rsidRDefault="00F930F7" w:rsidP="00F930F7">
      <w:pPr>
        <w:pStyle w:val="Corpodeltesto3"/>
        <w:wordWrap/>
        <w:spacing w:line="360" w:lineRule="auto"/>
        <w:jc w:val="both"/>
        <w:rPr>
          <w:rFonts w:eastAsiaTheme="minorEastAsia"/>
          <w:lang w:val="en-GB" w:eastAsia="zh-CN"/>
          <w14:ligatures w14:val="standardContextual"/>
        </w:rPr>
      </w:pPr>
      <w:r>
        <w:rPr>
          <w:rFonts w:eastAsiaTheme="minorEastAsia"/>
          <w:lang w:val="en-GB" w:eastAsia="zh-CN"/>
          <w14:ligatures w14:val="standardContextual"/>
        </w:rPr>
        <w:t xml:space="preserve">Moving to the time-advancing schemes it can be observed again from </w:t>
      </w:r>
      <w:r>
        <w:rPr>
          <w:rFonts w:eastAsiaTheme="minorEastAsia"/>
          <w:lang w:val="en-GB" w:eastAsia="zh-CN"/>
          <w14:ligatures w14:val="standardContextual"/>
        </w:rPr>
        <w:fldChar w:fldCharType="begin"/>
      </w:r>
      <w:r>
        <w:rPr>
          <w:rFonts w:eastAsiaTheme="minorEastAsia"/>
          <w:lang w:val="en-GB" w:eastAsia="zh-CN"/>
          <w14:ligatures w14:val="standardContextual"/>
        </w:rPr>
        <w:instrText xml:space="preserve"> REF _Ref206828181 \h  \* MERGEFORMAT </w:instrText>
      </w:r>
      <w:r>
        <w:rPr>
          <w:rFonts w:eastAsiaTheme="minorEastAsia"/>
          <w:lang w:val="en-GB" w:eastAsia="zh-CN"/>
          <w14:ligatures w14:val="standardContextual"/>
        </w:rPr>
      </w:r>
      <w:r>
        <w:rPr>
          <w:rFonts w:eastAsiaTheme="minorEastAsia"/>
          <w:lang w:val="en-GB" w:eastAsia="zh-CN"/>
          <w14:ligatures w14:val="standardContextual"/>
        </w:rPr>
        <w:fldChar w:fldCharType="separate"/>
      </w:r>
      <w:r w:rsidR="005248B3" w:rsidRPr="005248B3">
        <w:rPr>
          <w:rFonts w:eastAsiaTheme="minorEastAsia"/>
          <w:lang w:val="en-GB" w:eastAsia="zh-CN"/>
          <w14:ligatures w14:val="standardContextual"/>
        </w:rPr>
        <w:t>Table 11. 1</w:t>
      </w:r>
      <w:r>
        <w:rPr>
          <w:rFonts w:eastAsiaTheme="minorEastAsia"/>
          <w:lang w:val="en-GB" w:eastAsia="zh-CN"/>
          <w14:ligatures w14:val="standardContextual"/>
        </w:rPr>
        <w:fldChar w:fldCharType="end"/>
      </w:r>
      <w:r>
        <w:rPr>
          <w:rFonts w:eastAsiaTheme="minorEastAsia"/>
          <w:lang w:val="en-GB" w:eastAsia="zh-CN"/>
          <w14:ligatures w14:val="standardContextual"/>
        </w:rPr>
        <w:t xml:space="preserve"> that almost all the institutions went for an explicit approach, while only ENEA adopted a semi-implicit time advancing scheme. It must be here remarked that for the present applications, explicit and implicit, together with the well</w:t>
      </w:r>
      <w:r w:rsidR="00F57DC8">
        <w:rPr>
          <w:rFonts w:eastAsiaTheme="minorEastAsia"/>
          <w:lang w:val="en-GB" w:eastAsia="zh-CN"/>
          <w14:ligatures w14:val="standardContextual"/>
        </w:rPr>
        <w:t>-</w:t>
      </w:r>
      <w:r>
        <w:rPr>
          <w:rFonts w:eastAsiaTheme="minorEastAsia"/>
          <w:lang w:val="en-GB" w:eastAsia="zh-CN"/>
          <w14:ligatures w14:val="standardContextual"/>
        </w:rPr>
        <w:t xml:space="preserve">known Courant limits should not be interpreted as strictly as in the traditional analysis. Since both the CFD and STH codes are sufficiently large with respect to the </w:t>
      </w:r>
      <w:r w:rsidR="00F57DC8">
        <w:rPr>
          <w:rFonts w:eastAsiaTheme="minorEastAsia"/>
          <w:lang w:val="en-GB" w:eastAsia="zh-CN"/>
          <w14:ligatures w14:val="standardContextual"/>
        </w:rPr>
        <w:t xml:space="preserve">considered phenomena, information usually takes quite a long time to travel from the inlet and outlet interfaces the considered time advancing scheme should not in general affect the code stability. Nevertheless, semi-implicit or implicit approaches could help in making the coupling between the codes more solid, better bounding the two calculations.  In fact, adopting an explicit approach, </w:t>
      </w:r>
      <w:r w:rsidR="00F57DC8" w:rsidRPr="00F57DC8">
        <w:rPr>
          <w:rFonts w:eastAsiaTheme="minorEastAsia"/>
          <w:lang w:val="en-GB" w:eastAsia="zh-CN"/>
          <w14:ligatures w14:val="standardContextual"/>
        </w:rPr>
        <w:t>each code performs the calculation for the present time-step only once, provid</w:t>
      </w:r>
      <w:r w:rsidR="00F57DC8">
        <w:rPr>
          <w:rFonts w:eastAsiaTheme="minorEastAsia"/>
          <w:lang w:val="en-GB" w:eastAsia="zh-CN"/>
          <w14:ligatures w14:val="standardContextual"/>
        </w:rPr>
        <w:t>ing the other one with</w:t>
      </w:r>
      <w:r w:rsidR="00F57DC8" w:rsidRPr="00F57DC8">
        <w:rPr>
          <w:rFonts w:eastAsiaTheme="minorEastAsia"/>
          <w:lang w:val="en-GB" w:eastAsia="zh-CN"/>
          <w14:ligatures w14:val="standardContextual"/>
        </w:rPr>
        <w:t xml:space="preserve"> the updated boundary conditions</w:t>
      </w:r>
      <w:r w:rsidR="00F57DC8">
        <w:rPr>
          <w:rFonts w:eastAsiaTheme="minorEastAsia"/>
          <w:lang w:val="en-GB" w:eastAsia="zh-CN"/>
          <w14:ligatures w14:val="standardContextual"/>
        </w:rPr>
        <w:t xml:space="preserve">. While the other code is processing, the first one waits for the updated boundary conditions and then proceeds towards </w:t>
      </w:r>
      <w:r w:rsidR="00F57DC8">
        <w:rPr>
          <w:rFonts w:eastAsiaTheme="minorEastAsia"/>
          <w:lang w:val="en-GB" w:eastAsia="zh-CN"/>
          <w14:ligatures w14:val="standardContextual"/>
        </w:rPr>
        <w:lastRenderedPageBreak/>
        <w:t>the next time level.</w:t>
      </w:r>
      <w:r w:rsidR="00F57DC8" w:rsidRPr="00F57DC8">
        <w:rPr>
          <w:rFonts w:eastAsiaTheme="minorEastAsia"/>
          <w:lang w:val="en-GB" w:eastAsia="zh-CN"/>
          <w14:ligatures w14:val="standardContextual"/>
        </w:rPr>
        <w:t xml:space="preserve"> </w:t>
      </w:r>
      <w:r w:rsidR="00F57DC8">
        <w:rPr>
          <w:rFonts w:eastAsiaTheme="minorEastAsia"/>
          <w:lang w:val="en-GB" w:eastAsia="zh-CN"/>
          <w14:ligatures w14:val="standardContextual"/>
        </w:rPr>
        <w:t>No</w:t>
      </w:r>
      <w:r w:rsidR="00F57DC8" w:rsidRPr="00F57DC8">
        <w:rPr>
          <w:rFonts w:eastAsiaTheme="minorEastAsia"/>
          <w:lang w:val="en-GB" w:eastAsia="zh-CN"/>
          <w14:ligatures w14:val="standardContextual"/>
        </w:rPr>
        <w:t xml:space="preserve"> check on the exchanged quantities</w:t>
      </w:r>
      <w:r w:rsidR="00F57DC8">
        <w:rPr>
          <w:rFonts w:eastAsiaTheme="minorEastAsia"/>
          <w:lang w:val="en-GB" w:eastAsia="zh-CN"/>
          <w14:ligatures w14:val="standardContextual"/>
        </w:rPr>
        <w:t xml:space="preserve"> and balances is performed</w:t>
      </w:r>
      <w:r w:rsidR="00F57DC8" w:rsidRPr="00F57DC8">
        <w:rPr>
          <w:rFonts w:eastAsiaTheme="minorEastAsia"/>
          <w:lang w:val="en-GB" w:eastAsia="zh-CN"/>
          <w14:ligatures w14:val="standardContextual"/>
        </w:rPr>
        <w:t>.</w:t>
      </w:r>
      <w:r w:rsidR="00F57DC8">
        <w:rPr>
          <w:rFonts w:eastAsiaTheme="minorEastAsia"/>
          <w:lang w:val="en-GB" w:eastAsia="zh-CN"/>
          <w14:ligatures w14:val="standardContextual"/>
        </w:rPr>
        <w:t xml:space="preserve"> </w:t>
      </w:r>
      <w:r w:rsidR="00F57DC8">
        <w:rPr>
          <w:rFonts w:eastAsiaTheme="minorEastAsia"/>
          <w:lang w:val="en-GB" w:eastAsia="zh-CN"/>
          <w14:ligatures w14:val="standardContextual"/>
        </w:rPr>
        <w:fldChar w:fldCharType="begin"/>
      </w:r>
      <w:r w:rsidR="00F57DC8">
        <w:rPr>
          <w:rFonts w:eastAsiaTheme="minorEastAsia"/>
          <w:lang w:val="en-GB" w:eastAsia="zh-CN"/>
          <w14:ligatures w14:val="standardContextual"/>
        </w:rPr>
        <w:instrText xml:space="preserve"> REF _Ref206830043 \h </w:instrText>
      </w:r>
      <w:r w:rsidR="00F57DC8">
        <w:rPr>
          <w:rFonts w:eastAsiaTheme="minorEastAsia"/>
          <w:lang w:val="en-GB" w:eastAsia="zh-CN"/>
          <w14:ligatures w14:val="standardContextual"/>
        </w:rPr>
      </w:r>
      <w:r w:rsidR="00D70416">
        <w:rPr>
          <w:rFonts w:eastAsiaTheme="minorEastAsia"/>
          <w:lang w:val="en-GB" w:eastAsia="zh-CN"/>
          <w14:ligatures w14:val="standardContextual"/>
        </w:rPr>
        <w:instrText xml:space="preserve"> \* MERGEFORMAT </w:instrText>
      </w:r>
      <w:r w:rsidR="00F57DC8">
        <w:rPr>
          <w:rFonts w:eastAsiaTheme="minorEastAsia"/>
          <w:lang w:val="en-GB" w:eastAsia="zh-CN"/>
          <w14:ligatures w14:val="standardContextual"/>
        </w:rPr>
        <w:fldChar w:fldCharType="separate"/>
      </w:r>
      <w:r w:rsidR="005248B3" w:rsidRPr="00D70416">
        <w:rPr>
          <w:rFonts w:eastAsiaTheme="minorEastAsia"/>
          <w:lang w:val="en-GB" w:eastAsia="zh-CN"/>
          <w14:ligatures w14:val="standardContextual"/>
        </w:rPr>
        <w:t>Figure 11. 4</w:t>
      </w:r>
      <w:r w:rsidR="00F57DC8">
        <w:rPr>
          <w:rFonts w:eastAsiaTheme="minorEastAsia"/>
          <w:lang w:val="en-GB" w:eastAsia="zh-CN"/>
          <w14:ligatures w14:val="standardContextual"/>
        </w:rPr>
        <w:fldChar w:fldCharType="end"/>
      </w:r>
      <w:r w:rsidR="00F57DC8">
        <w:rPr>
          <w:rFonts w:eastAsiaTheme="minorEastAsia"/>
          <w:lang w:val="en-GB" w:eastAsia="zh-CN"/>
          <w14:ligatures w14:val="standardContextual"/>
        </w:rPr>
        <w:t xml:space="preserve"> reports as example the time advancing scheme adopted by </w:t>
      </w:r>
      <w:proofErr w:type="spellStart"/>
      <w:r w:rsidR="00F57DC8">
        <w:rPr>
          <w:rFonts w:eastAsiaTheme="minorEastAsia"/>
          <w:lang w:val="en-GB" w:eastAsia="zh-CN"/>
          <w14:ligatures w14:val="standardContextual"/>
        </w:rPr>
        <w:t>UniPi</w:t>
      </w:r>
      <w:proofErr w:type="spellEnd"/>
      <w:r w:rsidR="00F57DC8">
        <w:rPr>
          <w:rFonts w:eastAsiaTheme="minorEastAsia"/>
          <w:lang w:val="en-GB" w:eastAsia="zh-CN"/>
          <w14:ligatures w14:val="standardContextual"/>
        </w:rPr>
        <w:t xml:space="preserve">. The picture also reports on the need to use an external master code, MATLAB in the present application, which is capable to manage the coupling between the two codes. In the semi-implicit approach adopted by ENEA, instead, several internal iterations per time-step are performed, eventually moving towards the next time level once some convergence criteria are met regarding the exchanged quantities. A higher computational cost is thus to be expected per time-step, which should be rewarded by a higher accuracy of the coupling approach. </w:t>
      </w:r>
      <w:r w:rsidR="00F57DC8" w:rsidRPr="00F57DC8">
        <w:rPr>
          <w:rFonts w:eastAsiaTheme="minorEastAsia"/>
          <w:lang w:val="en-GB" w:eastAsia="zh-CN"/>
          <w14:ligatures w14:val="standardContextual"/>
        </w:rPr>
        <w:t xml:space="preserve">The explicit approach grants </w:t>
      </w:r>
      <w:r w:rsidR="00F57DC8">
        <w:rPr>
          <w:rFonts w:eastAsiaTheme="minorEastAsia"/>
          <w:lang w:val="en-GB" w:eastAsia="zh-CN"/>
          <w14:ligatures w14:val="standardContextual"/>
        </w:rPr>
        <w:t xml:space="preserve">instead </w:t>
      </w:r>
      <w:r w:rsidR="00F57DC8" w:rsidRPr="00F57DC8">
        <w:rPr>
          <w:rFonts w:eastAsiaTheme="minorEastAsia"/>
          <w:lang w:val="en-GB" w:eastAsia="zh-CN"/>
          <w14:ligatures w14:val="standardContextual"/>
        </w:rPr>
        <w:t xml:space="preserve">a smaller computational cost per time step but may require smaller time-step sizes </w:t>
      </w:r>
      <w:proofErr w:type="gramStart"/>
      <w:r w:rsidR="00F57DC8" w:rsidRPr="00F57DC8">
        <w:rPr>
          <w:rFonts w:eastAsiaTheme="minorEastAsia"/>
          <w:lang w:val="en-GB" w:eastAsia="zh-CN"/>
          <w14:ligatures w14:val="standardContextual"/>
        </w:rPr>
        <w:t>in order to</w:t>
      </w:r>
      <w:proofErr w:type="gramEnd"/>
      <w:r w:rsidR="00F57DC8" w:rsidRPr="00F57DC8">
        <w:rPr>
          <w:rFonts w:eastAsiaTheme="minorEastAsia"/>
          <w:lang w:val="en-GB" w:eastAsia="zh-CN"/>
          <w14:ligatures w14:val="standardContextual"/>
        </w:rPr>
        <w:t xml:space="preserve"> </w:t>
      </w:r>
      <w:r w:rsidR="00F57DC8">
        <w:rPr>
          <w:rFonts w:eastAsiaTheme="minorEastAsia"/>
          <w:lang w:val="en-GB" w:eastAsia="zh-CN"/>
          <w14:ligatures w14:val="standardContextual"/>
        </w:rPr>
        <w:t>make it so that inaccuracies at the interface are sufficiently small not to prevent the global prediction performance.</w:t>
      </w:r>
    </w:p>
    <w:p w14:paraId="10FC4B1D" w14:textId="019843D2" w:rsidR="00AC2F4C" w:rsidRPr="003322BA" w:rsidRDefault="00F57DC8" w:rsidP="00AC2F4C">
      <w:pPr>
        <w:pStyle w:val="Corpodeltesto3"/>
        <w:wordWrap/>
        <w:spacing w:line="360" w:lineRule="auto"/>
        <w:jc w:val="both"/>
        <w:rPr>
          <w:rFonts w:eastAsiaTheme="minorEastAsia"/>
          <w:lang w:val="en-GB" w:eastAsia="zh-CN"/>
          <w14:ligatures w14:val="standardContextual"/>
        </w:rPr>
      </w:pPr>
      <w:r>
        <w:rPr>
          <w:rFonts w:eastAsiaTheme="minorEastAsia"/>
          <w:lang w:val="en-GB" w:eastAsia="zh-CN"/>
          <w14:ligatures w14:val="standardContextual"/>
        </w:rPr>
        <w:t>At the present stage,</w:t>
      </w:r>
      <w:r w:rsidR="00AC2F4C">
        <w:rPr>
          <w:rFonts w:eastAsiaTheme="minorEastAsia"/>
          <w:lang w:val="en-GB" w:eastAsia="zh-CN"/>
          <w14:ligatures w14:val="standardContextual"/>
        </w:rPr>
        <w:t xml:space="preserve"> as</w:t>
      </w:r>
      <w:r>
        <w:rPr>
          <w:rFonts w:eastAsiaTheme="minorEastAsia"/>
          <w:lang w:val="en-GB" w:eastAsia="zh-CN"/>
          <w14:ligatures w14:val="standardContextual"/>
        </w:rPr>
        <w:t xml:space="preserve"> </w:t>
      </w:r>
      <w:r w:rsidR="00AC2F4C">
        <w:rPr>
          <w:rFonts w:eastAsiaTheme="minorEastAsia"/>
          <w:lang w:val="en-GB" w:eastAsia="zh-CN"/>
          <w14:ligatures w14:val="standardContextual"/>
        </w:rPr>
        <w:t xml:space="preserve">no general statements can be formulated about the superiority or </w:t>
      </w:r>
      <w:proofErr w:type="spellStart"/>
      <w:r w:rsidR="00AC2F4C">
        <w:rPr>
          <w:rFonts w:eastAsiaTheme="minorEastAsia"/>
          <w:lang w:val="en-GB" w:eastAsia="zh-CN"/>
          <w14:ligatures w14:val="standardContextual"/>
        </w:rPr>
        <w:t>limitis</w:t>
      </w:r>
      <w:proofErr w:type="spellEnd"/>
      <w:r w:rsidR="00AC2F4C">
        <w:rPr>
          <w:rFonts w:eastAsiaTheme="minorEastAsia"/>
          <w:lang w:val="en-GB" w:eastAsia="zh-CN"/>
          <w14:ligatures w14:val="standardContextual"/>
        </w:rPr>
        <w:t xml:space="preserve"> of the selected approaches; t</w:t>
      </w:r>
      <w:r w:rsidR="00AC2F4C" w:rsidRPr="00AC2F4C">
        <w:rPr>
          <w:rFonts w:eastAsiaTheme="minorEastAsia"/>
          <w:lang w:val="en-GB" w:eastAsia="zh-CN"/>
          <w14:ligatures w14:val="standardContextual"/>
        </w:rPr>
        <w:t xml:space="preserve">he trade-off </w:t>
      </w:r>
      <w:r w:rsidR="00AC2F4C">
        <w:rPr>
          <w:rFonts w:eastAsiaTheme="minorEastAsia"/>
          <w:lang w:val="en-GB" w:eastAsia="zh-CN"/>
          <w14:ligatures w14:val="standardContextual"/>
        </w:rPr>
        <w:t xml:space="preserve">between decomposition/overlapping methods or explicit/implicit time advancing scheme </w:t>
      </w:r>
      <w:r w:rsidR="00AC2F4C" w:rsidRPr="00AC2F4C">
        <w:rPr>
          <w:rFonts w:eastAsiaTheme="minorEastAsia"/>
          <w:lang w:val="en-GB" w:eastAsia="zh-CN"/>
          <w14:ligatures w14:val="standardContextual"/>
        </w:rPr>
        <w:t>could depend on the specific application</w:t>
      </w:r>
      <w:r w:rsidR="00AC2F4C">
        <w:rPr>
          <w:rFonts w:eastAsiaTheme="minorEastAsia"/>
          <w:lang w:val="en-GB" w:eastAsia="zh-CN"/>
          <w14:ligatures w14:val="standardContextual"/>
        </w:rPr>
        <w:t>, thus on the adopted codes and addressed phenomena</w:t>
      </w:r>
      <w:r w:rsidR="00AC2F4C" w:rsidRPr="00AC2F4C">
        <w:rPr>
          <w:rFonts w:eastAsiaTheme="minorEastAsia"/>
          <w:lang w:val="en-GB" w:eastAsia="zh-CN"/>
          <w14:ligatures w14:val="standardContextual"/>
        </w:rPr>
        <w: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9"/>
        <w:gridCol w:w="4907"/>
      </w:tblGrid>
      <w:tr w:rsidR="007E5070" w:rsidRPr="003322BA" w14:paraId="41B745F2" w14:textId="77777777" w:rsidTr="00904772">
        <w:tc>
          <w:tcPr>
            <w:tcW w:w="4219" w:type="dxa"/>
          </w:tcPr>
          <w:p w14:paraId="0AD98B7B" w14:textId="77777777" w:rsidR="00F450E2" w:rsidRDefault="007E5070" w:rsidP="00F450E2">
            <w:pPr>
              <w:pStyle w:val="Corpodeltesto3"/>
              <w:keepNext/>
              <w:wordWrap/>
              <w:spacing w:line="276" w:lineRule="auto"/>
              <w:jc w:val="both"/>
            </w:pPr>
            <w:r w:rsidRPr="003322BA">
              <w:rPr>
                <w:rFonts w:eastAsiaTheme="minorEastAsia"/>
                <w:noProof/>
                <w:lang w:val="en-GB" w:eastAsia="zh-CN"/>
                <w14:ligatures w14:val="standardContextual"/>
              </w:rPr>
              <w:drawing>
                <wp:inline distT="0" distB="0" distL="0" distR="0" wp14:anchorId="05AA79A2" wp14:editId="5405DD23">
                  <wp:extent cx="2113200" cy="2520000"/>
                  <wp:effectExtent l="0" t="0" r="1905" b="0"/>
                  <wp:docPr id="403505755" name="Immagine 4" descr="Immagine che contiene testo, schermata, diagramma, Piano&#10;&#10;Descrizione generata automaticamente">
                    <a:extLst xmlns:a="http://schemas.openxmlformats.org/drawingml/2006/main">
                      <a:ext uri="{FF2B5EF4-FFF2-40B4-BE49-F238E27FC236}">
                        <a16:creationId xmlns:a16="http://schemas.microsoft.com/office/drawing/2014/main" id="{3E93ED89-EABA-DC87-DA93-ED8148D814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05755" name="Immagine 4" descr="Immagine che contiene testo, schermata, diagramma, Piano&#10;&#10;Descrizione generata automaticamente">
                            <a:extLst>
                              <a:ext uri="{FF2B5EF4-FFF2-40B4-BE49-F238E27FC236}">
                                <a16:creationId xmlns:a16="http://schemas.microsoft.com/office/drawing/2014/main" id="{3E93ED89-EABA-DC87-DA93-ED8148D81440}"/>
                              </a:ext>
                            </a:extLst>
                          </pic:cNvPr>
                          <pic:cNvPicPr>
                            <a:picLocks noChangeAspect="1"/>
                          </pic:cNvPicPr>
                        </pic:nvPicPr>
                        <pic:blipFill rotWithShape="1">
                          <a:blip r:embed="rId9"/>
                          <a:srcRect t="2208"/>
                          <a:stretch/>
                        </pic:blipFill>
                        <pic:spPr bwMode="auto">
                          <a:xfrm>
                            <a:off x="0" y="0"/>
                            <a:ext cx="2113200" cy="2520000"/>
                          </a:xfrm>
                          <a:prstGeom prst="rect">
                            <a:avLst/>
                          </a:prstGeom>
                          <a:ln>
                            <a:noFill/>
                          </a:ln>
                          <a:extLst>
                            <a:ext uri="{53640926-AAD7-44D8-BBD7-CCE9431645EC}">
                              <a14:shadowObscured xmlns:a14="http://schemas.microsoft.com/office/drawing/2010/main"/>
                            </a:ext>
                          </a:extLst>
                        </pic:spPr>
                      </pic:pic>
                    </a:graphicData>
                  </a:graphic>
                </wp:inline>
              </w:drawing>
            </w:r>
          </w:p>
          <w:p w14:paraId="34CD2E7F" w14:textId="3E6A6240" w:rsidR="007E5070" w:rsidRPr="003322BA" w:rsidRDefault="00F450E2" w:rsidP="00F450E2">
            <w:pPr>
              <w:pStyle w:val="Didascalia"/>
              <w:jc w:val="both"/>
            </w:pPr>
            <w:bookmarkStart w:id="2" w:name="_Ref206828645"/>
            <w:r>
              <w:t xml:space="preserve">Figure 11. </w:t>
            </w:r>
            <w:r w:rsidR="00EC6147">
              <w:fldChar w:fldCharType="begin"/>
            </w:r>
            <w:r w:rsidR="00EC6147">
              <w:instrText xml:space="preserve"> SEQ Figure_11. \* ARABIC </w:instrText>
            </w:r>
            <w:r w:rsidR="00EC6147">
              <w:fldChar w:fldCharType="separate"/>
            </w:r>
            <w:r w:rsidR="005248B3">
              <w:rPr>
                <w:noProof/>
              </w:rPr>
              <w:t>1</w:t>
            </w:r>
            <w:r w:rsidR="00EC6147">
              <w:rPr>
                <w:noProof/>
              </w:rPr>
              <w:fldChar w:fldCharType="end"/>
            </w:r>
            <w:bookmarkEnd w:id="2"/>
            <w:r>
              <w:t xml:space="preserve"> </w:t>
            </w:r>
            <w:r w:rsidRPr="00F450E2">
              <w:t xml:space="preserve">RELAP5 </w:t>
            </w:r>
            <w:proofErr w:type="spellStart"/>
            <w:r w:rsidRPr="00F450E2">
              <w:t>nodalization</w:t>
            </w:r>
            <w:r>
              <w:t>adopted</w:t>
            </w:r>
            <w:proofErr w:type="spellEnd"/>
            <w:r>
              <w:t xml:space="preserve"> at </w:t>
            </w:r>
            <w:proofErr w:type="spellStart"/>
            <w:r>
              <w:t>UniPi</w:t>
            </w:r>
            <w:proofErr w:type="spellEnd"/>
            <w:r>
              <w:t>.</w:t>
            </w:r>
          </w:p>
        </w:tc>
        <w:tc>
          <w:tcPr>
            <w:tcW w:w="5023" w:type="dxa"/>
          </w:tcPr>
          <w:p w14:paraId="658BF948" w14:textId="77777777" w:rsidR="00F450E2" w:rsidRDefault="007E5070" w:rsidP="00F450E2">
            <w:pPr>
              <w:pStyle w:val="Corpodeltesto3"/>
              <w:keepNext/>
              <w:wordWrap/>
              <w:spacing w:line="276" w:lineRule="auto"/>
              <w:jc w:val="both"/>
            </w:pPr>
            <w:r w:rsidRPr="003322BA">
              <w:rPr>
                <w:rFonts w:eastAsiaTheme="minorEastAsia"/>
                <w:noProof/>
                <w:lang w:val="en-GB" w:eastAsia="zh-CN"/>
                <w14:ligatures w14:val="standardContextual"/>
              </w:rPr>
              <w:drawing>
                <wp:inline distT="0" distB="0" distL="0" distR="0" wp14:anchorId="094281A8" wp14:editId="00015F63">
                  <wp:extent cx="2545200" cy="2520000"/>
                  <wp:effectExtent l="0" t="0" r="7620" b="0"/>
                  <wp:docPr id="1187528504" name="Immagine 7" descr="Immagine che contiene diagramma, testo, disegno, schermata&#10;&#10;Il contenuto generato dall'IA potrebbe non essere corretto.">
                    <a:extLst xmlns:a="http://schemas.openxmlformats.org/drawingml/2006/main">
                      <a:ext uri="{FF2B5EF4-FFF2-40B4-BE49-F238E27FC236}">
                        <a16:creationId xmlns:a16="http://schemas.microsoft.com/office/drawing/2014/main" id="{EC674AE9-50F5-DE69-65B8-A3EBD9E9F9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28504" name="Immagine 7" descr="Immagine che contiene diagramma, testo, disegno, schermata&#10;&#10;Il contenuto generato dall'IA potrebbe non essere corretto.">
                            <a:extLst>
                              <a:ext uri="{FF2B5EF4-FFF2-40B4-BE49-F238E27FC236}">
                                <a16:creationId xmlns:a16="http://schemas.microsoft.com/office/drawing/2014/main" id="{EC674AE9-50F5-DE69-65B8-A3EBD9E9F991}"/>
                              </a:ext>
                            </a:extLst>
                          </pic:cNvPr>
                          <pic:cNvPicPr>
                            <a:picLocks noChangeAspect="1"/>
                          </pic:cNvPicPr>
                        </pic:nvPicPr>
                        <pic:blipFill>
                          <a:blip r:embed="rId10"/>
                          <a:stretch>
                            <a:fillRect/>
                          </a:stretch>
                        </pic:blipFill>
                        <pic:spPr>
                          <a:xfrm>
                            <a:off x="0" y="0"/>
                            <a:ext cx="2545200" cy="2520000"/>
                          </a:xfrm>
                          <a:prstGeom prst="rect">
                            <a:avLst/>
                          </a:prstGeom>
                        </pic:spPr>
                      </pic:pic>
                    </a:graphicData>
                  </a:graphic>
                </wp:inline>
              </w:drawing>
            </w:r>
          </w:p>
          <w:p w14:paraId="7341E33B" w14:textId="438106CD" w:rsidR="00AC2F4C" w:rsidRPr="003322BA" w:rsidRDefault="00F450E2" w:rsidP="00AC2F4C">
            <w:pPr>
              <w:pStyle w:val="Didascalia"/>
              <w:jc w:val="both"/>
            </w:pPr>
            <w:bookmarkStart w:id="3" w:name="_Ref206828647"/>
            <w:r>
              <w:t xml:space="preserve">Figure 11. </w:t>
            </w:r>
            <w:r w:rsidR="00EC6147">
              <w:fldChar w:fldCharType="begin"/>
            </w:r>
            <w:r w:rsidR="00EC6147">
              <w:instrText xml:space="preserve"> SEQ Figure_11. \* ARABIC </w:instrText>
            </w:r>
            <w:r w:rsidR="00EC6147">
              <w:fldChar w:fldCharType="separate"/>
            </w:r>
            <w:r w:rsidR="005248B3">
              <w:rPr>
                <w:noProof/>
              </w:rPr>
              <w:t>2</w:t>
            </w:r>
            <w:r w:rsidR="00EC6147">
              <w:rPr>
                <w:noProof/>
              </w:rPr>
              <w:fldChar w:fldCharType="end"/>
            </w:r>
            <w:bookmarkEnd w:id="3"/>
            <w:r>
              <w:t xml:space="preserve"> </w:t>
            </w:r>
            <w:r w:rsidRPr="00F450E2">
              <w:t xml:space="preserve">Detail exchanged information scheme at the STH/CFD interface adopted at </w:t>
            </w:r>
            <w:proofErr w:type="spellStart"/>
            <w:r w:rsidRPr="00F450E2">
              <w:t>UniP</w:t>
            </w:r>
            <w:r>
              <w:t>i</w:t>
            </w:r>
            <w:proofErr w:type="spellEnd"/>
            <w:r>
              <w:t>.</w:t>
            </w:r>
          </w:p>
        </w:tc>
      </w:tr>
    </w:tbl>
    <w:p w14:paraId="484C573A" w14:textId="77777777" w:rsidR="007E5070" w:rsidRDefault="007E5070" w:rsidP="007E5070">
      <w:pPr>
        <w:pStyle w:val="Corpodeltesto3"/>
        <w:wordWrap/>
        <w:spacing w:line="276" w:lineRule="auto"/>
        <w:rPr>
          <w:rFonts w:eastAsiaTheme="minorEastAsia"/>
          <w:lang w:val="en-GB" w:eastAsia="zh-CN"/>
          <w14:ligatures w14:val="standardContextual"/>
        </w:rPr>
      </w:pPr>
    </w:p>
    <w:p w14:paraId="23F736A8" w14:textId="39CFDF1D" w:rsidR="00AA2ABF" w:rsidRDefault="00AA2ABF" w:rsidP="00AA2ABF">
      <w:pPr>
        <w:pStyle w:val="Corpodeltesto3"/>
        <w:wordWrap/>
        <w:spacing w:line="360" w:lineRule="auto"/>
        <w:jc w:val="both"/>
        <w:rPr>
          <w:rFonts w:eastAsiaTheme="minorEastAsia"/>
          <w:lang w:val="en-GB" w:eastAsia="zh-CN"/>
          <w14:ligatures w14:val="standardContextual"/>
        </w:rPr>
      </w:pPr>
      <w:r>
        <w:rPr>
          <w:rFonts w:eastAsiaTheme="minorEastAsia"/>
          <w:lang w:val="en-GB" w:eastAsia="zh-CN"/>
          <w14:ligatures w14:val="standardContextual"/>
        </w:rPr>
        <w:t xml:space="preserve">As mentioned above, each participant was set free to adopt its own best estimated model to perform the coupled STH/CFD calculations. The adopted model of course strongly depended on the available computational resources and manpower. </w:t>
      </w:r>
      <w:proofErr w:type="gramStart"/>
      <w:r>
        <w:rPr>
          <w:rFonts w:eastAsiaTheme="minorEastAsia"/>
          <w:lang w:val="en-GB" w:eastAsia="zh-CN"/>
          <w14:ligatures w14:val="standardContextual"/>
        </w:rPr>
        <w:t>As a consequence</w:t>
      </w:r>
      <w:proofErr w:type="gramEnd"/>
      <w:r>
        <w:rPr>
          <w:rFonts w:eastAsiaTheme="minorEastAsia"/>
          <w:lang w:val="en-GB" w:eastAsia="zh-CN"/>
          <w14:ligatures w14:val="standardContextual"/>
        </w:rPr>
        <w:t xml:space="preserve">, a quite diverse range of approaches, spatial refinements and time-step sizes was considered by the participants. In this sense, it must be remarked the Coordinated Research Project proved to be the perfect environment also to test new modelling approaches. Owing to computational cost limitations, both </w:t>
      </w:r>
      <w:proofErr w:type="spellStart"/>
      <w:r>
        <w:rPr>
          <w:rFonts w:eastAsiaTheme="minorEastAsia"/>
          <w:lang w:val="en-GB" w:eastAsia="zh-CN"/>
          <w14:ligatures w14:val="standardContextual"/>
        </w:rPr>
        <w:t>UniPi</w:t>
      </w:r>
      <w:proofErr w:type="spellEnd"/>
      <w:r>
        <w:rPr>
          <w:rFonts w:eastAsiaTheme="minorEastAsia"/>
          <w:lang w:val="en-GB" w:eastAsia="zh-CN"/>
          <w14:ligatures w14:val="standardContextual"/>
        </w:rPr>
        <w:t xml:space="preserve"> and XJTU tried to reduce the global computational effort of the calculations by </w:t>
      </w:r>
      <w:r>
        <w:rPr>
          <w:rFonts w:eastAsiaTheme="minorEastAsia"/>
          <w:lang w:val="en-GB" w:eastAsia="zh-CN"/>
          <w14:ligatures w14:val="standardContextual"/>
        </w:rPr>
        <w:lastRenderedPageBreak/>
        <w:t xml:space="preserve">developing coarser CFD </w:t>
      </w:r>
      <w:proofErr w:type="spellStart"/>
      <w:r>
        <w:rPr>
          <w:rFonts w:eastAsiaTheme="minorEastAsia"/>
          <w:lang w:val="en-GB" w:eastAsia="zh-CN"/>
          <w14:ligatures w14:val="standardContextual"/>
        </w:rPr>
        <w:t>nodalizations</w:t>
      </w:r>
      <w:proofErr w:type="spellEnd"/>
      <w:r>
        <w:rPr>
          <w:rFonts w:eastAsiaTheme="minorEastAsia"/>
          <w:lang w:val="en-GB" w:eastAsia="zh-CN"/>
          <w14:ligatures w14:val="standardContextual"/>
        </w:rPr>
        <w:t xml:space="preserve">. </w:t>
      </w:r>
      <w:proofErr w:type="spellStart"/>
      <w:r w:rsidRPr="009873C7">
        <w:rPr>
          <w:rFonts w:eastAsiaTheme="minorEastAsia"/>
          <w:lang w:val="en-GB" w:eastAsia="zh-CN"/>
          <w14:ligatures w14:val="standardContextual"/>
        </w:rPr>
        <w:t>UniPi</w:t>
      </w:r>
      <w:proofErr w:type="spellEnd"/>
      <w:r w:rsidRPr="009873C7">
        <w:rPr>
          <w:rFonts w:eastAsiaTheme="minorEastAsia"/>
          <w:lang w:val="en-GB" w:eastAsia="zh-CN"/>
          <w14:ligatures w14:val="standardContextual"/>
        </w:rPr>
        <w:t xml:space="preserve"> tried to reduce the computational cost by first creating a </w:t>
      </w:r>
      <w:proofErr w:type="spellStart"/>
      <w:r w:rsidRPr="009873C7">
        <w:rPr>
          <w:rFonts w:eastAsiaTheme="minorEastAsia"/>
          <w:lang w:val="en-GB" w:eastAsia="zh-CN"/>
          <w14:ligatures w14:val="standardContextual"/>
        </w:rPr>
        <w:t>nodalization</w:t>
      </w:r>
      <w:proofErr w:type="spellEnd"/>
      <w:r w:rsidRPr="009873C7">
        <w:rPr>
          <w:rFonts w:eastAsiaTheme="minorEastAsia"/>
          <w:lang w:val="en-GB" w:eastAsia="zh-CN"/>
          <w14:ligatures w14:val="standardContextual"/>
        </w:rPr>
        <w:t xml:space="preserve"> for the bare bundle and later remove cells occupied by the wrapped wires by means of User Defined Functions (UDF) and field functions respectively</w:t>
      </w:r>
      <w:r>
        <w:rPr>
          <w:rFonts w:eastAsiaTheme="minorEastAsia"/>
          <w:lang w:val="en-GB" w:eastAsia="zh-CN"/>
          <w14:ligatures w14:val="standardContextual"/>
        </w:rPr>
        <w:t>.</w:t>
      </w:r>
    </w:p>
    <w:p w14:paraId="6E6AD7D6" w14:textId="28798AEB" w:rsidR="00AA2ABF" w:rsidRDefault="00AA2ABF" w:rsidP="00AA2ABF">
      <w:pPr>
        <w:pStyle w:val="Corpodeltesto3"/>
        <w:wordWrap/>
        <w:spacing w:line="360" w:lineRule="auto"/>
        <w:jc w:val="both"/>
        <w:rPr>
          <w:rFonts w:eastAsiaTheme="minorEastAsia"/>
          <w:lang w:val="en-GB" w:eastAsia="zh-CN"/>
          <w14:ligatures w14:val="standardContextual"/>
        </w:rPr>
      </w:pPr>
      <w:r>
        <w:rPr>
          <w:rFonts w:eastAsiaTheme="minorEastAsia"/>
          <w:lang w:val="en-GB" w:eastAsia="zh-CN"/>
          <w14:ligatures w14:val="standardContextual"/>
        </w:rPr>
        <w:t>More detailed domains were considered IGCAR and NRG-PALLAS</w:t>
      </w:r>
      <w:r w:rsidR="003A5898">
        <w:rPr>
          <w:rFonts w:eastAsiaTheme="minorEastAsia"/>
          <w:lang w:val="en-GB" w:eastAsia="zh-CN"/>
          <w14:ligatures w14:val="standardContextual"/>
        </w:rPr>
        <w:t xml:space="preserve"> </w:t>
      </w:r>
      <w:r>
        <w:rPr>
          <w:rFonts w:eastAsiaTheme="minorEastAsia"/>
          <w:lang w:val="en-GB" w:eastAsia="zh-CN"/>
          <w14:ligatures w14:val="standardContextual"/>
        </w:rPr>
        <w:t xml:space="preserve">A good level of detail was achieved by ENEA as well despite the small cell count thanks to a modular generation of the </w:t>
      </w:r>
      <w:proofErr w:type="spellStart"/>
      <w:r>
        <w:rPr>
          <w:rFonts w:eastAsiaTheme="minorEastAsia"/>
          <w:lang w:val="en-GB" w:eastAsia="zh-CN"/>
          <w14:ligatures w14:val="standardContextual"/>
        </w:rPr>
        <w:t>nodalization</w:t>
      </w:r>
      <w:proofErr w:type="spellEnd"/>
      <w:r>
        <w:rPr>
          <w:rFonts w:eastAsiaTheme="minorEastAsia"/>
          <w:lang w:val="en-GB" w:eastAsia="zh-CN"/>
          <w14:ligatures w14:val="standardContextual"/>
        </w:rPr>
        <w:t xml:space="preserve">. </w:t>
      </w:r>
      <w:r w:rsidR="0030384B">
        <w:rPr>
          <w:rFonts w:eastAsiaTheme="minorEastAsia"/>
          <w:lang w:val="en-GB" w:eastAsia="zh-CN"/>
          <w14:ligatures w14:val="standardContextual"/>
        </w:rPr>
        <w:t xml:space="preserve">For a more detailed information about the work performed at ENEA, NRG-PALLAS and University of Pisa the reader is referred to </w:t>
      </w:r>
      <w:r w:rsidR="00F70AD2">
        <w:rPr>
          <w:rFonts w:eastAsiaTheme="minorEastAsia"/>
          <w:lang w:val="en-GB" w:eastAsia="zh-CN"/>
          <w14:ligatures w14:val="standardContextual"/>
        </w:rPr>
        <w:fldChar w:fldCharType="begin"/>
      </w:r>
      <w:r w:rsidR="00F70AD2">
        <w:rPr>
          <w:rFonts w:eastAsiaTheme="minorEastAsia"/>
          <w:lang w:val="en-GB" w:eastAsia="zh-CN"/>
          <w14:ligatures w14:val="standardContextual"/>
        </w:rPr>
        <w:instrText xml:space="preserve"> ADDIN ZOTERO_ITEM CSL_CITATION {"citationID":"IdlQ7kdE","properties":{"unsorted":false,"formattedCitation":"(Del Moro et al., 2024)","plainCitation":"(Del Moro et al., 2024)","noteIndex":0},"citationItems":[{"id":205,"uris":["http://zotero.org/users/local/K2cmawAu/items/FRMUJKS8"],"itemData":{"id":205,"type":"article-journal","abstract":"The design and safety assessment of Lead-cooled Fast Reactors (LFRs), being one of the Generation IV technologies, must be supported by extensive experimental campaigns. Such activities are necessary to completely understand the physical phenomena involved in such reactors, as well as to properly develop new numerical tools or validate the pre-existent ones. From the experimental point of view, ENEA Research Center of Brasimone is one of the most active institutions, thanks to its experimental platforms and know-how maturated since the early 2000s. From the numerical point of view, Computational Fluid Dynamics (CFD) codes are the most suitable ones to analyze some phenomena expected in a Heavy Liquid Metal (HLM)-cooled reactor, such as the complex 3D phenomena occurring within the pools or the core fuel assemblies. In addition, the fluid thermal conduction, usually neglected in a System Thermal-Hydraulic (STH) code, can assume a significant importance in some transient scenarios, e.g., loss of flow accidents with transition from forced to natural circulation. However, the safety analysis of the LFRs should still rely on the use of STH codes because of their lower computational cost compared to the CFD codes, also considering the high number of transient evolutions to be analyzed for the purpose of the reactor licensing. At ENEA Brasimone, a novel coupling approach has been developed to couple the CFD code Ansys CFX with the STH code RELAP5/Mod3.3. The coupled tool aims at exploiting the advantages of the two families of codes. It adopts a multi-scale approach to simulate in detail some circuit components while performing system-level analysis, so as to keep an acceptable computational time. The coupling technique is based on ad-hoc user routines written in FORTRAN and implemented in Ansys CFX, which acts as the master code. The user routines take care of time step management, data exchange, RELAP5 execution, and error checking. The goal of this paper is to assess the simulation capabilities of the coupled tool by reproducing a forced-to-natural-circulation transition test, carried out at the NACIE-UP facility, with LBE as working fluid. The work has been realized in the framework of the IAEA Coordinate Research Project-I31038, named “Benchmark of Transition from Forced to Natural Circulation Experiment with Heavy Liquid Metal Loop”.","container-title":"Nuclear Engineering and Design","DOI":"10.1016/j.nucengdes.2024.113676","ISSN":"00295493","journalAbbreviation":"Nuclear Engineering and Design","language":"en","page":"113676","source":"DOI.org (Crossref)","title":"Analysis of the experimental tests performed at NACIE-UP facility through a novel CFX-RELAP5 codes coupling","volume":"429","author":[{"family":"Del Moro","given":"T."},{"family":"Cioli Puviani","given":"P."},{"family":"Gonfiotti","given":"B."},{"family":"Di Piazza","given":"I."},{"family":"Martelli","given":"D."},{"family":"Ciurluini","given":"C."},{"family":"Giannetti","given":"F."},{"family":"Zanino","given":"R."},{"family":"Tarantino","given":"M."}],"issued":{"date-parts":[["2024",12]]}}}],"schema":"https://github.com/citation-style-language/schema/raw/master/csl-citation.json"} </w:instrText>
      </w:r>
      <w:r w:rsidR="00F70AD2">
        <w:rPr>
          <w:rFonts w:eastAsiaTheme="minorEastAsia"/>
          <w:lang w:val="en-GB" w:eastAsia="zh-CN"/>
          <w14:ligatures w14:val="standardContextual"/>
        </w:rPr>
        <w:fldChar w:fldCharType="separate"/>
      </w:r>
      <w:r w:rsidR="00F70AD2" w:rsidRPr="00F70AD2">
        <w:t xml:space="preserve">Del Moro et al. </w:t>
      </w:r>
      <w:r w:rsidR="00F70AD2">
        <w:t>(</w:t>
      </w:r>
      <w:r w:rsidR="00F70AD2" w:rsidRPr="00F70AD2">
        <w:t>2024</w:t>
      </w:r>
      <w:r w:rsidR="00F70AD2">
        <w:rPr>
          <w:rFonts w:eastAsiaTheme="minorEastAsia"/>
          <w:lang w:val="en-GB" w:eastAsia="zh-CN"/>
          <w14:ligatures w14:val="standardContextual"/>
        </w:rPr>
        <w:fldChar w:fldCharType="end"/>
      </w:r>
      <w:r w:rsidR="00F70AD2">
        <w:rPr>
          <w:rFonts w:eastAsiaTheme="minorEastAsia"/>
          <w:lang w:val="en-GB" w:eastAsia="zh-CN"/>
          <w14:ligatures w14:val="standardContextual"/>
        </w:rPr>
        <w:t xml:space="preserve">), </w:t>
      </w:r>
      <w:r w:rsidR="00F70AD2">
        <w:rPr>
          <w:rFonts w:eastAsiaTheme="minorEastAsia"/>
          <w:lang w:val="en-GB" w:eastAsia="zh-CN"/>
          <w14:ligatures w14:val="standardContextual"/>
        </w:rPr>
        <w:fldChar w:fldCharType="begin"/>
      </w:r>
      <w:r w:rsidR="00F70AD2">
        <w:rPr>
          <w:rFonts w:eastAsiaTheme="minorEastAsia"/>
          <w:lang w:val="en-GB" w:eastAsia="zh-CN"/>
          <w14:ligatures w14:val="standardContextual"/>
        </w:rPr>
        <w:instrText xml:space="preserve"> ADDIN ZOTERO_ITEM CSL_CITATION {"citationID":"VEuwUiut","properties":{"unsorted":false,"formattedCitation":"(Pangukir et al., 2025)","plainCitation":"(Pangukir et al., 2025)","noteIndex":0},"citationItems":[{"id":207,"uris":["http://zotero.org/users/local/K2cmawAu/items/QV8KJCKW"],"itemData":{"id":207,"type":"article-journal","abstract":"The NACIE-UP loop facility, installed at ENEA Brasimone Research Centre, in Italy, is specifically designed to perform experimental campaigns for natural circulation testing; in particular, to investigate the shift from forced to natural circulation in a test section with lead–bismuth eutectic (LBE). ENEA has performed transient tests for forced-to-natural circulation transition. This provides an excellent opportunity to validate reactor system thermal hydraulic (STH) and Computational Fluid Dynamics (CFD) simulations against the reference experimental data. In the framework of a benchmark organised by an IAEA Coordinated Research Project (CRP) benchmark, NRG PALLAS performed STH-CFD multi-scale simulations using the in-house coupling platform, myMUSCLE. The results obtained by standalone STH and CFD calculations are presented first. The CFD model can predict detailed temperature variations in the test section, which are especially evident for the non-uniform power distribution tests. The three-dimensional effects introduced by the wires can also be accurately addressed in the CFD when considering the pressure drop within the bundle. On the other hand, STH is capable of predicting the mass flow rate throughout the scenario, including during the natural circulation phase. Both codes show good agreement in predicting the wall and bulk temperatures within the bundle, as well as the pressure drop across it, demonstrating a positive validation for the feasibility of coupled simulations. Subsequently, STH-CFD coupled simulations are presented for the asymmetric heating test. For this, the overlapping domain technique on the Fuel Pin Simulator (FPS) side was chosen, where STH provides the mass flow rate and inlet temperature of the FPS at the interface to the CFD full model of the FPS. The multiscale model’s predicted mass flow rate closely matches STH results and experimental values, falls within the uncertainty range, and provides bulk and wall temperature predictions that slightly overestimate compared to experimental values. Future work will focus on improving temperature prediction delays, aligning MFR predictions with CFD pressure differences, and exploring a decomposed domain approach for multiscale modelling.","container-title":"Nuclear Engineering and Design","DOI":"10.1016/j.nucengdes.2025.114301","ISSN":"00295493","journalAbbreviation":"Nuclear Engineering and Design","language":"en","page":"114301","source":"DOI.org (Crossref)","title":"Multi-scale numerical simulation of NACIE-UP forced-to-natural circulation transition experiment for non-uniform heating","volume":"443","author":[{"family":"Pangukir","given":"F.S.L."},{"family":"Hussain","given":"M.M.M.D."},{"family":"Mathur","given":"A."},{"family":"Stempniewicz","given":"M.M."},{"family":"Roelofs","given":"F."}],"issued":{"date-parts":[["2025",11]]}}}],"schema":"https://github.com/citation-style-language/schema/raw/master/csl-citation.json"} </w:instrText>
      </w:r>
      <w:r w:rsidR="00F70AD2">
        <w:rPr>
          <w:rFonts w:eastAsiaTheme="minorEastAsia"/>
          <w:lang w:val="en-GB" w:eastAsia="zh-CN"/>
          <w14:ligatures w14:val="standardContextual"/>
        </w:rPr>
        <w:fldChar w:fldCharType="separate"/>
      </w:r>
      <w:proofErr w:type="spellStart"/>
      <w:r w:rsidR="00F70AD2" w:rsidRPr="00F70AD2">
        <w:t>Pangukir</w:t>
      </w:r>
      <w:proofErr w:type="spellEnd"/>
      <w:r w:rsidR="00F70AD2" w:rsidRPr="00F70AD2">
        <w:t xml:space="preserve"> et al. </w:t>
      </w:r>
      <w:r w:rsidR="00F70AD2">
        <w:t>(</w:t>
      </w:r>
      <w:r w:rsidR="00F70AD2" w:rsidRPr="00F70AD2">
        <w:t>2025)</w:t>
      </w:r>
      <w:r w:rsidR="00F70AD2">
        <w:rPr>
          <w:rFonts w:eastAsiaTheme="minorEastAsia"/>
          <w:lang w:val="en-GB" w:eastAsia="zh-CN"/>
          <w14:ligatures w14:val="standardContextual"/>
        </w:rPr>
        <w:fldChar w:fldCharType="end"/>
      </w:r>
      <w:r w:rsidR="00F70AD2">
        <w:rPr>
          <w:rFonts w:eastAsiaTheme="minorEastAsia"/>
          <w:lang w:val="en-GB" w:eastAsia="zh-CN"/>
          <w14:ligatures w14:val="standardContextual"/>
        </w:rPr>
        <w:t xml:space="preserve"> and </w:t>
      </w:r>
      <w:r w:rsidR="00F70AD2">
        <w:rPr>
          <w:rFonts w:eastAsiaTheme="minorEastAsia"/>
          <w:lang w:val="en-GB" w:eastAsia="zh-CN"/>
          <w14:ligatures w14:val="standardContextual"/>
        </w:rPr>
        <w:fldChar w:fldCharType="begin"/>
      </w:r>
      <w:r w:rsidR="00F70AD2">
        <w:rPr>
          <w:rFonts w:eastAsiaTheme="minorEastAsia"/>
          <w:lang w:val="en-GB" w:eastAsia="zh-CN"/>
          <w14:ligatures w14:val="standardContextual"/>
        </w:rPr>
        <w:instrText xml:space="preserve"> ADDIN ZOTERO_ITEM CSL_CITATION {"citationID":"2ZLotfEE","properties":{"unsorted":false,"formattedCitation":"(Stefanini et al., 2025)","plainCitation":"(Stefanini et al., 2025)","noteIndex":0},"citationItems":[{"id":65,"uris":["http://zotero.org/users/local/K2cmawAu/items/7UK3AAZ4"],"itemData":{"id":65,"type":"article-journal","abstract":"The IAEA CRP “Benchmark of Transition from Forced to Natural Circulation Experiment with Heavy Liquid Metal Loop” aims to support the development of numerical models suitable for the investigation of thermal–hydraulic analysis of liquid metal cooled reactors. In particular, this work presents a multiscale approach developed to assess cases where the addressed facility experiences a simulated Loss Of Flow Accident. A domain decomposition approach was used together with an explicit scheme, adopting a novel application philosophy for CFD modelling. Indeed, the CFD model was built to simplify as much as possible the wrapped wires design, since a detailed description of such components increases the cell count exponentially. The “simplified” model allows for a shorter running time of the simulation with an equivalent number of CPUs used, making this approach appealing for preliminary estimations of the main thermal-hydraulics phenomena involved. The results show that suitable predictions were usually achieved both for the initial and final steady-state conditions; improvements can be obtained in the transient phase working on the considered boundary conditions.","container-title":"Nuclear Engineering and Design","DOI":"10.1016/j.nucengdes.2025.114353","ISSN":"00295493","journalAbbreviation":"Nuclear Engineering and Design","language":"en","page":"114353","source":"DOI.org (Crossref)","title":"Validation of a coupled STH and low-fidelity CFD approach using experimental data from NACIE-UP test facility","volume":"444","author":[{"family":"Stefanini","given":"Pietro"},{"family":"Pucciarelli","given":"Andrea"},{"family":"Halim","given":"Ossama"},{"family":"Forgione","given":"Nicola"},{"family":"Di Piazza","given":"Ivan"}],"issued":{"date-parts":[["2025",12]]}}}],"schema":"https://github.com/citation-style-language/schema/raw/master/csl-citation.json"} </w:instrText>
      </w:r>
      <w:r w:rsidR="00F70AD2">
        <w:rPr>
          <w:rFonts w:eastAsiaTheme="minorEastAsia"/>
          <w:lang w:val="en-GB" w:eastAsia="zh-CN"/>
          <w14:ligatures w14:val="standardContextual"/>
        </w:rPr>
        <w:fldChar w:fldCharType="separate"/>
      </w:r>
      <w:r w:rsidR="00F70AD2" w:rsidRPr="00F70AD2">
        <w:t xml:space="preserve">Stefanini et al. </w:t>
      </w:r>
      <w:r w:rsidR="00F70AD2">
        <w:t>(</w:t>
      </w:r>
      <w:r w:rsidR="00F70AD2" w:rsidRPr="00F70AD2">
        <w:t>2025)</w:t>
      </w:r>
      <w:r w:rsidR="00F70AD2">
        <w:rPr>
          <w:rFonts w:eastAsiaTheme="minorEastAsia"/>
          <w:lang w:val="en-GB" w:eastAsia="zh-CN"/>
          <w14:ligatures w14:val="standardContextual"/>
        </w:rPr>
        <w:fldChar w:fldCharType="end"/>
      </w:r>
      <w:r w:rsidR="00F70AD2">
        <w:rPr>
          <w:rFonts w:eastAsiaTheme="minorEastAsia"/>
          <w:lang w:val="en-GB" w:eastAsia="zh-CN"/>
          <w14:ligatures w14:val="standardContextual"/>
        </w:rPr>
        <w:t>, respectively.</w:t>
      </w:r>
    </w:p>
    <w:p w14:paraId="6816FAB2" w14:textId="77777777" w:rsidR="00AC2F4C" w:rsidRDefault="00AC2F4C" w:rsidP="00AC2F4C">
      <w:pPr>
        <w:pStyle w:val="Corpodeltesto3"/>
        <w:keepNext/>
        <w:wordWrap/>
        <w:spacing w:line="276" w:lineRule="auto"/>
        <w:jc w:val="center"/>
      </w:pPr>
      <w:r w:rsidRPr="003322BA">
        <w:rPr>
          <w:rFonts w:eastAsiaTheme="minorEastAsia"/>
          <w:noProof/>
          <w:lang w:val="en-GB" w:eastAsia="zh-CN"/>
          <w14:ligatures w14:val="standardContextual"/>
        </w:rPr>
        <w:drawing>
          <wp:inline distT="0" distB="0" distL="0" distR="0" wp14:anchorId="0E2FB0B3" wp14:editId="13E72588">
            <wp:extent cx="2700000" cy="2520000"/>
            <wp:effectExtent l="0" t="0" r="5715" b="0"/>
            <wp:docPr id="7" name="Picture 6" descr="Immagine che contiene testo, schermata, diagramma, mappa&#10;&#10;Descrizione generata automaticamente">
              <a:extLst xmlns:a="http://schemas.openxmlformats.org/drawingml/2006/main">
                <a:ext uri="{FF2B5EF4-FFF2-40B4-BE49-F238E27FC236}">
                  <a16:creationId xmlns:a16="http://schemas.microsoft.com/office/drawing/2014/main" id="{2CB8CDDB-3B44-1EF8-C152-C764FCC355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magine che contiene testo, schermata, diagramma, mappa&#10;&#10;Descrizione generata automaticamente">
                      <a:extLst>
                        <a:ext uri="{FF2B5EF4-FFF2-40B4-BE49-F238E27FC236}">
                          <a16:creationId xmlns:a16="http://schemas.microsoft.com/office/drawing/2014/main" id="{2CB8CDDB-3B44-1EF8-C152-C764FCC355E4}"/>
                        </a:ext>
                      </a:extLst>
                    </pic:cNvPr>
                    <pic:cNvPicPr>
                      <a:picLocks noChangeAspect="1"/>
                    </pic:cNvPicPr>
                  </pic:nvPicPr>
                  <pic:blipFill>
                    <a:blip r:embed="rId11"/>
                    <a:stretch>
                      <a:fillRect/>
                    </a:stretch>
                  </pic:blipFill>
                  <pic:spPr>
                    <a:xfrm>
                      <a:off x="0" y="0"/>
                      <a:ext cx="2700000" cy="2520000"/>
                    </a:xfrm>
                    <a:prstGeom prst="rect">
                      <a:avLst/>
                    </a:prstGeom>
                  </pic:spPr>
                </pic:pic>
              </a:graphicData>
            </a:graphic>
          </wp:inline>
        </w:drawing>
      </w:r>
    </w:p>
    <w:p w14:paraId="05ECCA3B" w14:textId="511E797F" w:rsidR="00AC2F4C" w:rsidRPr="003322BA" w:rsidRDefault="00AC2F4C" w:rsidP="00AC2F4C">
      <w:pPr>
        <w:pStyle w:val="Didascalia"/>
        <w:jc w:val="center"/>
      </w:pPr>
      <w:bookmarkStart w:id="4" w:name="_Ref206828989"/>
      <w:r>
        <w:t xml:space="preserve">Figure 11. </w:t>
      </w:r>
      <w:r w:rsidR="00EC6147">
        <w:fldChar w:fldCharType="begin"/>
      </w:r>
      <w:r w:rsidR="00EC6147">
        <w:instrText xml:space="preserve"> SEQ Figure_11. \* ARABIC </w:instrText>
      </w:r>
      <w:r w:rsidR="00EC6147">
        <w:fldChar w:fldCharType="separate"/>
      </w:r>
      <w:r w:rsidR="005248B3">
        <w:rPr>
          <w:noProof/>
        </w:rPr>
        <w:t>3</w:t>
      </w:r>
      <w:r w:rsidR="00EC6147">
        <w:rPr>
          <w:noProof/>
        </w:rPr>
        <w:fldChar w:fldCharType="end"/>
      </w:r>
      <w:bookmarkEnd w:id="4"/>
      <w:r>
        <w:t xml:space="preserve"> </w:t>
      </w:r>
      <w:r w:rsidRPr="003322BA">
        <w:t>Detail of the coupling CFD/STH interface exchanged information at NRG PALLAS</w:t>
      </w:r>
    </w:p>
    <w:p w14:paraId="55D5AB9B" w14:textId="77777777" w:rsidR="00F57DC8" w:rsidRDefault="007E5070" w:rsidP="00F57DC8">
      <w:pPr>
        <w:pStyle w:val="Corpodeltesto3"/>
        <w:keepNext/>
        <w:wordWrap/>
        <w:spacing w:line="276" w:lineRule="auto"/>
        <w:jc w:val="center"/>
      </w:pPr>
      <w:r w:rsidRPr="003322BA">
        <w:rPr>
          <w:rFonts w:eastAsiaTheme="minorEastAsia"/>
          <w:noProof/>
          <w:lang w:val="en-GB" w:eastAsia="zh-CN"/>
          <w14:ligatures w14:val="standardContextual"/>
        </w:rPr>
        <w:drawing>
          <wp:inline distT="0" distB="0" distL="0" distR="0" wp14:anchorId="68822472" wp14:editId="0E52694F">
            <wp:extent cx="5616000" cy="2520000"/>
            <wp:effectExtent l="0" t="0" r="3810" b="0"/>
            <wp:docPr id="1809767075" name="Immagine 1" descr="Immagine che contiene testo, schermata, grafic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67075" name="Immagine 1" descr="Immagine che contiene testo, schermata, grafica, diagramma&#10;&#10;Il contenuto generato dall'IA potrebbe non essere corret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6000" cy="2520000"/>
                    </a:xfrm>
                    <a:prstGeom prst="rect">
                      <a:avLst/>
                    </a:prstGeom>
                    <a:noFill/>
                  </pic:spPr>
                </pic:pic>
              </a:graphicData>
            </a:graphic>
          </wp:inline>
        </w:drawing>
      </w:r>
    </w:p>
    <w:p w14:paraId="75D1E9C5" w14:textId="2B679EE5" w:rsidR="00F57DC8" w:rsidRPr="00AC2F4C" w:rsidRDefault="00F57DC8" w:rsidP="00F57DC8">
      <w:pPr>
        <w:pStyle w:val="Corpodeltesto3"/>
        <w:wordWrap/>
        <w:spacing w:line="276" w:lineRule="auto"/>
        <w:jc w:val="center"/>
        <w:rPr>
          <w:rFonts w:asciiTheme="minorHAnsi" w:eastAsiaTheme="minorEastAsia" w:hAnsiTheme="minorHAnsi" w:cstheme="minorBidi"/>
          <w:i/>
          <w:iCs/>
          <w:color w:val="44546A" w:themeColor="text2"/>
          <w:sz w:val="18"/>
          <w:szCs w:val="18"/>
          <w:lang w:val="en-GB" w:eastAsia="zh-CN"/>
          <w14:ligatures w14:val="standardContextual"/>
        </w:rPr>
      </w:pPr>
      <w:bookmarkStart w:id="5" w:name="_Ref206830043"/>
      <w:r w:rsidRPr="00AC2F4C">
        <w:rPr>
          <w:rFonts w:asciiTheme="minorHAnsi" w:eastAsiaTheme="minorEastAsia" w:hAnsiTheme="minorHAnsi" w:cstheme="minorBidi"/>
          <w:i/>
          <w:iCs/>
          <w:color w:val="44546A" w:themeColor="text2"/>
          <w:sz w:val="18"/>
          <w:szCs w:val="18"/>
          <w:lang w:val="en-GB" w:eastAsia="zh-CN"/>
          <w14:ligatures w14:val="standardContextual"/>
        </w:rPr>
        <w:t xml:space="preserve">Figure 11. </w:t>
      </w:r>
      <w:r w:rsidRPr="00AC2F4C">
        <w:rPr>
          <w:rFonts w:asciiTheme="minorHAnsi" w:eastAsiaTheme="minorEastAsia" w:hAnsiTheme="minorHAnsi" w:cstheme="minorBidi"/>
          <w:i/>
          <w:iCs/>
          <w:color w:val="44546A" w:themeColor="text2"/>
          <w:sz w:val="18"/>
          <w:szCs w:val="18"/>
          <w:lang w:val="en-GB" w:eastAsia="zh-CN"/>
          <w14:ligatures w14:val="standardContextual"/>
        </w:rPr>
        <w:fldChar w:fldCharType="begin"/>
      </w:r>
      <w:r w:rsidRPr="00AC2F4C">
        <w:rPr>
          <w:rFonts w:asciiTheme="minorHAnsi" w:eastAsiaTheme="minorEastAsia" w:hAnsiTheme="minorHAnsi" w:cstheme="minorBidi"/>
          <w:i/>
          <w:iCs/>
          <w:color w:val="44546A" w:themeColor="text2"/>
          <w:sz w:val="18"/>
          <w:szCs w:val="18"/>
          <w:lang w:val="en-GB" w:eastAsia="zh-CN"/>
          <w14:ligatures w14:val="standardContextual"/>
        </w:rPr>
        <w:instrText xml:space="preserve"> SEQ Figure_11. \* ARABIC </w:instrText>
      </w:r>
      <w:r w:rsidRPr="00AC2F4C">
        <w:rPr>
          <w:rFonts w:asciiTheme="minorHAnsi" w:eastAsiaTheme="minorEastAsia" w:hAnsiTheme="minorHAnsi" w:cstheme="minorBidi"/>
          <w:i/>
          <w:iCs/>
          <w:color w:val="44546A" w:themeColor="text2"/>
          <w:sz w:val="18"/>
          <w:szCs w:val="18"/>
          <w:lang w:val="en-GB" w:eastAsia="zh-CN"/>
          <w14:ligatures w14:val="standardContextual"/>
        </w:rPr>
        <w:fldChar w:fldCharType="separate"/>
      </w:r>
      <w:r w:rsidR="005248B3">
        <w:rPr>
          <w:rFonts w:asciiTheme="minorHAnsi" w:eastAsiaTheme="minorEastAsia" w:hAnsiTheme="minorHAnsi" w:cstheme="minorBidi"/>
          <w:i/>
          <w:iCs/>
          <w:noProof/>
          <w:color w:val="44546A" w:themeColor="text2"/>
          <w:sz w:val="18"/>
          <w:szCs w:val="18"/>
          <w:lang w:val="en-GB" w:eastAsia="zh-CN"/>
          <w14:ligatures w14:val="standardContextual"/>
        </w:rPr>
        <w:t>4</w:t>
      </w:r>
      <w:r w:rsidRPr="00AC2F4C">
        <w:rPr>
          <w:rFonts w:asciiTheme="minorHAnsi" w:eastAsiaTheme="minorEastAsia" w:hAnsiTheme="minorHAnsi" w:cstheme="minorBidi"/>
          <w:i/>
          <w:iCs/>
          <w:color w:val="44546A" w:themeColor="text2"/>
          <w:sz w:val="18"/>
          <w:szCs w:val="18"/>
          <w:lang w:val="en-GB" w:eastAsia="zh-CN"/>
          <w14:ligatures w14:val="standardContextual"/>
        </w:rPr>
        <w:fldChar w:fldCharType="end"/>
      </w:r>
      <w:bookmarkEnd w:id="5"/>
      <w:r w:rsidRPr="00AC2F4C">
        <w:rPr>
          <w:rFonts w:asciiTheme="minorHAnsi" w:eastAsiaTheme="minorEastAsia" w:hAnsiTheme="minorHAnsi" w:cstheme="minorBidi"/>
          <w:i/>
          <w:iCs/>
          <w:color w:val="44546A" w:themeColor="text2"/>
          <w:sz w:val="18"/>
          <w:szCs w:val="18"/>
          <w:lang w:val="en-GB" w:eastAsia="zh-CN"/>
          <w14:ligatures w14:val="standardContextual"/>
        </w:rPr>
        <w:t xml:space="preserve"> Detail of the time advancement and information exchange scheme adopted by </w:t>
      </w:r>
      <w:proofErr w:type="spellStart"/>
      <w:r w:rsidRPr="00AC2F4C">
        <w:rPr>
          <w:rFonts w:asciiTheme="minorHAnsi" w:eastAsiaTheme="minorEastAsia" w:hAnsiTheme="minorHAnsi" w:cstheme="minorBidi"/>
          <w:i/>
          <w:iCs/>
          <w:color w:val="44546A" w:themeColor="text2"/>
          <w:sz w:val="18"/>
          <w:szCs w:val="18"/>
          <w:lang w:val="en-GB" w:eastAsia="zh-CN"/>
          <w14:ligatures w14:val="standardContextual"/>
        </w:rPr>
        <w:t>UniPi</w:t>
      </w:r>
      <w:proofErr w:type="spellEnd"/>
      <w:r w:rsidRPr="00AC2F4C">
        <w:rPr>
          <w:rFonts w:asciiTheme="minorHAnsi" w:eastAsiaTheme="minorEastAsia" w:hAnsiTheme="minorHAnsi" w:cstheme="minorBidi"/>
          <w:i/>
          <w:iCs/>
          <w:color w:val="44546A" w:themeColor="text2"/>
          <w:sz w:val="18"/>
          <w:szCs w:val="18"/>
          <w:lang w:val="en-GB" w:eastAsia="zh-CN"/>
          <w14:ligatures w14:val="standardContextual"/>
        </w:rPr>
        <w:t xml:space="preserve">  </w:t>
      </w:r>
    </w:p>
    <w:p w14:paraId="11022814" w14:textId="77777777" w:rsidR="00F57DC8" w:rsidRDefault="00F57DC8" w:rsidP="00F57DC8">
      <w:pPr>
        <w:pStyle w:val="Corpodeltesto3"/>
        <w:wordWrap/>
        <w:spacing w:line="276" w:lineRule="auto"/>
        <w:jc w:val="center"/>
        <w:rPr>
          <w:rFonts w:eastAsiaTheme="minorEastAsia"/>
          <w:lang w:val="en-GB" w:eastAsia="zh-CN"/>
          <w14:ligatures w14:val="standardContextual"/>
        </w:rPr>
      </w:pPr>
    </w:p>
    <w:p w14:paraId="5CD62627" w14:textId="77777777" w:rsidR="007E5070" w:rsidRDefault="007E5070" w:rsidP="007E5070">
      <w:pPr>
        <w:pStyle w:val="Corpodeltesto3"/>
        <w:wordWrap/>
        <w:spacing w:line="276" w:lineRule="auto"/>
        <w:jc w:val="both"/>
        <w:rPr>
          <w:rFonts w:eastAsiaTheme="minorEastAsia"/>
          <w:lang w:val="en-GB" w:eastAsia="zh-CN"/>
          <w14:ligatures w14:val="standardContextual"/>
        </w:rPr>
      </w:pPr>
    </w:p>
    <w:p w14:paraId="028F5AA3" w14:textId="01022E9A" w:rsidR="00AA2ABF" w:rsidRDefault="00AA2ABF" w:rsidP="00AA2ABF">
      <w:pPr>
        <w:pStyle w:val="Corpodeltesto3"/>
        <w:wordWrap/>
        <w:spacing w:line="360" w:lineRule="auto"/>
        <w:jc w:val="both"/>
        <w:rPr>
          <w:rFonts w:eastAsiaTheme="minorEastAsia"/>
          <w:lang w:val="en-GB" w:eastAsia="zh-CN"/>
          <w14:ligatures w14:val="standardContextual"/>
        </w:rPr>
      </w:pPr>
      <w:r>
        <w:rPr>
          <w:rFonts w:eastAsiaTheme="minorEastAsia"/>
          <w:lang w:val="en-GB" w:eastAsia="zh-CN"/>
          <w14:ligatures w14:val="standardContextual"/>
        </w:rPr>
        <w:fldChar w:fldCharType="begin"/>
      </w:r>
      <w:r>
        <w:rPr>
          <w:rFonts w:eastAsiaTheme="minorEastAsia"/>
          <w:lang w:val="en-GB" w:eastAsia="zh-CN"/>
          <w14:ligatures w14:val="standardContextual"/>
        </w:rPr>
        <w:instrText xml:space="preserve"> REF _Ref206832139 \h </w:instrText>
      </w:r>
      <w:r>
        <w:rPr>
          <w:rFonts w:eastAsiaTheme="minorEastAsia"/>
          <w:lang w:val="en-GB" w:eastAsia="zh-CN"/>
          <w14:ligatures w14:val="standardContextual"/>
        </w:rPr>
      </w:r>
      <w:r>
        <w:rPr>
          <w:rFonts w:eastAsiaTheme="minorEastAsia"/>
          <w:lang w:val="en-GB" w:eastAsia="zh-CN"/>
          <w14:ligatures w14:val="standardContextual"/>
        </w:rPr>
        <w:fldChar w:fldCharType="separate"/>
      </w:r>
      <w:r>
        <w:t xml:space="preserve">Table 11. </w:t>
      </w:r>
      <w:r>
        <w:rPr>
          <w:noProof/>
        </w:rPr>
        <w:t>2</w:t>
      </w:r>
      <w:r>
        <w:rPr>
          <w:rFonts w:eastAsiaTheme="minorEastAsia"/>
          <w:lang w:val="en-GB" w:eastAsia="zh-CN"/>
          <w14:ligatures w14:val="standardContextual"/>
        </w:rPr>
        <w:fldChar w:fldCharType="end"/>
      </w:r>
      <w:r>
        <w:rPr>
          <w:rFonts w:eastAsiaTheme="minorEastAsia"/>
          <w:lang w:val="en-GB" w:eastAsia="zh-CN"/>
          <w14:ligatures w14:val="standardContextual"/>
        </w:rPr>
        <w:t xml:space="preserve"> reports about the main parameters of the </w:t>
      </w:r>
      <w:proofErr w:type="spellStart"/>
      <w:r>
        <w:rPr>
          <w:rFonts w:eastAsiaTheme="minorEastAsia"/>
          <w:lang w:val="en-GB" w:eastAsia="zh-CN"/>
          <w14:ligatures w14:val="standardContextual"/>
        </w:rPr>
        <w:t>nodalization</w:t>
      </w:r>
      <w:proofErr w:type="spellEnd"/>
      <w:r>
        <w:rPr>
          <w:rFonts w:eastAsiaTheme="minorEastAsia"/>
          <w:lang w:val="en-GB" w:eastAsia="zh-CN"/>
          <w14:ligatures w14:val="standardContextual"/>
        </w:rPr>
        <w:t xml:space="preserve">, showing that a quite large range of mesh sizes, straddling between 1.7 and 59 million </w:t>
      </w:r>
      <w:proofErr w:type="gramStart"/>
      <w:r>
        <w:rPr>
          <w:rFonts w:eastAsiaTheme="minorEastAsia"/>
          <w:lang w:val="en-GB" w:eastAsia="zh-CN"/>
          <w14:ligatures w14:val="standardContextual"/>
        </w:rPr>
        <w:t>cells</w:t>
      </w:r>
      <w:proofErr w:type="gramEnd"/>
      <w:r>
        <w:rPr>
          <w:rFonts w:eastAsiaTheme="minorEastAsia"/>
          <w:lang w:val="en-GB" w:eastAsia="zh-CN"/>
          <w14:ligatures w14:val="standardContextual"/>
        </w:rPr>
        <w:t xml:space="preserve"> was considered. This translates of course in different calculations times, also depending on the adopted time-step size ranging </w:t>
      </w:r>
      <w:r>
        <w:rPr>
          <w:rFonts w:eastAsiaTheme="minorEastAsia"/>
          <w:lang w:val="en-GB" w:eastAsia="zh-CN"/>
          <w14:ligatures w14:val="standardContextual"/>
        </w:rPr>
        <w:lastRenderedPageBreak/>
        <w:t>from a few days to 6 weeks, also depending on the available number or cores. The time step size was mainly connected to need of achieving a good sampling of the needed information and granting a certain degree of stability and consistency to the coupling approach. Variable time-step sizes were considered by some institutions depending on the transient phase, smaller values were indeed considered for the initial phase of the transient, w</w:t>
      </w:r>
      <w:r w:rsidR="0030384B">
        <w:rPr>
          <w:rFonts w:eastAsiaTheme="minorEastAsia"/>
          <w:lang w:val="en-GB" w:eastAsia="zh-CN"/>
          <w14:ligatures w14:val="standardContextual"/>
        </w:rPr>
        <w:t>h</w:t>
      </w:r>
      <w:r>
        <w:rPr>
          <w:rFonts w:eastAsiaTheme="minorEastAsia"/>
          <w:lang w:val="en-GB" w:eastAsia="zh-CN"/>
          <w14:ligatures w14:val="standardContextual"/>
        </w:rPr>
        <w:t xml:space="preserve">ere steeper derivatives were observed, while larger time steps were considered for the second phase of the transient approaching a new steady state, were properties and quantities changed instead more smoothly. </w:t>
      </w:r>
    </w:p>
    <w:p w14:paraId="06B5ABE0" w14:textId="77777777" w:rsidR="00AA2ABF" w:rsidRPr="003322BA" w:rsidRDefault="00AA2ABF" w:rsidP="007E5070">
      <w:pPr>
        <w:pStyle w:val="Corpodeltesto3"/>
        <w:wordWrap/>
        <w:spacing w:line="276" w:lineRule="auto"/>
        <w:jc w:val="both"/>
        <w:rPr>
          <w:rFonts w:eastAsiaTheme="minorEastAsia"/>
          <w:lang w:val="en-GB" w:eastAsia="zh-CN"/>
          <w14:ligatures w14:val="standardContextual"/>
        </w:rPr>
      </w:pPr>
    </w:p>
    <w:p w14:paraId="78518598" w14:textId="65C77DCD" w:rsidR="009873C7" w:rsidRDefault="009873C7" w:rsidP="009873C7">
      <w:pPr>
        <w:pStyle w:val="Didascalia"/>
        <w:keepNext/>
      </w:pPr>
      <w:bookmarkStart w:id="6" w:name="_Ref206832139"/>
      <w:r>
        <w:t xml:space="preserve">Table 11. </w:t>
      </w:r>
      <w:r>
        <w:fldChar w:fldCharType="begin"/>
      </w:r>
      <w:r>
        <w:instrText xml:space="preserve"> SEQ Table_11. \* ARABIC </w:instrText>
      </w:r>
      <w:r>
        <w:fldChar w:fldCharType="separate"/>
      </w:r>
      <w:r w:rsidR="005248B3">
        <w:rPr>
          <w:noProof/>
        </w:rPr>
        <w:t>2</w:t>
      </w:r>
      <w:r>
        <w:rPr>
          <w:noProof/>
        </w:rPr>
        <w:fldChar w:fldCharType="end"/>
      </w:r>
      <w:bookmarkEnd w:id="6"/>
      <w:r>
        <w:t xml:space="preserve"> </w:t>
      </w:r>
      <w:r w:rsidRPr="009873C7">
        <w:t>Information regarding adopted time-steps and the computational effort experienced by each participant.</w:t>
      </w:r>
    </w:p>
    <w:tbl>
      <w:tblPr>
        <w:tblW w:w="89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686"/>
        <w:gridCol w:w="1276"/>
        <w:gridCol w:w="1559"/>
        <w:gridCol w:w="1624"/>
        <w:gridCol w:w="1203"/>
        <w:gridCol w:w="1560"/>
      </w:tblGrid>
      <w:tr w:rsidR="007E5070" w:rsidRPr="003322BA" w14:paraId="774C5CB2" w14:textId="77777777" w:rsidTr="00503B24">
        <w:trPr>
          <w:jc w:val="center"/>
        </w:trPr>
        <w:tc>
          <w:tcPr>
            <w:tcW w:w="1686" w:type="dxa"/>
            <w:tcBorders>
              <w:top w:val="double" w:sz="4" w:space="0" w:color="auto"/>
              <w:left w:val="double" w:sz="4" w:space="0" w:color="auto"/>
              <w:bottom w:val="double" w:sz="4" w:space="0" w:color="auto"/>
              <w:right w:val="double" w:sz="4" w:space="0" w:color="auto"/>
            </w:tcBorders>
            <w:vAlign w:val="center"/>
          </w:tcPr>
          <w:p w14:paraId="1E82864E"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Institution</w:t>
            </w:r>
          </w:p>
        </w:tc>
        <w:tc>
          <w:tcPr>
            <w:tcW w:w="1276" w:type="dxa"/>
            <w:tcBorders>
              <w:top w:val="double" w:sz="4" w:space="0" w:color="auto"/>
              <w:left w:val="double" w:sz="4" w:space="0" w:color="auto"/>
              <w:bottom w:val="double" w:sz="4" w:space="0" w:color="auto"/>
            </w:tcBorders>
            <w:vAlign w:val="center"/>
          </w:tcPr>
          <w:p w14:paraId="1067138A"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CFD Mesh Size</w:t>
            </w:r>
          </w:p>
          <w:p w14:paraId="5D654742"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[millions]</w:t>
            </w:r>
          </w:p>
        </w:tc>
        <w:tc>
          <w:tcPr>
            <w:tcW w:w="1559" w:type="dxa"/>
            <w:tcBorders>
              <w:top w:val="double" w:sz="4" w:space="0" w:color="auto"/>
              <w:bottom w:val="double" w:sz="4" w:space="0" w:color="auto"/>
            </w:tcBorders>
          </w:tcPr>
          <w:p w14:paraId="116B9CAD" w14:textId="77777777" w:rsidR="007E5070" w:rsidRPr="003322BA" w:rsidRDefault="007E5070" w:rsidP="00904772">
            <w:pPr>
              <w:pStyle w:val="NormaleWeb"/>
              <w:spacing w:before="240" w:beforeAutospacing="0" w:after="24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CFD Time Step</w:t>
            </w:r>
            <w:r w:rsidRPr="003322BA">
              <w:rPr>
                <w:rFonts w:ascii="Times New Roman" w:eastAsiaTheme="minorEastAsia" w:hAnsi="Times New Roman"/>
                <w:color w:val="auto"/>
                <w:kern w:val="2"/>
                <w:lang w:val="en-GB" w:eastAsia="zh-CN"/>
                <w14:ligatures w14:val="standardContextual"/>
              </w:rPr>
              <w:br/>
              <w:t>Size [s]</w:t>
            </w:r>
          </w:p>
        </w:tc>
        <w:tc>
          <w:tcPr>
            <w:tcW w:w="1624" w:type="dxa"/>
            <w:tcBorders>
              <w:top w:val="double" w:sz="4" w:space="0" w:color="auto"/>
              <w:bottom w:val="double" w:sz="4" w:space="0" w:color="auto"/>
            </w:tcBorders>
            <w:vAlign w:val="center"/>
          </w:tcPr>
          <w:p w14:paraId="68664953"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 xml:space="preserve">STH </w:t>
            </w:r>
            <w:r w:rsidRPr="003322BA">
              <w:rPr>
                <w:rFonts w:ascii="Times New Roman" w:eastAsiaTheme="minorEastAsia" w:hAnsi="Times New Roman"/>
                <w:color w:val="auto"/>
                <w:kern w:val="2"/>
                <w:lang w:val="en-GB" w:eastAsia="zh-CN"/>
                <w14:ligatures w14:val="standardContextual"/>
              </w:rPr>
              <w:br/>
              <w:t>Time Step</w:t>
            </w:r>
            <w:r w:rsidRPr="003322BA">
              <w:rPr>
                <w:rFonts w:ascii="Times New Roman" w:eastAsiaTheme="minorEastAsia" w:hAnsi="Times New Roman"/>
                <w:color w:val="auto"/>
                <w:kern w:val="2"/>
                <w:lang w:val="en-GB" w:eastAsia="zh-CN"/>
                <w14:ligatures w14:val="standardContextual"/>
              </w:rPr>
              <w:br/>
              <w:t>Size [s]</w:t>
            </w:r>
          </w:p>
        </w:tc>
        <w:tc>
          <w:tcPr>
            <w:tcW w:w="1203" w:type="dxa"/>
            <w:tcBorders>
              <w:top w:val="double" w:sz="4" w:space="0" w:color="auto"/>
              <w:bottom w:val="double" w:sz="4" w:space="0" w:color="auto"/>
            </w:tcBorders>
          </w:tcPr>
          <w:p w14:paraId="3717E300"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p>
          <w:p w14:paraId="2A6C356B"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 xml:space="preserve">Number of Cores </w:t>
            </w:r>
          </w:p>
        </w:tc>
        <w:tc>
          <w:tcPr>
            <w:tcW w:w="1560" w:type="dxa"/>
            <w:tcBorders>
              <w:top w:val="double" w:sz="4" w:space="0" w:color="auto"/>
              <w:bottom w:val="double" w:sz="4" w:space="0" w:color="auto"/>
              <w:right w:val="double" w:sz="4" w:space="0" w:color="auto"/>
            </w:tcBorders>
            <w:vAlign w:val="center"/>
          </w:tcPr>
          <w:p w14:paraId="144A091D"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Time to run 1000s of calculated time</w:t>
            </w:r>
          </w:p>
        </w:tc>
      </w:tr>
      <w:tr w:rsidR="007E5070" w:rsidRPr="003322BA" w14:paraId="7B0CA577" w14:textId="77777777" w:rsidTr="00503B24">
        <w:trPr>
          <w:jc w:val="center"/>
        </w:trPr>
        <w:tc>
          <w:tcPr>
            <w:tcW w:w="1686" w:type="dxa"/>
            <w:tcBorders>
              <w:left w:val="double" w:sz="4" w:space="0" w:color="auto"/>
              <w:right w:val="double" w:sz="4" w:space="0" w:color="auto"/>
            </w:tcBorders>
            <w:vAlign w:val="center"/>
          </w:tcPr>
          <w:p w14:paraId="478D1D96"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ENEA</w:t>
            </w:r>
          </w:p>
        </w:tc>
        <w:tc>
          <w:tcPr>
            <w:tcW w:w="1276" w:type="dxa"/>
            <w:tcBorders>
              <w:left w:val="double" w:sz="4" w:space="0" w:color="auto"/>
            </w:tcBorders>
            <w:vAlign w:val="center"/>
          </w:tcPr>
          <w:p w14:paraId="0BB4E653"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4.4</w:t>
            </w:r>
          </w:p>
        </w:tc>
        <w:tc>
          <w:tcPr>
            <w:tcW w:w="1559" w:type="dxa"/>
            <w:vAlign w:val="center"/>
          </w:tcPr>
          <w:p w14:paraId="35F4C808"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0.025 to 0.1</w:t>
            </w:r>
          </w:p>
        </w:tc>
        <w:tc>
          <w:tcPr>
            <w:tcW w:w="1624" w:type="dxa"/>
            <w:vAlign w:val="center"/>
          </w:tcPr>
          <w:p w14:paraId="0AAAB87F"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1/10 of CFD step</w:t>
            </w:r>
          </w:p>
        </w:tc>
        <w:tc>
          <w:tcPr>
            <w:tcW w:w="1203" w:type="dxa"/>
          </w:tcPr>
          <w:p w14:paraId="52748E97"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48</w:t>
            </w:r>
          </w:p>
        </w:tc>
        <w:tc>
          <w:tcPr>
            <w:tcW w:w="1560" w:type="dxa"/>
            <w:tcBorders>
              <w:right w:val="double" w:sz="4" w:space="0" w:color="auto"/>
            </w:tcBorders>
            <w:vAlign w:val="center"/>
          </w:tcPr>
          <w:p w14:paraId="5C8F285F"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5-8 days</w:t>
            </w:r>
          </w:p>
        </w:tc>
      </w:tr>
      <w:tr w:rsidR="007E5070" w:rsidRPr="003322BA" w14:paraId="11141F22" w14:textId="77777777" w:rsidTr="00503B24">
        <w:trPr>
          <w:jc w:val="center"/>
        </w:trPr>
        <w:tc>
          <w:tcPr>
            <w:tcW w:w="1686" w:type="dxa"/>
            <w:tcBorders>
              <w:left w:val="double" w:sz="4" w:space="0" w:color="auto"/>
              <w:right w:val="double" w:sz="4" w:space="0" w:color="auto"/>
            </w:tcBorders>
            <w:vAlign w:val="center"/>
          </w:tcPr>
          <w:p w14:paraId="2F34C815"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IGCAR</w:t>
            </w:r>
          </w:p>
        </w:tc>
        <w:tc>
          <w:tcPr>
            <w:tcW w:w="1276" w:type="dxa"/>
            <w:tcBorders>
              <w:left w:val="double" w:sz="4" w:space="0" w:color="auto"/>
            </w:tcBorders>
            <w:vAlign w:val="center"/>
          </w:tcPr>
          <w:p w14:paraId="16EC9F3B"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57</w:t>
            </w:r>
          </w:p>
        </w:tc>
        <w:tc>
          <w:tcPr>
            <w:tcW w:w="1559" w:type="dxa"/>
            <w:vAlign w:val="center"/>
          </w:tcPr>
          <w:p w14:paraId="0EA5467F"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1 to 10</w:t>
            </w:r>
          </w:p>
        </w:tc>
        <w:tc>
          <w:tcPr>
            <w:tcW w:w="1624" w:type="dxa"/>
            <w:vAlign w:val="center"/>
          </w:tcPr>
          <w:p w14:paraId="758E221E"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1</w:t>
            </w:r>
          </w:p>
        </w:tc>
        <w:tc>
          <w:tcPr>
            <w:tcW w:w="1203" w:type="dxa"/>
          </w:tcPr>
          <w:p w14:paraId="68BFCAA3"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32</w:t>
            </w:r>
          </w:p>
        </w:tc>
        <w:tc>
          <w:tcPr>
            <w:tcW w:w="1560" w:type="dxa"/>
            <w:tcBorders>
              <w:right w:val="double" w:sz="4" w:space="0" w:color="auto"/>
            </w:tcBorders>
            <w:vAlign w:val="center"/>
          </w:tcPr>
          <w:p w14:paraId="20CDC53B"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4-5 days</w:t>
            </w:r>
          </w:p>
        </w:tc>
      </w:tr>
      <w:tr w:rsidR="007E5070" w:rsidRPr="003322BA" w14:paraId="59A1BA6A" w14:textId="77777777" w:rsidTr="00503B24">
        <w:trPr>
          <w:jc w:val="center"/>
        </w:trPr>
        <w:tc>
          <w:tcPr>
            <w:tcW w:w="1686" w:type="dxa"/>
            <w:tcBorders>
              <w:left w:val="double" w:sz="4" w:space="0" w:color="auto"/>
              <w:right w:val="double" w:sz="4" w:space="0" w:color="auto"/>
            </w:tcBorders>
            <w:vAlign w:val="center"/>
          </w:tcPr>
          <w:p w14:paraId="4BFB25C1"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NRG PALLAS</w:t>
            </w:r>
          </w:p>
        </w:tc>
        <w:tc>
          <w:tcPr>
            <w:tcW w:w="1276" w:type="dxa"/>
            <w:tcBorders>
              <w:left w:val="double" w:sz="4" w:space="0" w:color="auto"/>
            </w:tcBorders>
            <w:vAlign w:val="center"/>
          </w:tcPr>
          <w:p w14:paraId="7CE4451C"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59</w:t>
            </w:r>
          </w:p>
        </w:tc>
        <w:tc>
          <w:tcPr>
            <w:tcW w:w="1559" w:type="dxa"/>
            <w:vAlign w:val="center"/>
          </w:tcPr>
          <w:p w14:paraId="5C3C47DE"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0.5</w:t>
            </w:r>
          </w:p>
        </w:tc>
        <w:tc>
          <w:tcPr>
            <w:tcW w:w="1624" w:type="dxa"/>
            <w:vAlign w:val="center"/>
          </w:tcPr>
          <w:p w14:paraId="0F9E03DE"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0.001</w:t>
            </w:r>
          </w:p>
        </w:tc>
        <w:tc>
          <w:tcPr>
            <w:tcW w:w="1203" w:type="dxa"/>
          </w:tcPr>
          <w:p w14:paraId="3C07048F"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24</w:t>
            </w:r>
          </w:p>
        </w:tc>
        <w:tc>
          <w:tcPr>
            <w:tcW w:w="1560" w:type="dxa"/>
            <w:tcBorders>
              <w:right w:val="double" w:sz="4" w:space="0" w:color="auto"/>
            </w:tcBorders>
            <w:vAlign w:val="center"/>
          </w:tcPr>
          <w:p w14:paraId="7446C287"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6 weeks</w:t>
            </w:r>
          </w:p>
        </w:tc>
      </w:tr>
      <w:tr w:rsidR="007E5070" w:rsidRPr="003322BA" w14:paraId="0CDC1845" w14:textId="77777777" w:rsidTr="00503B24">
        <w:trPr>
          <w:jc w:val="center"/>
        </w:trPr>
        <w:tc>
          <w:tcPr>
            <w:tcW w:w="1686" w:type="dxa"/>
            <w:tcBorders>
              <w:left w:val="double" w:sz="4" w:space="0" w:color="auto"/>
              <w:right w:val="double" w:sz="4" w:space="0" w:color="auto"/>
            </w:tcBorders>
            <w:vAlign w:val="center"/>
          </w:tcPr>
          <w:p w14:paraId="2C795AA3"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UNIPI</w:t>
            </w:r>
          </w:p>
        </w:tc>
        <w:tc>
          <w:tcPr>
            <w:tcW w:w="1276" w:type="dxa"/>
            <w:tcBorders>
              <w:left w:val="double" w:sz="4" w:space="0" w:color="auto"/>
            </w:tcBorders>
            <w:vAlign w:val="center"/>
          </w:tcPr>
          <w:p w14:paraId="4696E8CB"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4.7</w:t>
            </w:r>
          </w:p>
        </w:tc>
        <w:tc>
          <w:tcPr>
            <w:tcW w:w="1559" w:type="dxa"/>
            <w:vAlign w:val="center"/>
          </w:tcPr>
          <w:p w14:paraId="266D9BD3"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0.05 to 0.5</w:t>
            </w:r>
          </w:p>
        </w:tc>
        <w:tc>
          <w:tcPr>
            <w:tcW w:w="1624" w:type="dxa"/>
            <w:vAlign w:val="center"/>
          </w:tcPr>
          <w:p w14:paraId="55FFAC97"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0.001</w:t>
            </w:r>
          </w:p>
        </w:tc>
        <w:tc>
          <w:tcPr>
            <w:tcW w:w="1203" w:type="dxa"/>
          </w:tcPr>
          <w:p w14:paraId="4C8D0CDF"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24</w:t>
            </w:r>
          </w:p>
        </w:tc>
        <w:tc>
          <w:tcPr>
            <w:tcW w:w="1560" w:type="dxa"/>
            <w:tcBorders>
              <w:right w:val="double" w:sz="4" w:space="0" w:color="auto"/>
            </w:tcBorders>
            <w:vAlign w:val="center"/>
          </w:tcPr>
          <w:p w14:paraId="5A33B60E"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4-7 days</w:t>
            </w:r>
          </w:p>
        </w:tc>
      </w:tr>
      <w:tr w:rsidR="007E5070" w:rsidRPr="003322BA" w14:paraId="7F57C92E" w14:textId="77777777" w:rsidTr="00503B24">
        <w:trPr>
          <w:jc w:val="center"/>
        </w:trPr>
        <w:tc>
          <w:tcPr>
            <w:tcW w:w="1686" w:type="dxa"/>
            <w:tcBorders>
              <w:left w:val="double" w:sz="4" w:space="0" w:color="auto"/>
              <w:right w:val="double" w:sz="4" w:space="0" w:color="auto"/>
            </w:tcBorders>
            <w:vAlign w:val="center"/>
          </w:tcPr>
          <w:p w14:paraId="729BD918"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XJTU</w:t>
            </w:r>
          </w:p>
        </w:tc>
        <w:tc>
          <w:tcPr>
            <w:tcW w:w="1276" w:type="dxa"/>
            <w:tcBorders>
              <w:left w:val="double" w:sz="4" w:space="0" w:color="auto"/>
            </w:tcBorders>
            <w:vAlign w:val="center"/>
          </w:tcPr>
          <w:p w14:paraId="5FE4593D"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1.7</w:t>
            </w:r>
          </w:p>
        </w:tc>
        <w:tc>
          <w:tcPr>
            <w:tcW w:w="1559" w:type="dxa"/>
            <w:vAlign w:val="center"/>
          </w:tcPr>
          <w:p w14:paraId="56406C2D"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0.25</w:t>
            </w:r>
          </w:p>
        </w:tc>
        <w:tc>
          <w:tcPr>
            <w:tcW w:w="1624" w:type="dxa"/>
            <w:vAlign w:val="center"/>
          </w:tcPr>
          <w:p w14:paraId="0082CD39"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0.25</w:t>
            </w:r>
          </w:p>
        </w:tc>
        <w:tc>
          <w:tcPr>
            <w:tcW w:w="1203" w:type="dxa"/>
          </w:tcPr>
          <w:p w14:paraId="3507B323"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12</w:t>
            </w:r>
          </w:p>
        </w:tc>
        <w:tc>
          <w:tcPr>
            <w:tcW w:w="1560" w:type="dxa"/>
            <w:tcBorders>
              <w:right w:val="double" w:sz="4" w:space="0" w:color="auto"/>
            </w:tcBorders>
            <w:vAlign w:val="center"/>
          </w:tcPr>
          <w:p w14:paraId="03701EBC" w14:textId="77777777" w:rsidR="007E5070" w:rsidRPr="003322BA" w:rsidRDefault="007E5070" w:rsidP="00904772">
            <w:pPr>
              <w:pStyle w:val="NormaleWeb"/>
              <w:spacing w:before="0" w:beforeAutospacing="0" w:after="0" w:afterAutospacing="0" w:line="276" w:lineRule="auto"/>
              <w:jc w:val="center"/>
              <w:rPr>
                <w:rFonts w:ascii="Times New Roman" w:eastAsiaTheme="minorEastAsia" w:hAnsi="Times New Roman"/>
                <w:color w:val="auto"/>
                <w:kern w:val="2"/>
                <w:lang w:val="en-GB" w:eastAsia="zh-CN"/>
                <w14:ligatures w14:val="standardContextual"/>
              </w:rPr>
            </w:pPr>
            <w:r w:rsidRPr="003322BA">
              <w:rPr>
                <w:rFonts w:ascii="Times New Roman" w:eastAsiaTheme="minorEastAsia" w:hAnsi="Times New Roman"/>
                <w:color w:val="auto"/>
                <w:kern w:val="2"/>
                <w:lang w:val="en-GB" w:eastAsia="zh-CN"/>
                <w14:ligatures w14:val="standardContextual"/>
              </w:rPr>
              <w:t>1-2 days</w:t>
            </w:r>
          </w:p>
        </w:tc>
      </w:tr>
    </w:tbl>
    <w:p w14:paraId="42F1F928" w14:textId="77777777" w:rsidR="00503B24" w:rsidRDefault="00503B24" w:rsidP="007E5070">
      <w:pPr>
        <w:pStyle w:val="Corpodeltesto3"/>
        <w:wordWrap/>
        <w:spacing w:line="276" w:lineRule="auto"/>
        <w:jc w:val="both"/>
        <w:rPr>
          <w:rFonts w:eastAsiaTheme="minorEastAsia"/>
          <w:lang w:val="en-GB" w:eastAsia="zh-CN"/>
          <w14:ligatures w14:val="standardContextual"/>
        </w:rPr>
      </w:pPr>
    </w:p>
    <w:p w14:paraId="0CFF6D26" w14:textId="3B3BC79E" w:rsidR="00503B24" w:rsidRDefault="00503B24" w:rsidP="00503B24">
      <w:pPr>
        <w:pStyle w:val="Corpodeltesto3"/>
        <w:wordWrap/>
        <w:spacing w:line="360" w:lineRule="auto"/>
        <w:jc w:val="both"/>
        <w:rPr>
          <w:rFonts w:eastAsiaTheme="minorEastAsia"/>
          <w:lang w:val="en-GB" w:eastAsia="zh-CN"/>
          <w14:ligatures w14:val="standardContextual"/>
        </w:rPr>
      </w:pPr>
      <w:r>
        <w:rPr>
          <w:rFonts w:eastAsiaTheme="minorEastAsia"/>
          <w:lang w:val="en-GB" w:eastAsia="zh-CN"/>
          <w14:ligatures w14:val="standardContextual"/>
        </w:rPr>
        <w:t xml:space="preserve">Eventually, the last differences in the adopted approaches among the participants are related to the gas lift component modelling. While this component was included by everyone in the STH portion of the model, inheriting limits and capabilities observed in the frame of WP1, the effects of the selected models cannot be disregarded even in the present application. </w:t>
      </w:r>
      <w:r w:rsidRPr="00503B24">
        <w:rPr>
          <w:rFonts w:eastAsiaTheme="minorEastAsia"/>
          <w:lang w:val="en-GB" w:eastAsia="zh-CN"/>
          <w14:ligatures w14:val="standardContextual"/>
        </w:rPr>
        <w:t xml:space="preserve">Particularly, ENEA, NRG PALLAS and </w:t>
      </w:r>
      <w:proofErr w:type="spellStart"/>
      <w:r w:rsidRPr="00503B24">
        <w:rPr>
          <w:rFonts w:eastAsiaTheme="minorEastAsia"/>
          <w:lang w:val="en-GB" w:eastAsia="zh-CN"/>
          <w14:ligatures w14:val="standardContextual"/>
        </w:rPr>
        <w:t>UniPi</w:t>
      </w:r>
      <w:proofErr w:type="spellEnd"/>
      <w:r w:rsidRPr="00503B24">
        <w:rPr>
          <w:rFonts w:eastAsiaTheme="minorEastAsia"/>
          <w:lang w:val="en-GB" w:eastAsia="zh-CN"/>
          <w14:ligatures w14:val="standardContextual"/>
        </w:rPr>
        <w:t xml:space="preserve"> modelled the gas lift occurring in the hot leg </w:t>
      </w:r>
      <w:proofErr w:type="gramStart"/>
      <w:r w:rsidRPr="00503B24">
        <w:rPr>
          <w:rFonts w:eastAsiaTheme="minorEastAsia"/>
          <w:lang w:val="en-GB" w:eastAsia="zh-CN"/>
          <w14:ligatures w14:val="standardContextual"/>
        </w:rPr>
        <w:t>as a consequence of</w:t>
      </w:r>
      <w:proofErr w:type="gramEnd"/>
      <w:r w:rsidRPr="00503B24">
        <w:rPr>
          <w:rFonts w:eastAsiaTheme="minorEastAsia"/>
          <w:lang w:val="en-GB" w:eastAsia="zh-CN"/>
          <w14:ligatures w14:val="standardContextual"/>
        </w:rPr>
        <w:t xml:space="preserve"> the argon injection at the bottom of the riser component. On the other hand, IGCAR and XJTU instead used pump components mimicking the effects of the gas injection system.</w:t>
      </w:r>
      <w:r>
        <w:rPr>
          <w:rFonts w:eastAsiaTheme="minorEastAsia"/>
          <w:lang w:val="en-GB" w:eastAsia="zh-CN"/>
          <w14:ligatures w14:val="standardContextual"/>
        </w:rPr>
        <w:t xml:space="preserve"> Consequently, when comparing results, it should be expected that, at least for ADP06 and ADP10 cases, IGCAR and XJTU should achieve a better quality in terms of mass flow rate predictions as the pump component allows a better management of the </w:t>
      </w:r>
      <w:r w:rsidR="00CA3018">
        <w:rPr>
          <w:rFonts w:eastAsiaTheme="minorEastAsia"/>
          <w:lang w:val="en-GB" w:eastAsia="zh-CN"/>
          <w14:ligatures w14:val="standardContextual"/>
        </w:rPr>
        <w:t>flow rate both during the initial steady state and the first phase of the transient.</w:t>
      </w:r>
    </w:p>
    <w:p w14:paraId="1598B240" w14:textId="7AF3047C" w:rsidR="007E5070" w:rsidRPr="00AA2ABF" w:rsidRDefault="00CA3018" w:rsidP="00AA2ABF">
      <w:pPr>
        <w:pStyle w:val="Corpodeltesto3"/>
        <w:wordWrap/>
        <w:spacing w:line="360" w:lineRule="auto"/>
        <w:jc w:val="both"/>
        <w:rPr>
          <w:rFonts w:eastAsiaTheme="minorEastAsia"/>
          <w:lang w:val="en-GB" w:eastAsia="zh-CN"/>
          <w14:ligatures w14:val="standardContextual"/>
        </w:rPr>
      </w:pPr>
      <w:r>
        <w:rPr>
          <w:rFonts w:eastAsiaTheme="minorEastAsia"/>
          <w:lang w:val="en-GB" w:eastAsia="zh-CN"/>
          <w14:ligatures w14:val="standardContextual"/>
        </w:rPr>
        <w:t xml:space="preserve">Moving instead to CFD settings and adopted turbulence models, all the participants </w:t>
      </w:r>
      <w:r w:rsidR="00FC1C07">
        <w:rPr>
          <w:rFonts w:eastAsiaTheme="minorEastAsia"/>
          <w:lang w:val="en-GB" w:eastAsia="zh-CN"/>
          <w14:ligatures w14:val="standardContextual"/>
        </w:rPr>
        <w:t xml:space="preserve">adopted the SST k-ω model in association with a simple gradient approach for the estimation of the turbulent heat flux contribution. The considered turbulent Prandtl number values, also inheriting the lesson drawn in the frame of WP2 were in the 1.5-4 range in accordance with </w:t>
      </w:r>
      <w:r w:rsidR="00FC1C07">
        <w:rPr>
          <w:rFonts w:eastAsiaTheme="minorEastAsia"/>
          <w:lang w:val="en-GB" w:eastAsia="zh-CN"/>
          <w14:ligatures w14:val="standardContextual"/>
        </w:rPr>
        <w:lastRenderedPageBreak/>
        <w:t>typical values adopted in the liquid metal thermal-hydraulics analyses. Nevertheless, a minor impact of this parameter on the obtained results was observed.</w:t>
      </w:r>
    </w:p>
    <w:p w14:paraId="213FBD8E" w14:textId="20A8CDAA" w:rsidR="00472835" w:rsidRPr="00D70416" w:rsidRDefault="005851C8" w:rsidP="00D70416">
      <w:pPr>
        <w:pStyle w:val="Paragrafoelenco"/>
        <w:numPr>
          <w:ilvl w:val="2"/>
          <w:numId w:val="2"/>
        </w:numPr>
        <w:spacing w:line="360" w:lineRule="auto"/>
        <w:rPr>
          <w:rFonts w:ascii="Times New Roman" w:hAnsi="Times New Roman" w:cs="Times New Roman"/>
          <w:sz w:val="28"/>
          <w:szCs w:val="28"/>
        </w:rPr>
      </w:pPr>
      <w:r w:rsidRPr="00D70416">
        <w:rPr>
          <w:rFonts w:ascii="Times New Roman" w:hAnsi="Times New Roman" w:cs="Times New Roman"/>
          <w:sz w:val="28"/>
          <w:szCs w:val="28"/>
        </w:rPr>
        <w:t>Open phase simulations</w:t>
      </w:r>
    </w:p>
    <w:p w14:paraId="15003C3E" w14:textId="2C808E3D" w:rsidR="005851C8" w:rsidRPr="00F314F5" w:rsidRDefault="00472835" w:rsidP="00D70416">
      <w:pPr>
        <w:pStyle w:val="Paragrafoelenco"/>
        <w:numPr>
          <w:ilvl w:val="3"/>
          <w:numId w:val="2"/>
        </w:numPr>
        <w:rPr>
          <w:rFonts w:ascii="Times New Roman" w:hAnsi="Times New Roman" w:cs="Times New Roman"/>
          <w:sz w:val="28"/>
          <w:szCs w:val="28"/>
        </w:rPr>
      </w:pPr>
      <w:r w:rsidRPr="00472835">
        <w:rPr>
          <w:rFonts w:ascii="Times New Roman" w:hAnsi="Times New Roman" w:cs="Times New Roman"/>
          <w:sz w:val="28"/>
          <w:szCs w:val="28"/>
        </w:rPr>
        <w:t>ADP10 case</w:t>
      </w:r>
    </w:p>
    <w:p w14:paraId="1DD3843F" w14:textId="47875511" w:rsidR="005851C8" w:rsidRPr="005851C8" w:rsidRDefault="00472835" w:rsidP="00F314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ADP10 represents the base benchmark case as all the rods are heated uniformly, the best predictions were achieved for this very case in WP1 and WP2 as well.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_Ref207013691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5</w:t>
      </w:r>
      <w:r>
        <w:rPr>
          <w:rFonts w:ascii="Times New Roman" w:hAnsi="Times New Roman" w:cs="Times New Roman"/>
          <w:sz w:val="24"/>
          <w:szCs w:val="24"/>
        </w:rPr>
        <w:fldChar w:fldCharType="end"/>
      </w:r>
      <w:r>
        <w:rPr>
          <w:rFonts w:ascii="Times New Roman" w:hAnsi="Times New Roman" w:cs="Times New Roman"/>
          <w:sz w:val="24"/>
          <w:szCs w:val="24"/>
        </w:rPr>
        <w:t xml:space="preserve"> reports about the comparison between the predicted and measured mass flow rate. As it can be observed, both the initial and final steady state values were predicted sufficiently well by all the participants, a poorer quality was instead reported in the initial phase of the transient especially by </w:t>
      </w:r>
      <w:proofErr w:type="spellStart"/>
      <w:r>
        <w:rPr>
          <w:rFonts w:ascii="Times New Roman" w:hAnsi="Times New Roman" w:cs="Times New Roman"/>
          <w:sz w:val="24"/>
          <w:szCs w:val="24"/>
        </w:rPr>
        <w:t>UniPi</w:t>
      </w:r>
      <w:proofErr w:type="spellEnd"/>
      <w:r>
        <w:rPr>
          <w:rFonts w:ascii="Times New Roman" w:hAnsi="Times New Roman" w:cs="Times New Roman"/>
          <w:sz w:val="24"/>
          <w:szCs w:val="24"/>
        </w:rPr>
        <w:t xml:space="preserve">. This is mainly connected to the limits of the </w:t>
      </w:r>
      <w:r w:rsidR="008B3AD8">
        <w:rPr>
          <w:rFonts w:ascii="Times New Roman" w:hAnsi="Times New Roman" w:cs="Times New Roman"/>
          <w:sz w:val="24"/>
          <w:szCs w:val="24"/>
        </w:rPr>
        <w:t xml:space="preserve">available models in the </w:t>
      </w:r>
      <w:r>
        <w:rPr>
          <w:rFonts w:ascii="Times New Roman" w:hAnsi="Times New Roman" w:cs="Times New Roman"/>
          <w:sz w:val="24"/>
          <w:szCs w:val="24"/>
        </w:rPr>
        <w:t xml:space="preserve">adopted STH codes in dealing with the gas/liquid metal interaction occurring in the riser. </w:t>
      </w:r>
      <w:r w:rsidR="008B3AD8">
        <w:rPr>
          <w:rFonts w:ascii="Times New Roman" w:hAnsi="Times New Roman" w:cs="Times New Roman"/>
          <w:sz w:val="24"/>
          <w:szCs w:val="24"/>
        </w:rPr>
        <w:t xml:space="preserve">XJTU, who modelled the Argon Injection System introducing a pump component, managed instead to reproduce the experimental trend after a tuning of the input parameters. </w:t>
      </w:r>
      <w:r w:rsidR="008B3AD8">
        <w:rPr>
          <w:rFonts w:ascii="Times New Roman" w:hAnsi="Times New Roman" w:cs="Times New Roman"/>
          <w:sz w:val="24"/>
          <w:szCs w:val="24"/>
        </w:rPr>
        <w:fldChar w:fldCharType="begin"/>
      </w:r>
      <w:r w:rsidR="008B3AD8">
        <w:rPr>
          <w:rFonts w:ascii="Times New Roman" w:hAnsi="Times New Roman" w:cs="Times New Roman"/>
          <w:sz w:val="24"/>
          <w:szCs w:val="24"/>
        </w:rPr>
        <w:instrText xml:space="preserve"> REF _Ref207014369 \h </w:instrText>
      </w:r>
      <w:r w:rsidR="00F314F5">
        <w:rPr>
          <w:rFonts w:ascii="Times New Roman" w:hAnsi="Times New Roman" w:cs="Times New Roman"/>
          <w:sz w:val="24"/>
          <w:szCs w:val="24"/>
        </w:rPr>
        <w:instrText xml:space="preserve"> \* MERGEFORMAT </w:instrText>
      </w:r>
      <w:r w:rsidR="008B3AD8">
        <w:rPr>
          <w:rFonts w:ascii="Times New Roman" w:hAnsi="Times New Roman" w:cs="Times New Roman"/>
          <w:sz w:val="24"/>
          <w:szCs w:val="24"/>
        </w:rPr>
      </w:r>
      <w:r w:rsidR="008B3AD8">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6</w:t>
      </w:r>
      <w:r w:rsidR="008B3AD8">
        <w:rPr>
          <w:rFonts w:ascii="Times New Roman" w:hAnsi="Times New Roman" w:cs="Times New Roman"/>
          <w:sz w:val="24"/>
          <w:szCs w:val="24"/>
        </w:rPr>
        <w:fldChar w:fldCharType="end"/>
      </w:r>
      <w:r w:rsidR="008B3AD8">
        <w:rPr>
          <w:rFonts w:ascii="Times New Roman" w:hAnsi="Times New Roman" w:cs="Times New Roman"/>
          <w:sz w:val="24"/>
          <w:szCs w:val="24"/>
        </w:rPr>
        <w:t xml:space="preserve"> to </w:t>
      </w:r>
      <w:r w:rsidR="008B3AD8">
        <w:rPr>
          <w:rFonts w:ascii="Times New Roman" w:hAnsi="Times New Roman" w:cs="Times New Roman"/>
          <w:sz w:val="24"/>
          <w:szCs w:val="24"/>
        </w:rPr>
        <w:fldChar w:fldCharType="begin"/>
      </w:r>
      <w:r w:rsidR="008B3AD8">
        <w:rPr>
          <w:rFonts w:ascii="Times New Roman" w:hAnsi="Times New Roman" w:cs="Times New Roman"/>
          <w:sz w:val="24"/>
          <w:szCs w:val="24"/>
        </w:rPr>
        <w:instrText xml:space="preserve"> REF _Ref207014372 \h </w:instrText>
      </w:r>
      <w:r w:rsidR="00F314F5">
        <w:rPr>
          <w:rFonts w:ascii="Times New Roman" w:hAnsi="Times New Roman" w:cs="Times New Roman"/>
          <w:sz w:val="24"/>
          <w:szCs w:val="24"/>
        </w:rPr>
        <w:instrText xml:space="preserve"> \* MERGEFORMAT </w:instrText>
      </w:r>
      <w:r w:rsidR="008B3AD8">
        <w:rPr>
          <w:rFonts w:ascii="Times New Roman" w:hAnsi="Times New Roman" w:cs="Times New Roman"/>
          <w:sz w:val="24"/>
          <w:szCs w:val="24"/>
        </w:rPr>
      </w:r>
      <w:r w:rsidR="008B3AD8">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11</w:t>
      </w:r>
      <w:r w:rsidR="008B3AD8">
        <w:rPr>
          <w:rFonts w:ascii="Times New Roman" w:hAnsi="Times New Roman" w:cs="Times New Roman"/>
          <w:sz w:val="24"/>
          <w:szCs w:val="24"/>
        </w:rPr>
        <w:fldChar w:fldCharType="end"/>
      </w:r>
      <w:r w:rsidR="008B3AD8">
        <w:rPr>
          <w:rFonts w:ascii="Times New Roman" w:hAnsi="Times New Roman" w:cs="Times New Roman"/>
          <w:sz w:val="24"/>
          <w:szCs w:val="24"/>
        </w:rPr>
        <w:t xml:space="preserve"> show instead the comparison between the measured and predicted temperature for the thermocouples positioned along the NACIE-UP loop. TP101 and TP102 are located right upstream and downstream the FPS, respectively, </w:t>
      </w:r>
      <w:r w:rsidR="00F314F5">
        <w:rPr>
          <w:rFonts w:ascii="Times New Roman" w:hAnsi="Times New Roman" w:cs="Times New Roman"/>
          <w:sz w:val="24"/>
          <w:szCs w:val="24"/>
        </w:rPr>
        <w:t xml:space="preserve">TP106 after the steam generator, while the others between the riser and the steam generator itself. As it can be observed, all the participants managed to predict the measured trends sufficiently well, TP102 was strongly overpredicted by </w:t>
      </w:r>
      <w:proofErr w:type="spellStart"/>
      <w:r w:rsidR="00F314F5">
        <w:rPr>
          <w:rFonts w:ascii="Times New Roman" w:hAnsi="Times New Roman" w:cs="Times New Roman"/>
          <w:sz w:val="24"/>
          <w:szCs w:val="24"/>
        </w:rPr>
        <w:t>UniPi</w:t>
      </w:r>
      <w:proofErr w:type="spellEnd"/>
      <w:r w:rsidR="00F314F5">
        <w:rPr>
          <w:rFonts w:ascii="Times New Roman" w:hAnsi="Times New Roman" w:cs="Times New Roman"/>
          <w:sz w:val="24"/>
          <w:szCs w:val="24"/>
        </w:rPr>
        <w:t xml:space="preserve">, mainly due to the very low mass flow rate predicted during the very first phase of the transient. As the final steady state is approached, predicted and measured values become very close. </w:t>
      </w:r>
    </w:p>
    <w:p w14:paraId="1E6C3993" w14:textId="77777777" w:rsidR="00EC6147" w:rsidRDefault="005851C8" w:rsidP="00EC6147">
      <w:pPr>
        <w:keepNext/>
        <w:spacing w:line="360" w:lineRule="auto"/>
        <w:jc w:val="center"/>
      </w:pPr>
      <w:r>
        <w:rPr>
          <w:rFonts w:ascii="Times New Roman" w:hAnsi="Times New Roman" w:cs="Times New Roman"/>
          <w:noProof/>
          <w:sz w:val="24"/>
          <w:szCs w:val="24"/>
        </w:rPr>
        <w:drawing>
          <wp:inline distT="0" distB="0" distL="0" distR="0" wp14:anchorId="292BAF2F" wp14:editId="375B323A">
            <wp:extent cx="3855600" cy="2520000"/>
            <wp:effectExtent l="0" t="0" r="0" b="0"/>
            <wp:docPr id="10628859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55600" cy="2520000"/>
                    </a:xfrm>
                    <a:prstGeom prst="rect">
                      <a:avLst/>
                    </a:prstGeom>
                    <a:noFill/>
                  </pic:spPr>
                </pic:pic>
              </a:graphicData>
            </a:graphic>
          </wp:inline>
        </w:drawing>
      </w:r>
    </w:p>
    <w:p w14:paraId="28144CA5" w14:textId="02452EB3" w:rsidR="005851C8" w:rsidRDefault="00EC6147" w:rsidP="00EC6147">
      <w:pPr>
        <w:pStyle w:val="Didascalia"/>
        <w:jc w:val="center"/>
        <w:rPr>
          <w:rFonts w:ascii="Times New Roman" w:hAnsi="Times New Roman" w:cs="Times New Roman"/>
          <w:sz w:val="24"/>
          <w:szCs w:val="24"/>
        </w:rPr>
      </w:pPr>
      <w:bookmarkStart w:id="7" w:name="_Ref207013691"/>
      <w:r>
        <w:t xml:space="preserve">Figure 11. </w:t>
      </w:r>
      <w:r>
        <w:fldChar w:fldCharType="begin"/>
      </w:r>
      <w:r>
        <w:instrText xml:space="preserve"> SEQ Figure_11. \* ARABIC </w:instrText>
      </w:r>
      <w:r>
        <w:fldChar w:fldCharType="separate"/>
      </w:r>
      <w:r w:rsidR="005248B3">
        <w:rPr>
          <w:noProof/>
        </w:rPr>
        <w:t>5</w:t>
      </w:r>
      <w:r>
        <w:rPr>
          <w:noProof/>
        </w:rPr>
        <w:fldChar w:fldCharType="end"/>
      </w:r>
      <w:bookmarkEnd w:id="7"/>
      <w:r w:rsidR="00A0010B">
        <w:rPr>
          <w:noProof/>
        </w:rPr>
        <w:t xml:space="preserve"> ADP10 – Experimental and Calculated Mass flow rate time trends</w:t>
      </w:r>
    </w:p>
    <w:p w14:paraId="68736700" w14:textId="61A3A064" w:rsidR="005851C8" w:rsidRDefault="00F314F5" w:rsidP="00C919D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It is worth observing that the delays in the experience of the hot wave coming from the FPS at the beginning of the transient is generally well predicted (see e.g. TP103-TP105). Inaccuracies may also be related to the positioning of the thermocouple, especially for TP102, as the tool provides a punctual measurement while the STH code provides instead a mass flow averaged value.</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851C8" w14:paraId="369C0B39" w14:textId="77777777" w:rsidTr="003E4E10">
        <w:tc>
          <w:tcPr>
            <w:tcW w:w="4508" w:type="dxa"/>
          </w:tcPr>
          <w:p w14:paraId="05D800B5" w14:textId="77777777" w:rsidR="00EC6147" w:rsidRDefault="005851C8" w:rsidP="00EC6147">
            <w:pPr>
              <w:keepNext/>
              <w:spacing w:line="360" w:lineRule="auto"/>
              <w:jc w:val="both"/>
            </w:pPr>
            <w:r>
              <w:rPr>
                <w:rFonts w:ascii="Times New Roman" w:hAnsi="Times New Roman" w:cs="Times New Roman"/>
                <w:noProof/>
                <w:sz w:val="24"/>
                <w:szCs w:val="24"/>
              </w:rPr>
              <w:drawing>
                <wp:inline distT="0" distB="0" distL="0" distR="0" wp14:anchorId="1E2C66A0" wp14:editId="5542AC81">
                  <wp:extent cx="2700000" cy="1767600"/>
                  <wp:effectExtent l="0" t="0" r="5715" b="4445"/>
                  <wp:docPr id="134304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00000" cy="1767600"/>
                          </a:xfrm>
                          <a:prstGeom prst="rect">
                            <a:avLst/>
                          </a:prstGeom>
                          <a:noFill/>
                        </pic:spPr>
                      </pic:pic>
                    </a:graphicData>
                  </a:graphic>
                </wp:inline>
              </w:drawing>
            </w:r>
          </w:p>
          <w:p w14:paraId="2B4E942A" w14:textId="14514A6E" w:rsidR="005851C8" w:rsidRDefault="00EC6147" w:rsidP="00EC6147">
            <w:pPr>
              <w:pStyle w:val="Didascalia"/>
              <w:jc w:val="both"/>
              <w:rPr>
                <w:rFonts w:ascii="Times New Roman" w:hAnsi="Times New Roman" w:cs="Times New Roman"/>
                <w:sz w:val="24"/>
                <w:szCs w:val="24"/>
              </w:rPr>
            </w:pPr>
            <w:bookmarkStart w:id="8" w:name="_Ref207014369"/>
            <w:r>
              <w:t xml:space="preserve">Figure 11. </w:t>
            </w:r>
            <w:r>
              <w:fldChar w:fldCharType="begin"/>
            </w:r>
            <w:r>
              <w:instrText xml:space="preserve"> SEQ Figure_11. \* ARABIC </w:instrText>
            </w:r>
            <w:r>
              <w:fldChar w:fldCharType="separate"/>
            </w:r>
            <w:r w:rsidR="005248B3">
              <w:rPr>
                <w:noProof/>
              </w:rPr>
              <w:t>6</w:t>
            </w:r>
            <w:r>
              <w:rPr>
                <w:noProof/>
              </w:rPr>
              <w:fldChar w:fldCharType="end"/>
            </w:r>
            <w:bookmarkEnd w:id="8"/>
            <w:r w:rsidR="00A0010B">
              <w:rPr>
                <w:noProof/>
              </w:rPr>
              <w:t xml:space="preserve"> ADP10 – Experimental and Calculated TP101 temperature time trends</w:t>
            </w:r>
          </w:p>
        </w:tc>
        <w:tc>
          <w:tcPr>
            <w:tcW w:w="4508" w:type="dxa"/>
          </w:tcPr>
          <w:p w14:paraId="4F3D6191" w14:textId="77777777" w:rsidR="00EC6147" w:rsidRDefault="005851C8" w:rsidP="00EC6147">
            <w:pPr>
              <w:keepNext/>
              <w:spacing w:line="360" w:lineRule="auto"/>
              <w:jc w:val="both"/>
            </w:pPr>
            <w:r>
              <w:rPr>
                <w:rFonts w:ascii="Times New Roman" w:hAnsi="Times New Roman" w:cs="Times New Roman"/>
                <w:noProof/>
                <w:sz w:val="24"/>
                <w:szCs w:val="24"/>
              </w:rPr>
              <w:drawing>
                <wp:inline distT="0" distB="0" distL="0" distR="0" wp14:anchorId="0A9211FB" wp14:editId="3368C462">
                  <wp:extent cx="2700000" cy="1767600"/>
                  <wp:effectExtent l="0" t="0" r="5715" b="4445"/>
                  <wp:docPr id="644661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0000" cy="1767600"/>
                          </a:xfrm>
                          <a:prstGeom prst="rect">
                            <a:avLst/>
                          </a:prstGeom>
                          <a:noFill/>
                        </pic:spPr>
                      </pic:pic>
                    </a:graphicData>
                  </a:graphic>
                </wp:inline>
              </w:drawing>
            </w:r>
          </w:p>
          <w:p w14:paraId="0096DCAA" w14:textId="668AAB36" w:rsidR="005851C8"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7</w:t>
            </w:r>
            <w:r>
              <w:rPr>
                <w:noProof/>
              </w:rPr>
              <w:fldChar w:fldCharType="end"/>
            </w:r>
            <w:r w:rsidR="00A0010B">
              <w:rPr>
                <w:noProof/>
              </w:rPr>
              <w:t xml:space="preserve"> ADP10 – Experimental and Calculated TP102 temperature time trends</w:t>
            </w:r>
          </w:p>
        </w:tc>
      </w:tr>
      <w:tr w:rsidR="005851C8" w14:paraId="105DD012" w14:textId="77777777" w:rsidTr="003E4E10">
        <w:tc>
          <w:tcPr>
            <w:tcW w:w="4508" w:type="dxa"/>
          </w:tcPr>
          <w:p w14:paraId="6AC296FE" w14:textId="77777777" w:rsidR="00EC6147" w:rsidRDefault="005851C8" w:rsidP="00EC6147">
            <w:pPr>
              <w:keepNext/>
              <w:spacing w:line="360" w:lineRule="auto"/>
              <w:jc w:val="both"/>
            </w:pPr>
            <w:r>
              <w:rPr>
                <w:rFonts w:ascii="Times New Roman" w:hAnsi="Times New Roman" w:cs="Times New Roman"/>
                <w:noProof/>
                <w:sz w:val="24"/>
                <w:szCs w:val="24"/>
              </w:rPr>
              <w:drawing>
                <wp:inline distT="0" distB="0" distL="0" distR="0" wp14:anchorId="752BBB78" wp14:editId="4C7158CE">
                  <wp:extent cx="2700000" cy="1764000"/>
                  <wp:effectExtent l="0" t="0" r="5715" b="8255"/>
                  <wp:docPr id="25639892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1B675CA8" w14:textId="0BA823DC" w:rsidR="00EC6147"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8</w:t>
            </w:r>
            <w:r>
              <w:rPr>
                <w:noProof/>
              </w:rPr>
              <w:fldChar w:fldCharType="end"/>
            </w:r>
            <w:r w:rsidR="00A0010B">
              <w:rPr>
                <w:noProof/>
              </w:rPr>
              <w:t xml:space="preserve"> ADP10 – Experimental and Calculated TP103 temperature time trends</w:t>
            </w:r>
          </w:p>
        </w:tc>
        <w:tc>
          <w:tcPr>
            <w:tcW w:w="4508" w:type="dxa"/>
          </w:tcPr>
          <w:p w14:paraId="240EDE08" w14:textId="77777777" w:rsidR="00EC6147" w:rsidRDefault="005851C8" w:rsidP="00EC6147">
            <w:pPr>
              <w:keepNext/>
              <w:spacing w:line="360" w:lineRule="auto"/>
              <w:jc w:val="both"/>
            </w:pPr>
            <w:r>
              <w:rPr>
                <w:rFonts w:ascii="Times New Roman" w:hAnsi="Times New Roman" w:cs="Times New Roman"/>
                <w:noProof/>
                <w:sz w:val="24"/>
                <w:szCs w:val="24"/>
              </w:rPr>
              <w:drawing>
                <wp:inline distT="0" distB="0" distL="0" distR="0" wp14:anchorId="684801FF" wp14:editId="4BD1D8A7">
                  <wp:extent cx="2700000" cy="1764000"/>
                  <wp:effectExtent l="0" t="0" r="5715" b="8255"/>
                  <wp:docPr id="148028432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675A5AE4" w14:textId="6283CAB0" w:rsidR="005851C8"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9</w:t>
            </w:r>
            <w:r>
              <w:rPr>
                <w:noProof/>
              </w:rPr>
              <w:fldChar w:fldCharType="end"/>
            </w:r>
            <w:r w:rsidR="00A0010B">
              <w:rPr>
                <w:noProof/>
              </w:rPr>
              <w:t xml:space="preserve"> ADP10 – Experimental and Calculated TP104 temperature time trends</w:t>
            </w:r>
          </w:p>
        </w:tc>
      </w:tr>
      <w:tr w:rsidR="005851C8" w14:paraId="4FB699AD" w14:textId="77777777" w:rsidTr="003E4E10">
        <w:tc>
          <w:tcPr>
            <w:tcW w:w="4508" w:type="dxa"/>
          </w:tcPr>
          <w:p w14:paraId="08CA42D3" w14:textId="77777777" w:rsidR="00EC6147" w:rsidRDefault="005851C8" w:rsidP="00EC6147">
            <w:pPr>
              <w:keepNext/>
              <w:spacing w:line="360" w:lineRule="auto"/>
              <w:jc w:val="both"/>
            </w:pPr>
            <w:r>
              <w:rPr>
                <w:rFonts w:ascii="Times New Roman" w:hAnsi="Times New Roman" w:cs="Times New Roman"/>
                <w:noProof/>
                <w:sz w:val="24"/>
                <w:szCs w:val="24"/>
              </w:rPr>
              <w:drawing>
                <wp:inline distT="0" distB="0" distL="0" distR="0" wp14:anchorId="7A29A75A" wp14:editId="41BA154C">
                  <wp:extent cx="2700000" cy="1764000"/>
                  <wp:effectExtent l="0" t="0" r="5715" b="8255"/>
                  <wp:docPr id="185036305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7A0403F3" w14:textId="764DB222" w:rsidR="005851C8"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10</w:t>
            </w:r>
            <w:r>
              <w:rPr>
                <w:noProof/>
              </w:rPr>
              <w:fldChar w:fldCharType="end"/>
            </w:r>
            <w:r w:rsidR="00A0010B">
              <w:rPr>
                <w:noProof/>
              </w:rPr>
              <w:t xml:space="preserve"> ADP10 – Experimental and Calculated TP105 temperature time trends</w:t>
            </w:r>
          </w:p>
        </w:tc>
        <w:tc>
          <w:tcPr>
            <w:tcW w:w="4508" w:type="dxa"/>
          </w:tcPr>
          <w:p w14:paraId="6AA26174" w14:textId="77777777" w:rsidR="00EC6147" w:rsidRDefault="005851C8" w:rsidP="00EC6147">
            <w:pPr>
              <w:keepNext/>
              <w:spacing w:line="360" w:lineRule="auto"/>
              <w:jc w:val="both"/>
            </w:pPr>
            <w:r>
              <w:rPr>
                <w:rFonts w:ascii="Times New Roman" w:hAnsi="Times New Roman" w:cs="Times New Roman"/>
                <w:noProof/>
                <w:sz w:val="24"/>
                <w:szCs w:val="24"/>
              </w:rPr>
              <w:drawing>
                <wp:inline distT="0" distB="0" distL="0" distR="0" wp14:anchorId="32A43E50" wp14:editId="41E6AB18">
                  <wp:extent cx="2700000" cy="1764000"/>
                  <wp:effectExtent l="0" t="0" r="5715" b="8255"/>
                  <wp:docPr id="556651535"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07187113" w14:textId="3AA0CC35" w:rsidR="005851C8" w:rsidRDefault="00EC6147" w:rsidP="00EC6147">
            <w:pPr>
              <w:pStyle w:val="Didascalia"/>
              <w:jc w:val="both"/>
              <w:rPr>
                <w:rFonts w:ascii="Times New Roman" w:hAnsi="Times New Roman" w:cs="Times New Roman"/>
                <w:sz w:val="24"/>
                <w:szCs w:val="24"/>
              </w:rPr>
            </w:pPr>
            <w:bookmarkStart w:id="9" w:name="_Ref207014372"/>
            <w:r>
              <w:t xml:space="preserve">Figure 11. </w:t>
            </w:r>
            <w:r>
              <w:fldChar w:fldCharType="begin"/>
            </w:r>
            <w:r>
              <w:instrText xml:space="preserve"> SEQ Figure_11. \* ARABIC </w:instrText>
            </w:r>
            <w:r>
              <w:fldChar w:fldCharType="separate"/>
            </w:r>
            <w:r w:rsidR="005248B3">
              <w:rPr>
                <w:noProof/>
              </w:rPr>
              <w:t>11</w:t>
            </w:r>
            <w:r>
              <w:rPr>
                <w:noProof/>
              </w:rPr>
              <w:fldChar w:fldCharType="end"/>
            </w:r>
            <w:bookmarkEnd w:id="9"/>
            <w:r w:rsidR="00A0010B">
              <w:rPr>
                <w:noProof/>
              </w:rPr>
              <w:t xml:space="preserve"> </w:t>
            </w:r>
            <w:r w:rsidR="00654751">
              <w:rPr>
                <w:noProof/>
              </w:rPr>
              <w:t>ADP10 – Experimental and Calculated TP106 temperature time trends</w:t>
            </w:r>
          </w:p>
        </w:tc>
      </w:tr>
    </w:tbl>
    <w:p w14:paraId="6966733A" w14:textId="77777777" w:rsidR="005851C8" w:rsidRDefault="005851C8" w:rsidP="00C919DC">
      <w:pPr>
        <w:spacing w:line="360" w:lineRule="auto"/>
        <w:jc w:val="both"/>
        <w:rPr>
          <w:rFonts w:ascii="Times New Roman" w:hAnsi="Times New Roman" w:cs="Times New Roman"/>
          <w:sz w:val="24"/>
          <w:szCs w:val="24"/>
        </w:rPr>
      </w:pPr>
    </w:p>
    <w:p w14:paraId="6E52CCDB" w14:textId="4E2D38B5" w:rsidR="00F314F5" w:rsidRDefault="00F314F5" w:rsidP="00C919D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groups of figures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_Ref207014746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12</w:t>
      </w:r>
      <w:r>
        <w:rPr>
          <w:rFonts w:ascii="Times New Roman" w:hAnsi="Times New Roman" w:cs="Times New Roman"/>
          <w:sz w:val="24"/>
          <w:szCs w:val="24"/>
        </w:rPr>
        <w:fldChar w:fldCharType="end"/>
      </w:r>
      <w:r>
        <w:rPr>
          <w:rFonts w:ascii="Times New Roman" w:hAnsi="Times New Roman" w:cs="Times New Roman"/>
          <w:sz w:val="24"/>
          <w:szCs w:val="24"/>
        </w:rPr>
        <w:t xml:space="preserve"> -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_Ref207014748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15</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_Ref207014749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16</w:t>
      </w:r>
      <w:r>
        <w:rPr>
          <w:rFonts w:ascii="Times New Roman" w:hAnsi="Times New Roman" w:cs="Times New Roman"/>
          <w:sz w:val="24"/>
          <w:szCs w:val="24"/>
        </w:rPr>
        <w:fldChar w:fldCharType="end"/>
      </w:r>
      <w:r>
        <w:rPr>
          <w:rFonts w:ascii="Times New Roman" w:hAnsi="Times New Roman" w:cs="Times New Roman"/>
          <w:sz w:val="24"/>
          <w:szCs w:val="24"/>
        </w:rPr>
        <w:t xml:space="preserve"> -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_Ref207014752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19</w:t>
      </w:r>
      <w:r>
        <w:rPr>
          <w:rFonts w:ascii="Times New Roman" w:hAnsi="Times New Roman" w:cs="Times New Roman"/>
          <w:sz w:val="24"/>
          <w:szCs w:val="24"/>
        </w:rPr>
        <w:fldChar w:fldCharType="end"/>
      </w:r>
      <w:r>
        <w:rPr>
          <w:rFonts w:ascii="Times New Roman" w:hAnsi="Times New Roman" w:cs="Times New Roman"/>
          <w:sz w:val="24"/>
          <w:szCs w:val="24"/>
        </w:rPr>
        <w:t xml:space="preserve"> report about the comparison between measured and calculated values for some selected bulk and wall thermocouples located in the FPS, respectively. </w:t>
      </w:r>
      <w:proofErr w:type="gramStart"/>
      <w:r>
        <w:rPr>
          <w:rFonts w:ascii="Times New Roman" w:hAnsi="Times New Roman" w:cs="Times New Roman"/>
          <w:sz w:val="24"/>
          <w:szCs w:val="24"/>
        </w:rPr>
        <w:t>Generally speaking, also</w:t>
      </w:r>
      <w:proofErr w:type="gramEnd"/>
      <w:r>
        <w:rPr>
          <w:rFonts w:ascii="Times New Roman" w:hAnsi="Times New Roman" w:cs="Times New Roman"/>
          <w:sz w:val="24"/>
          <w:szCs w:val="24"/>
        </w:rPr>
        <w:t xml:space="preserve"> owing to the uniform heating conditions experienced in the FPS for this very case, almost all the involved institutions managed to predict quite well the experimental trends, especially after a few hundreds of seconds from the start of the transient. Again, some inaccuracies were predicted by </w:t>
      </w:r>
      <w:proofErr w:type="spellStart"/>
      <w:r>
        <w:rPr>
          <w:rFonts w:ascii="Times New Roman" w:hAnsi="Times New Roman" w:cs="Times New Roman"/>
          <w:sz w:val="24"/>
          <w:szCs w:val="24"/>
        </w:rPr>
        <w:t>UniPi</w:t>
      </w:r>
      <w:proofErr w:type="spellEnd"/>
      <w:r>
        <w:rPr>
          <w:rFonts w:ascii="Times New Roman" w:hAnsi="Times New Roman" w:cs="Times New Roman"/>
          <w:sz w:val="24"/>
          <w:szCs w:val="24"/>
        </w:rPr>
        <w:t xml:space="preserve"> at the very beginning owing to the too low predicted mass flow rate, while instead it reports the best results when approaching to the final steady state conditions.</w:t>
      </w:r>
    </w:p>
    <w:p w14:paraId="41193CE0" w14:textId="3CEEF995" w:rsidR="00F314F5" w:rsidRDefault="00F314F5" w:rsidP="00C919DC">
      <w:pPr>
        <w:spacing w:line="360" w:lineRule="auto"/>
        <w:jc w:val="both"/>
        <w:rPr>
          <w:rFonts w:ascii="Times New Roman" w:hAnsi="Times New Roman" w:cs="Times New Roman"/>
          <w:sz w:val="24"/>
          <w:szCs w:val="24"/>
        </w:rPr>
      </w:pPr>
      <w:r>
        <w:rPr>
          <w:rFonts w:ascii="Times New Roman" w:hAnsi="Times New Roman" w:cs="Times New Roman"/>
          <w:sz w:val="24"/>
          <w:szCs w:val="24"/>
        </w:rPr>
        <w:t>As a general comment on this case, it can be stated that very good results were achieved, as all the participants m</w:t>
      </w:r>
      <w:r w:rsidR="00C408C6">
        <w:rPr>
          <w:rFonts w:ascii="Times New Roman" w:hAnsi="Times New Roman" w:cs="Times New Roman"/>
          <w:sz w:val="24"/>
          <w:szCs w:val="24"/>
        </w:rPr>
        <w:t>a</w:t>
      </w:r>
      <w:r>
        <w:rPr>
          <w:rFonts w:ascii="Times New Roman" w:hAnsi="Times New Roman" w:cs="Times New Roman"/>
          <w:sz w:val="24"/>
          <w:szCs w:val="24"/>
        </w:rPr>
        <w:t>nage</w:t>
      </w:r>
      <w:r w:rsidR="00C408C6">
        <w:rPr>
          <w:rFonts w:ascii="Times New Roman" w:hAnsi="Times New Roman" w:cs="Times New Roman"/>
          <w:sz w:val="24"/>
          <w:szCs w:val="24"/>
        </w:rPr>
        <w:t>d</w:t>
      </w:r>
      <w:r>
        <w:rPr>
          <w:rFonts w:ascii="Times New Roman" w:hAnsi="Times New Roman" w:cs="Times New Roman"/>
          <w:sz w:val="24"/>
          <w:szCs w:val="24"/>
        </w:rPr>
        <w:t xml:space="preserve"> to reproduce quite well the</w:t>
      </w:r>
      <w:r w:rsidR="00C408C6">
        <w:rPr>
          <w:rFonts w:ascii="Times New Roman" w:hAnsi="Times New Roman" w:cs="Times New Roman"/>
          <w:sz w:val="24"/>
          <w:szCs w:val="24"/>
        </w:rPr>
        <w:t xml:space="preserve"> addressed scenario</w:t>
      </w:r>
      <w:r>
        <w:rPr>
          <w:rFonts w:ascii="Times New Roman" w:hAnsi="Times New Roman" w:cs="Times New Roman"/>
          <w:sz w:val="24"/>
          <w:szCs w:val="24"/>
        </w:rPr>
        <w:t>. This is very important as</w:t>
      </w:r>
      <w:r w:rsidR="00C408C6">
        <w:rPr>
          <w:rFonts w:ascii="Times New Roman" w:hAnsi="Times New Roman" w:cs="Times New Roman"/>
          <w:sz w:val="24"/>
          <w:szCs w:val="24"/>
        </w:rPr>
        <w:t xml:space="preserve"> owing to the test conditions, ADP10 could be the most common condition to be faced in case of accidents. Main flaws in the prediction of the mass flow rate can be connected to the injection gas system modelling, something which should not be present in real NPPs, thus suggesting that very promising capabilities are to be expected in a real scenario application.</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851C8" w14:paraId="4F5F08D3" w14:textId="77777777" w:rsidTr="003E4E10">
        <w:tc>
          <w:tcPr>
            <w:tcW w:w="4508" w:type="dxa"/>
          </w:tcPr>
          <w:p w14:paraId="102159E8" w14:textId="77777777" w:rsidR="00EC6147" w:rsidRDefault="005851C8" w:rsidP="00EC6147">
            <w:pPr>
              <w:keepNext/>
              <w:spacing w:line="360" w:lineRule="auto"/>
              <w:jc w:val="both"/>
            </w:pPr>
            <w:r>
              <w:rPr>
                <w:rFonts w:ascii="Times New Roman" w:hAnsi="Times New Roman" w:cs="Times New Roman"/>
                <w:noProof/>
                <w:sz w:val="24"/>
                <w:szCs w:val="24"/>
              </w:rPr>
              <w:drawing>
                <wp:inline distT="0" distB="0" distL="0" distR="0" wp14:anchorId="619C12DE" wp14:editId="26D4C68D">
                  <wp:extent cx="2700000" cy="1764000"/>
                  <wp:effectExtent l="0" t="0" r="5715" b="8255"/>
                  <wp:docPr id="50874401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0C1F85C7" w14:textId="6743FDD7" w:rsidR="005851C8" w:rsidRDefault="00EC6147" w:rsidP="00EC6147">
            <w:pPr>
              <w:pStyle w:val="Didascalia"/>
              <w:jc w:val="both"/>
              <w:rPr>
                <w:rFonts w:ascii="Times New Roman" w:hAnsi="Times New Roman" w:cs="Times New Roman"/>
                <w:sz w:val="24"/>
                <w:szCs w:val="24"/>
              </w:rPr>
            </w:pPr>
            <w:bookmarkStart w:id="10" w:name="_Ref207014746"/>
            <w:r>
              <w:t xml:space="preserve">Figure 11. </w:t>
            </w:r>
            <w:r>
              <w:fldChar w:fldCharType="begin"/>
            </w:r>
            <w:r>
              <w:instrText xml:space="preserve"> SEQ Figure_11. \* ARABIC </w:instrText>
            </w:r>
            <w:r>
              <w:fldChar w:fldCharType="separate"/>
            </w:r>
            <w:r w:rsidR="005248B3">
              <w:rPr>
                <w:noProof/>
              </w:rPr>
              <w:t>12</w:t>
            </w:r>
            <w:r>
              <w:rPr>
                <w:noProof/>
              </w:rPr>
              <w:fldChar w:fldCharType="end"/>
            </w:r>
            <w:bookmarkEnd w:id="10"/>
            <w:r w:rsidR="00654751">
              <w:rPr>
                <w:noProof/>
              </w:rPr>
              <w:t xml:space="preserve"> ADP10 – Experimental and Calculated FPS Bulk TC2 temperature time trends</w:t>
            </w:r>
          </w:p>
        </w:tc>
        <w:tc>
          <w:tcPr>
            <w:tcW w:w="4508" w:type="dxa"/>
          </w:tcPr>
          <w:p w14:paraId="0AE181AB" w14:textId="77777777" w:rsidR="00EC6147" w:rsidRDefault="005851C8" w:rsidP="00EC6147">
            <w:pPr>
              <w:keepNext/>
              <w:spacing w:line="360" w:lineRule="auto"/>
              <w:jc w:val="both"/>
            </w:pPr>
            <w:r>
              <w:rPr>
                <w:rFonts w:ascii="Times New Roman" w:hAnsi="Times New Roman" w:cs="Times New Roman"/>
                <w:noProof/>
                <w:sz w:val="24"/>
                <w:szCs w:val="24"/>
              </w:rPr>
              <w:drawing>
                <wp:inline distT="0" distB="0" distL="0" distR="0" wp14:anchorId="77A53FDB" wp14:editId="4F9F217E">
                  <wp:extent cx="2700000" cy="1764000"/>
                  <wp:effectExtent l="0" t="0" r="5715" b="8255"/>
                  <wp:docPr id="1776748592"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305BDDF7" w14:textId="37049FDE" w:rsidR="005851C8"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13</w:t>
            </w:r>
            <w:r>
              <w:rPr>
                <w:noProof/>
              </w:rPr>
              <w:fldChar w:fldCharType="end"/>
            </w:r>
            <w:r w:rsidR="00654751">
              <w:rPr>
                <w:noProof/>
              </w:rPr>
              <w:t xml:space="preserve"> ADP10 – Experimental and Calculated FPS Bulk TC12 temperature time trends</w:t>
            </w:r>
          </w:p>
        </w:tc>
      </w:tr>
      <w:tr w:rsidR="005851C8" w14:paraId="3E28ABF4" w14:textId="77777777" w:rsidTr="003E4E10">
        <w:tc>
          <w:tcPr>
            <w:tcW w:w="4508" w:type="dxa"/>
          </w:tcPr>
          <w:p w14:paraId="72073DF6" w14:textId="77777777" w:rsidR="00EC6147" w:rsidRDefault="005851C8" w:rsidP="00EC6147">
            <w:pPr>
              <w:keepNext/>
              <w:spacing w:line="360" w:lineRule="auto"/>
              <w:jc w:val="both"/>
            </w:pPr>
            <w:r>
              <w:rPr>
                <w:rFonts w:ascii="Times New Roman" w:hAnsi="Times New Roman" w:cs="Times New Roman"/>
                <w:noProof/>
                <w:sz w:val="24"/>
                <w:szCs w:val="24"/>
              </w:rPr>
              <w:drawing>
                <wp:inline distT="0" distB="0" distL="0" distR="0" wp14:anchorId="4991704C" wp14:editId="3BF56136">
                  <wp:extent cx="2700000" cy="1764000"/>
                  <wp:effectExtent l="0" t="0" r="5715" b="8255"/>
                  <wp:docPr id="479341068"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0BE2540F" w14:textId="5305A013" w:rsidR="005851C8"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14</w:t>
            </w:r>
            <w:r>
              <w:rPr>
                <w:noProof/>
              </w:rPr>
              <w:fldChar w:fldCharType="end"/>
            </w:r>
            <w:r w:rsidR="00654751">
              <w:rPr>
                <w:noProof/>
              </w:rPr>
              <w:t xml:space="preserve"> ADP10 – Experimental and Calculated FPS Bulk TC4 temperature time trends</w:t>
            </w:r>
          </w:p>
        </w:tc>
        <w:tc>
          <w:tcPr>
            <w:tcW w:w="4508" w:type="dxa"/>
          </w:tcPr>
          <w:p w14:paraId="6C3F9D35" w14:textId="77777777" w:rsidR="00EC6147" w:rsidRDefault="005851C8" w:rsidP="00EC6147">
            <w:pPr>
              <w:keepNext/>
              <w:spacing w:line="360" w:lineRule="auto"/>
              <w:jc w:val="both"/>
            </w:pPr>
            <w:r>
              <w:rPr>
                <w:rFonts w:ascii="Times New Roman" w:hAnsi="Times New Roman" w:cs="Times New Roman"/>
                <w:noProof/>
                <w:sz w:val="24"/>
                <w:szCs w:val="24"/>
              </w:rPr>
              <w:drawing>
                <wp:inline distT="0" distB="0" distL="0" distR="0" wp14:anchorId="5E69F475" wp14:editId="3869552D">
                  <wp:extent cx="2700000" cy="1764000"/>
                  <wp:effectExtent l="0" t="0" r="5715" b="8255"/>
                  <wp:docPr id="1438310799"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04BF68EB" w14:textId="21687BFE" w:rsidR="005851C8" w:rsidRDefault="00EC6147" w:rsidP="00EC6147">
            <w:pPr>
              <w:pStyle w:val="Didascalia"/>
              <w:jc w:val="both"/>
              <w:rPr>
                <w:rFonts w:ascii="Times New Roman" w:hAnsi="Times New Roman" w:cs="Times New Roman"/>
                <w:sz w:val="24"/>
                <w:szCs w:val="24"/>
              </w:rPr>
            </w:pPr>
            <w:bookmarkStart w:id="11" w:name="_Ref207014748"/>
            <w:r>
              <w:t xml:space="preserve">Figure 11. </w:t>
            </w:r>
            <w:r>
              <w:fldChar w:fldCharType="begin"/>
            </w:r>
            <w:r>
              <w:instrText xml:space="preserve"> SEQ Figure_11. \* ARABIC </w:instrText>
            </w:r>
            <w:r>
              <w:fldChar w:fldCharType="separate"/>
            </w:r>
            <w:r w:rsidR="005248B3">
              <w:rPr>
                <w:noProof/>
              </w:rPr>
              <w:t>15</w:t>
            </w:r>
            <w:r>
              <w:rPr>
                <w:noProof/>
              </w:rPr>
              <w:fldChar w:fldCharType="end"/>
            </w:r>
            <w:bookmarkEnd w:id="11"/>
            <w:r w:rsidR="00654751">
              <w:rPr>
                <w:noProof/>
              </w:rPr>
              <w:t xml:space="preserve"> ADP10 – Experimental and Calculated FPS Bulk TC14 temperature time trends</w:t>
            </w:r>
          </w:p>
        </w:tc>
      </w:tr>
    </w:tbl>
    <w:p w14:paraId="6CA4DF83" w14:textId="77777777" w:rsidR="005851C8" w:rsidRDefault="005851C8" w:rsidP="00C919DC">
      <w:pPr>
        <w:spacing w:line="360" w:lineRule="auto"/>
        <w:jc w:val="both"/>
        <w:rPr>
          <w:rFonts w:ascii="Times New Roman" w:hAnsi="Times New Roman" w:cs="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851C8" w14:paraId="4E6427D0" w14:textId="77777777" w:rsidTr="003E4E10">
        <w:tc>
          <w:tcPr>
            <w:tcW w:w="4508" w:type="dxa"/>
          </w:tcPr>
          <w:p w14:paraId="57163339" w14:textId="77777777" w:rsidR="00EC6147" w:rsidRDefault="005851C8" w:rsidP="00EC6147">
            <w:pPr>
              <w:keepNext/>
              <w:spacing w:line="360" w:lineRule="auto"/>
              <w:jc w:val="both"/>
            </w:pPr>
            <w:r>
              <w:rPr>
                <w:rFonts w:ascii="Times New Roman" w:hAnsi="Times New Roman" w:cs="Times New Roman"/>
                <w:noProof/>
                <w:sz w:val="24"/>
                <w:szCs w:val="24"/>
              </w:rPr>
              <w:lastRenderedPageBreak/>
              <w:drawing>
                <wp:inline distT="0" distB="0" distL="0" distR="0" wp14:anchorId="4EAA05BA" wp14:editId="3CFFB256">
                  <wp:extent cx="2700000" cy="1764000"/>
                  <wp:effectExtent l="0" t="0" r="5715" b="8255"/>
                  <wp:docPr id="479194534"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71887DBF" w14:textId="44B731C7" w:rsidR="005851C8" w:rsidRDefault="00EC6147" w:rsidP="00EC6147">
            <w:pPr>
              <w:pStyle w:val="Didascalia"/>
              <w:jc w:val="both"/>
              <w:rPr>
                <w:rFonts w:ascii="Times New Roman" w:hAnsi="Times New Roman" w:cs="Times New Roman"/>
                <w:sz w:val="24"/>
                <w:szCs w:val="24"/>
              </w:rPr>
            </w:pPr>
            <w:bookmarkStart w:id="12" w:name="_Ref207014749"/>
            <w:r>
              <w:t xml:space="preserve">Figure 11. </w:t>
            </w:r>
            <w:r>
              <w:fldChar w:fldCharType="begin"/>
            </w:r>
            <w:r>
              <w:instrText xml:space="preserve"> SEQ Figure_11. \* ARABIC </w:instrText>
            </w:r>
            <w:r>
              <w:fldChar w:fldCharType="separate"/>
            </w:r>
            <w:r w:rsidR="005248B3">
              <w:rPr>
                <w:noProof/>
              </w:rPr>
              <w:t>16</w:t>
            </w:r>
            <w:r>
              <w:rPr>
                <w:noProof/>
              </w:rPr>
              <w:fldChar w:fldCharType="end"/>
            </w:r>
            <w:bookmarkEnd w:id="12"/>
            <w:r w:rsidR="00654751">
              <w:rPr>
                <w:noProof/>
              </w:rPr>
              <w:t xml:space="preserve"> ADP10 – Experimental and Calculated FPS Wall TC25 temperature time trends</w:t>
            </w:r>
          </w:p>
        </w:tc>
        <w:tc>
          <w:tcPr>
            <w:tcW w:w="4508" w:type="dxa"/>
          </w:tcPr>
          <w:p w14:paraId="0059B5A4" w14:textId="77777777" w:rsidR="00EC6147" w:rsidRDefault="005851C8" w:rsidP="00EC6147">
            <w:pPr>
              <w:keepNext/>
              <w:spacing w:line="360" w:lineRule="auto"/>
              <w:jc w:val="both"/>
            </w:pPr>
            <w:r>
              <w:rPr>
                <w:rFonts w:ascii="Times New Roman" w:hAnsi="Times New Roman" w:cs="Times New Roman"/>
                <w:noProof/>
                <w:sz w:val="24"/>
                <w:szCs w:val="24"/>
              </w:rPr>
              <w:drawing>
                <wp:inline distT="0" distB="0" distL="0" distR="0" wp14:anchorId="3E2AC730" wp14:editId="3BA17B30">
                  <wp:extent cx="2700000" cy="1764000"/>
                  <wp:effectExtent l="0" t="0" r="5715" b="8255"/>
                  <wp:docPr id="16336052"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1C4CEE71" w14:textId="5B8C68E3" w:rsidR="005851C8"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17</w:t>
            </w:r>
            <w:r>
              <w:rPr>
                <w:noProof/>
              </w:rPr>
              <w:fldChar w:fldCharType="end"/>
            </w:r>
            <w:r w:rsidR="00654751">
              <w:rPr>
                <w:noProof/>
              </w:rPr>
              <w:t xml:space="preserve"> ADP10 – Experimental and Calculated FPS Wall TC51 temperature time trends</w:t>
            </w:r>
          </w:p>
        </w:tc>
      </w:tr>
      <w:tr w:rsidR="005851C8" w14:paraId="3D6017AD" w14:textId="77777777" w:rsidTr="003E4E10">
        <w:tc>
          <w:tcPr>
            <w:tcW w:w="4508" w:type="dxa"/>
          </w:tcPr>
          <w:p w14:paraId="68667BE1" w14:textId="77777777" w:rsidR="00EC6147" w:rsidRDefault="005851C8" w:rsidP="00EC6147">
            <w:pPr>
              <w:keepNext/>
              <w:spacing w:line="360" w:lineRule="auto"/>
              <w:jc w:val="both"/>
            </w:pPr>
            <w:r>
              <w:rPr>
                <w:rFonts w:ascii="Times New Roman" w:hAnsi="Times New Roman" w:cs="Times New Roman"/>
                <w:noProof/>
                <w:sz w:val="24"/>
                <w:szCs w:val="24"/>
              </w:rPr>
              <w:drawing>
                <wp:inline distT="0" distB="0" distL="0" distR="0" wp14:anchorId="63656ED7" wp14:editId="113F11FB">
                  <wp:extent cx="2700000" cy="1764000"/>
                  <wp:effectExtent l="0" t="0" r="5715" b="8255"/>
                  <wp:docPr id="72175152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73582A54" w14:textId="0CF66239" w:rsidR="005851C8"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18</w:t>
            </w:r>
            <w:r>
              <w:rPr>
                <w:noProof/>
              </w:rPr>
              <w:fldChar w:fldCharType="end"/>
            </w:r>
            <w:r w:rsidR="00654751">
              <w:rPr>
                <w:noProof/>
              </w:rPr>
              <w:t xml:space="preserve"> ADP10 – Experimental and Calculated FPS Wall TC55 temperature time trends</w:t>
            </w:r>
          </w:p>
        </w:tc>
        <w:tc>
          <w:tcPr>
            <w:tcW w:w="4508" w:type="dxa"/>
          </w:tcPr>
          <w:p w14:paraId="147A4083" w14:textId="77777777" w:rsidR="00EC6147" w:rsidRDefault="005851C8" w:rsidP="00EC6147">
            <w:pPr>
              <w:keepNext/>
              <w:spacing w:line="360" w:lineRule="auto"/>
              <w:jc w:val="both"/>
            </w:pPr>
            <w:r>
              <w:rPr>
                <w:rFonts w:ascii="Times New Roman" w:hAnsi="Times New Roman" w:cs="Times New Roman"/>
                <w:noProof/>
                <w:sz w:val="24"/>
                <w:szCs w:val="24"/>
              </w:rPr>
              <w:drawing>
                <wp:inline distT="0" distB="0" distL="0" distR="0" wp14:anchorId="570B14F4" wp14:editId="18BC7772">
                  <wp:extent cx="2700000" cy="1764000"/>
                  <wp:effectExtent l="0" t="0" r="5715" b="8255"/>
                  <wp:docPr id="2139825298"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185CDB91" w14:textId="34784BA9" w:rsidR="005851C8" w:rsidRDefault="00EC6147" w:rsidP="00EC6147">
            <w:pPr>
              <w:pStyle w:val="Didascalia"/>
              <w:jc w:val="both"/>
              <w:rPr>
                <w:rFonts w:ascii="Times New Roman" w:hAnsi="Times New Roman" w:cs="Times New Roman"/>
                <w:sz w:val="24"/>
                <w:szCs w:val="24"/>
              </w:rPr>
            </w:pPr>
            <w:bookmarkStart w:id="13" w:name="_Ref207014752"/>
            <w:r>
              <w:t xml:space="preserve">Figure 11. </w:t>
            </w:r>
            <w:r>
              <w:fldChar w:fldCharType="begin"/>
            </w:r>
            <w:r>
              <w:instrText xml:space="preserve"> SEQ Figure_11. \* ARABIC </w:instrText>
            </w:r>
            <w:r>
              <w:fldChar w:fldCharType="separate"/>
            </w:r>
            <w:r w:rsidR="005248B3">
              <w:rPr>
                <w:noProof/>
              </w:rPr>
              <w:t>19</w:t>
            </w:r>
            <w:r>
              <w:rPr>
                <w:noProof/>
              </w:rPr>
              <w:fldChar w:fldCharType="end"/>
            </w:r>
            <w:bookmarkEnd w:id="13"/>
            <w:r w:rsidR="00654751">
              <w:rPr>
                <w:noProof/>
              </w:rPr>
              <w:t xml:space="preserve"> ADP10 – Experimental and Calculated FPS Wall TC67 temperature time trends</w:t>
            </w:r>
          </w:p>
        </w:tc>
      </w:tr>
    </w:tbl>
    <w:p w14:paraId="244B22F3" w14:textId="77777777" w:rsidR="005851C8" w:rsidRDefault="005851C8" w:rsidP="00C919DC">
      <w:pPr>
        <w:spacing w:line="360" w:lineRule="auto"/>
        <w:jc w:val="both"/>
        <w:rPr>
          <w:rFonts w:ascii="Times New Roman" w:hAnsi="Times New Roman" w:cs="Times New Roman"/>
          <w:sz w:val="24"/>
          <w:szCs w:val="24"/>
        </w:rPr>
      </w:pPr>
    </w:p>
    <w:p w14:paraId="3DF2809D" w14:textId="08F7EE6D" w:rsidR="00C408C6" w:rsidRPr="00F314F5" w:rsidRDefault="00C408C6" w:rsidP="00D70416">
      <w:pPr>
        <w:pStyle w:val="Paragrafoelenco"/>
        <w:numPr>
          <w:ilvl w:val="3"/>
          <w:numId w:val="2"/>
        </w:numPr>
        <w:rPr>
          <w:rFonts w:ascii="Times New Roman" w:hAnsi="Times New Roman" w:cs="Times New Roman"/>
          <w:sz w:val="28"/>
          <w:szCs w:val="28"/>
        </w:rPr>
      </w:pPr>
      <w:r w:rsidRPr="00472835">
        <w:rPr>
          <w:rFonts w:ascii="Times New Roman" w:hAnsi="Times New Roman" w:cs="Times New Roman"/>
          <w:sz w:val="28"/>
          <w:szCs w:val="28"/>
        </w:rPr>
        <w:t>ADP</w:t>
      </w:r>
      <w:r>
        <w:rPr>
          <w:rFonts w:ascii="Times New Roman" w:hAnsi="Times New Roman" w:cs="Times New Roman"/>
          <w:sz w:val="28"/>
          <w:szCs w:val="28"/>
        </w:rPr>
        <w:t>06</w:t>
      </w:r>
      <w:r w:rsidRPr="00472835">
        <w:rPr>
          <w:rFonts w:ascii="Times New Roman" w:hAnsi="Times New Roman" w:cs="Times New Roman"/>
          <w:sz w:val="28"/>
          <w:szCs w:val="28"/>
        </w:rPr>
        <w:t xml:space="preserve"> case</w:t>
      </w:r>
    </w:p>
    <w:p w14:paraId="67DEB16E" w14:textId="187AE156" w:rsidR="005851C8" w:rsidRDefault="00692678" w:rsidP="00C919DC">
      <w:pPr>
        <w:spacing w:line="360" w:lineRule="auto"/>
        <w:jc w:val="both"/>
        <w:rPr>
          <w:rFonts w:ascii="Times New Roman" w:hAnsi="Times New Roman" w:cs="Times New Roman"/>
          <w:sz w:val="24"/>
          <w:szCs w:val="24"/>
        </w:rPr>
      </w:pPr>
      <w:r>
        <w:rPr>
          <w:rFonts w:ascii="Times New Roman" w:hAnsi="Times New Roman" w:cs="Times New Roman"/>
          <w:sz w:val="24"/>
          <w:szCs w:val="24"/>
        </w:rPr>
        <w:t>ADP06 shares the same general conditions of ADP10 in terms of total supplied power, gas injection and feedwater mass flow rate and inlet temperature. No surprise that very similar trends in terms of mass flow rates and loop temperature distributions were achieved by all the participants as from a numerical point of view ADP10 and ADP06 are identical in the STH part of the domain. The only differences are of course included in the CFD domain, as a non-uniform heat distribution occurs in the rods, with only the 7 central ones heated up.</w:t>
      </w:r>
    </w:p>
    <w:p w14:paraId="129CA57F" w14:textId="31569EB3" w:rsidR="00692678" w:rsidRDefault="00692678" w:rsidP="00C919DC">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_Ref207016761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20</w:t>
      </w:r>
      <w:r>
        <w:rPr>
          <w:rFonts w:ascii="Times New Roman" w:hAnsi="Times New Roman" w:cs="Times New Roman"/>
          <w:sz w:val="24"/>
          <w:szCs w:val="24"/>
        </w:rPr>
        <w:fldChar w:fldCharType="end"/>
      </w:r>
      <w:r>
        <w:rPr>
          <w:rFonts w:ascii="Times New Roman" w:hAnsi="Times New Roman" w:cs="Times New Roman"/>
          <w:sz w:val="24"/>
          <w:szCs w:val="24"/>
        </w:rPr>
        <w:t xml:space="preserve">  reports the comparison between the measured and experimental mass flow rates while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_Ref207016819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21</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_Ref207016763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22</w:t>
      </w:r>
      <w:r>
        <w:rPr>
          <w:rFonts w:ascii="Times New Roman" w:hAnsi="Times New Roman" w:cs="Times New Roman"/>
          <w:sz w:val="24"/>
          <w:szCs w:val="24"/>
        </w:rPr>
        <w:fldChar w:fldCharType="end"/>
      </w:r>
      <w:r>
        <w:rPr>
          <w:rFonts w:ascii="Times New Roman" w:hAnsi="Times New Roman" w:cs="Times New Roman"/>
          <w:sz w:val="24"/>
          <w:szCs w:val="24"/>
        </w:rPr>
        <w:t xml:space="preserve"> report the comparison for the temperature experienced at TP101 and TP102. Almost the same trends experienced for ADP10 were reported, coherently in the calculations, except for XJTU who set the pump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follow the experimental mass flow rate which turned to be slightly different during the initial steady state conditions.</w:t>
      </w:r>
    </w:p>
    <w:p w14:paraId="75D8E7A1" w14:textId="77777777" w:rsidR="00EC6147" w:rsidRDefault="005851C8" w:rsidP="00EC6147">
      <w:pPr>
        <w:keepNext/>
        <w:spacing w:line="360" w:lineRule="auto"/>
        <w:jc w:val="center"/>
      </w:pPr>
      <w:r>
        <w:rPr>
          <w:rFonts w:ascii="Times New Roman" w:hAnsi="Times New Roman" w:cs="Times New Roman"/>
          <w:noProof/>
          <w:sz w:val="24"/>
          <w:szCs w:val="24"/>
        </w:rPr>
        <w:lastRenderedPageBreak/>
        <w:drawing>
          <wp:inline distT="0" distB="0" distL="0" distR="0" wp14:anchorId="06D6108F" wp14:editId="22224BA3">
            <wp:extent cx="4406400" cy="2880000"/>
            <wp:effectExtent l="0" t="0" r="0" b="0"/>
            <wp:docPr id="2073696309"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06400" cy="2880000"/>
                    </a:xfrm>
                    <a:prstGeom prst="rect">
                      <a:avLst/>
                    </a:prstGeom>
                    <a:noFill/>
                  </pic:spPr>
                </pic:pic>
              </a:graphicData>
            </a:graphic>
          </wp:inline>
        </w:drawing>
      </w:r>
    </w:p>
    <w:p w14:paraId="71649092" w14:textId="6C375250" w:rsidR="005851C8" w:rsidRDefault="00EC6147" w:rsidP="00EC6147">
      <w:pPr>
        <w:pStyle w:val="Didascalia"/>
        <w:jc w:val="center"/>
        <w:rPr>
          <w:rFonts w:ascii="Times New Roman" w:hAnsi="Times New Roman" w:cs="Times New Roman"/>
          <w:sz w:val="24"/>
          <w:szCs w:val="24"/>
        </w:rPr>
      </w:pPr>
      <w:bookmarkStart w:id="14" w:name="_Ref207016761"/>
      <w:r>
        <w:t xml:space="preserve">Figure 11. </w:t>
      </w:r>
      <w:r>
        <w:fldChar w:fldCharType="begin"/>
      </w:r>
      <w:r>
        <w:instrText xml:space="preserve"> SEQ Figure_11. \* ARABIC </w:instrText>
      </w:r>
      <w:r>
        <w:fldChar w:fldCharType="separate"/>
      </w:r>
      <w:r w:rsidR="005248B3">
        <w:rPr>
          <w:noProof/>
        </w:rPr>
        <w:t>20</w:t>
      </w:r>
      <w:r>
        <w:rPr>
          <w:noProof/>
        </w:rPr>
        <w:fldChar w:fldCharType="end"/>
      </w:r>
      <w:bookmarkEnd w:id="14"/>
      <w:r w:rsidR="00654751">
        <w:rPr>
          <w:noProof/>
        </w:rPr>
        <w:t xml:space="preserve"> ADP06 – Experimental and Calculated Mass flow rate time trends</w:t>
      </w:r>
    </w:p>
    <w:p w14:paraId="7C97D8E4" w14:textId="77777777" w:rsidR="005851C8" w:rsidRDefault="005851C8" w:rsidP="005851C8">
      <w:pPr>
        <w:spacing w:line="360" w:lineRule="auto"/>
        <w:jc w:val="center"/>
        <w:rPr>
          <w:rFonts w:ascii="Times New Roman" w:hAnsi="Times New Roman" w:cs="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851C8" w14:paraId="5425C9FD" w14:textId="77777777" w:rsidTr="00610A3C">
        <w:tc>
          <w:tcPr>
            <w:tcW w:w="4508" w:type="dxa"/>
          </w:tcPr>
          <w:p w14:paraId="7EBF1072" w14:textId="77777777" w:rsidR="00EC6147" w:rsidRDefault="005851C8" w:rsidP="00EC6147">
            <w:pPr>
              <w:keepNext/>
              <w:spacing w:line="360" w:lineRule="auto"/>
              <w:jc w:val="both"/>
            </w:pPr>
            <w:r>
              <w:rPr>
                <w:rFonts w:ascii="Times New Roman" w:hAnsi="Times New Roman" w:cs="Times New Roman"/>
                <w:noProof/>
                <w:sz w:val="24"/>
                <w:szCs w:val="24"/>
              </w:rPr>
              <w:drawing>
                <wp:inline distT="0" distB="0" distL="0" distR="0" wp14:anchorId="4595CDDB" wp14:editId="22F813F4">
                  <wp:extent cx="2700000" cy="1764000"/>
                  <wp:effectExtent l="0" t="0" r="5715" b="8255"/>
                  <wp:docPr id="17858382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0CF46A50" w14:textId="1CF4BD03" w:rsidR="005851C8" w:rsidRDefault="00EC6147" w:rsidP="00EC6147">
            <w:pPr>
              <w:pStyle w:val="Didascalia"/>
              <w:jc w:val="both"/>
              <w:rPr>
                <w:rFonts w:ascii="Times New Roman" w:hAnsi="Times New Roman" w:cs="Times New Roman"/>
                <w:sz w:val="24"/>
                <w:szCs w:val="24"/>
              </w:rPr>
            </w:pPr>
            <w:bookmarkStart w:id="15" w:name="_Ref207016819"/>
            <w:r>
              <w:t xml:space="preserve">Figure 11. </w:t>
            </w:r>
            <w:r>
              <w:fldChar w:fldCharType="begin"/>
            </w:r>
            <w:r>
              <w:instrText xml:space="preserve"> SEQ Figure_11. \* ARABIC </w:instrText>
            </w:r>
            <w:r>
              <w:fldChar w:fldCharType="separate"/>
            </w:r>
            <w:r w:rsidR="005248B3">
              <w:rPr>
                <w:noProof/>
              </w:rPr>
              <w:t>21</w:t>
            </w:r>
            <w:r>
              <w:rPr>
                <w:noProof/>
              </w:rPr>
              <w:fldChar w:fldCharType="end"/>
            </w:r>
            <w:bookmarkEnd w:id="15"/>
            <w:r w:rsidR="00654751">
              <w:rPr>
                <w:noProof/>
              </w:rPr>
              <w:t xml:space="preserve"> ADP06 – Experimental and Calculated TP101 temperature time trends</w:t>
            </w:r>
          </w:p>
        </w:tc>
        <w:tc>
          <w:tcPr>
            <w:tcW w:w="4508" w:type="dxa"/>
          </w:tcPr>
          <w:p w14:paraId="5EA6DFBB" w14:textId="77777777" w:rsidR="00EC6147" w:rsidRDefault="005851C8" w:rsidP="00EC6147">
            <w:pPr>
              <w:keepNext/>
              <w:spacing w:line="360" w:lineRule="auto"/>
              <w:jc w:val="both"/>
            </w:pPr>
            <w:r>
              <w:rPr>
                <w:rFonts w:ascii="Times New Roman" w:hAnsi="Times New Roman" w:cs="Times New Roman"/>
                <w:noProof/>
                <w:sz w:val="24"/>
                <w:szCs w:val="24"/>
              </w:rPr>
              <w:drawing>
                <wp:inline distT="0" distB="0" distL="0" distR="0" wp14:anchorId="45154BF7" wp14:editId="61DAD3B1">
                  <wp:extent cx="2700000" cy="1764000"/>
                  <wp:effectExtent l="0" t="0" r="5715" b="8255"/>
                  <wp:docPr id="122164006"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179F44F9" w14:textId="57E4E6F1" w:rsidR="005851C8" w:rsidRDefault="00EC6147" w:rsidP="00EC6147">
            <w:pPr>
              <w:pStyle w:val="Didascalia"/>
              <w:jc w:val="both"/>
              <w:rPr>
                <w:rFonts w:ascii="Times New Roman" w:hAnsi="Times New Roman" w:cs="Times New Roman"/>
                <w:sz w:val="24"/>
                <w:szCs w:val="24"/>
              </w:rPr>
            </w:pPr>
            <w:bookmarkStart w:id="16" w:name="_Ref207016763"/>
            <w:r>
              <w:t xml:space="preserve">Figure 11. </w:t>
            </w:r>
            <w:r>
              <w:fldChar w:fldCharType="begin"/>
            </w:r>
            <w:r>
              <w:instrText xml:space="preserve"> SEQ Figure_11. \* ARABIC </w:instrText>
            </w:r>
            <w:r>
              <w:fldChar w:fldCharType="separate"/>
            </w:r>
            <w:r w:rsidR="005248B3">
              <w:rPr>
                <w:noProof/>
              </w:rPr>
              <w:t>22</w:t>
            </w:r>
            <w:r>
              <w:rPr>
                <w:noProof/>
              </w:rPr>
              <w:fldChar w:fldCharType="end"/>
            </w:r>
            <w:bookmarkEnd w:id="16"/>
            <w:r w:rsidR="00654751">
              <w:rPr>
                <w:noProof/>
              </w:rPr>
              <w:t xml:space="preserve"> ADP06 – Experimental and Calculated TP102 temperature time trends</w:t>
            </w:r>
          </w:p>
        </w:tc>
      </w:tr>
    </w:tbl>
    <w:p w14:paraId="0EF5F63E" w14:textId="77777777" w:rsidR="005851C8" w:rsidRDefault="005851C8" w:rsidP="005851C8">
      <w:pPr>
        <w:spacing w:line="360" w:lineRule="auto"/>
        <w:jc w:val="center"/>
        <w:rPr>
          <w:rFonts w:ascii="Times New Roman" w:hAnsi="Times New Roman" w:cs="Times New Roman"/>
          <w:sz w:val="24"/>
          <w:szCs w:val="24"/>
        </w:rPr>
      </w:pPr>
    </w:p>
    <w:p w14:paraId="1DE86AC4" w14:textId="2A626700" w:rsidR="0044570D" w:rsidRDefault="00383247" w:rsidP="00383247">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_Ref207017708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t xml:space="preserve">Figure 11. </w:t>
      </w:r>
      <w:r w:rsidR="005248B3">
        <w:rPr>
          <w:noProof/>
        </w:rPr>
        <w:t>23</w:t>
      </w:r>
      <w:r>
        <w:rPr>
          <w:rFonts w:ascii="Times New Roman" w:hAnsi="Times New Roman" w:cs="Times New Roman"/>
          <w:sz w:val="24"/>
          <w:szCs w:val="24"/>
        </w:rPr>
        <w:fldChar w:fldCharType="end"/>
      </w:r>
      <w:r>
        <w:rPr>
          <w:rFonts w:ascii="Times New Roman" w:hAnsi="Times New Roman" w:cs="Times New Roman"/>
          <w:sz w:val="24"/>
          <w:szCs w:val="24"/>
        </w:rPr>
        <w:t xml:space="preserve"> to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_Ref207017710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t xml:space="preserve">Figure 11. </w:t>
      </w:r>
      <w:r w:rsidR="005248B3">
        <w:rPr>
          <w:noProof/>
        </w:rPr>
        <w:t>26</w:t>
      </w:r>
      <w:r>
        <w:rPr>
          <w:rFonts w:ascii="Times New Roman" w:hAnsi="Times New Roman" w:cs="Times New Roman"/>
          <w:sz w:val="24"/>
          <w:szCs w:val="24"/>
        </w:rPr>
        <w:fldChar w:fldCharType="end"/>
      </w:r>
      <w:r>
        <w:rPr>
          <w:rFonts w:ascii="Times New Roman" w:hAnsi="Times New Roman" w:cs="Times New Roman"/>
          <w:sz w:val="24"/>
          <w:szCs w:val="24"/>
        </w:rPr>
        <w:t xml:space="preserve"> show the comparison between experimental and computational results for some selected thermocouples. Here the first relevant changes with respect to case ADP10 can be spotted. TC2 and TC12 </w:t>
      </w:r>
      <w:proofErr w:type="gramStart"/>
      <w:r>
        <w:rPr>
          <w:rFonts w:ascii="Times New Roman" w:hAnsi="Times New Roman" w:cs="Times New Roman"/>
          <w:sz w:val="24"/>
          <w:szCs w:val="24"/>
        </w:rPr>
        <w:t>are located in</w:t>
      </w:r>
      <w:proofErr w:type="gramEnd"/>
      <w:r>
        <w:rPr>
          <w:rFonts w:ascii="Times New Roman" w:hAnsi="Times New Roman" w:cs="Times New Roman"/>
          <w:sz w:val="24"/>
          <w:szCs w:val="24"/>
        </w:rPr>
        <w:t xml:space="preserve"> stead in the centre of the FPS at section A and C, respectively and they experience way larger temperatures with respect to TC4 and TC12 which are located instead at the very same section but in the periphery, in a</w:t>
      </w:r>
      <w:r w:rsidR="0044570D">
        <w:rPr>
          <w:rFonts w:ascii="Times New Roman" w:hAnsi="Times New Roman" w:cs="Times New Roman"/>
          <w:sz w:val="24"/>
          <w:szCs w:val="24"/>
        </w:rPr>
        <w:t xml:space="preserve"> channel which is not heated. This is indeed coherent with the imposed conditions and represents one of the advantages of using coupled STH/CFD codes with respect to STH codes stand-alone applications, as this differentiation between centre and periphery could not be experienced by a STH code.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851C8" w14:paraId="64385268" w14:textId="77777777" w:rsidTr="00610A3C">
        <w:tc>
          <w:tcPr>
            <w:tcW w:w="4508" w:type="dxa"/>
          </w:tcPr>
          <w:p w14:paraId="4EBAB0B1" w14:textId="77777777" w:rsidR="00EC6147" w:rsidRDefault="005851C8" w:rsidP="00EC6147">
            <w:pPr>
              <w:keepNext/>
              <w:spacing w:line="360" w:lineRule="auto"/>
              <w:jc w:val="both"/>
            </w:pPr>
            <w:r>
              <w:rPr>
                <w:rFonts w:ascii="Times New Roman" w:hAnsi="Times New Roman" w:cs="Times New Roman"/>
                <w:noProof/>
                <w:sz w:val="24"/>
                <w:szCs w:val="24"/>
              </w:rPr>
              <w:lastRenderedPageBreak/>
              <w:drawing>
                <wp:inline distT="0" distB="0" distL="0" distR="0" wp14:anchorId="3649A6AB" wp14:editId="504AD504">
                  <wp:extent cx="2700000" cy="1764000"/>
                  <wp:effectExtent l="0" t="0" r="5715" b="8255"/>
                  <wp:docPr id="1630497546"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0D02015F" w14:textId="16EB9ED6" w:rsidR="005851C8" w:rsidRDefault="00EC6147" w:rsidP="00EC6147">
            <w:pPr>
              <w:pStyle w:val="Didascalia"/>
              <w:jc w:val="both"/>
              <w:rPr>
                <w:rFonts w:ascii="Times New Roman" w:hAnsi="Times New Roman" w:cs="Times New Roman"/>
                <w:sz w:val="24"/>
                <w:szCs w:val="24"/>
              </w:rPr>
            </w:pPr>
            <w:bookmarkStart w:id="17" w:name="_Ref207017708"/>
            <w:r>
              <w:t xml:space="preserve">Figure 11. </w:t>
            </w:r>
            <w:r>
              <w:fldChar w:fldCharType="begin"/>
            </w:r>
            <w:r>
              <w:instrText xml:space="preserve"> SEQ Figure_11. \* ARABIC </w:instrText>
            </w:r>
            <w:r>
              <w:fldChar w:fldCharType="separate"/>
            </w:r>
            <w:r w:rsidR="005248B3">
              <w:rPr>
                <w:noProof/>
              </w:rPr>
              <w:t>23</w:t>
            </w:r>
            <w:r>
              <w:rPr>
                <w:noProof/>
              </w:rPr>
              <w:fldChar w:fldCharType="end"/>
            </w:r>
            <w:bookmarkEnd w:id="17"/>
            <w:r w:rsidR="00654751">
              <w:rPr>
                <w:noProof/>
              </w:rPr>
              <w:t xml:space="preserve"> ADP06 – Experimental and Calculated FPS Bulk TC2 temperature time trends</w:t>
            </w:r>
          </w:p>
        </w:tc>
        <w:tc>
          <w:tcPr>
            <w:tcW w:w="4508" w:type="dxa"/>
          </w:tcPr>
          <w:p w14:paraId="0755768D"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2C632F6F" wp14:editId="44A1923C">
                  <wp:extent cx="2700000" cy="1764000"/>
                  <wp:effectExtent l="0" t="0" r="5715" b="8255"/>
                  <wp:docPr id="1332780426"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20FB4FFD" w14:textId="27213DF0" w:rsidR="005851C8"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24</w:t>
            </w:r>
            <w:r>
              <w:rPr>
                <w:noProof/>
              </w:rPr>
              <w:fldChar w:fldCharType="end"/>
            </w:r>
            <w:r w:rsidR="00654751">
              <w:rPr>
                <w:noProof/>
              </w:rPr>
              <w:t xml:space="preserve"> ADP06 – Experimental and Calculated FPS Bulk TC12 temperature time trends</w:t>
            </w:r>
          </w:p>
        </w:tc>
      </w:tr>
      <w:tr w:rsidR="005851C8" w14:paraId="08B99B03" w14:textId="77777777" w:rsidTr="00610A3C">
        <w:tc>
          <w:tcPr>
            <w:tcW w:w="4508" w:type="dxa"/>
          </w:tcPr>
          <w:p w14:paraId="293F5F6D"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6BBAA9B6" wp14:editId="58515E75">
                  <wp:extent cx="2700000" cy="1764000"/>
                  <wp:effectExtent l="0" t="0" r="5715" b="8255"/>
                  <wp:docPr id="1393016694"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5FBE5425" w14:textId="49FEC992" w:rsidR="005851C8"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25</w:t>
            </w:r>
            <w:r>
              <w:rPr>
                <w:noProof/>
              </w:rPr>
              <w:fldChar w:fldCharType="end"/>
            </w:r>
            <w:r w:rsidR="00654751">
              <w:rPr>
                <w:noProof/>
              </w:rPr>
              <w:t xml:space="preserve"> ADP06 – Experimental and Calculated FPS Bulk TC4 temperature time trends</w:t>
            </w:r>
          </w:p>
        </w:tc>
        <w:tc>
          <w:tcPr>
            <w:tcW w:w="4508" w:type="dxa"/>
          </w:tcPr>
          <w:p w14:paraId="6D1C5830"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340E919D" wp14:editId="2C692230">
                  <wp:extent cx="2700000" cy="1764000"/>
                  <wp:effectExtent l="0" t="0" r="5715" b="8255"/>
                  <wp:docPr id="1050564826"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23AEECA7" w14:textId="41E972C5" w:rsidR="005851C8" w:rsidRDefault="00EC6147" w:rsidP="00EC6147">
            <w:pPr>
              <w:pStyle w:val="Didascalia"/>
              <w:jc w:val="both"/>
              <w:rPr>
                <w:rFonts w:ascii="Times New Roman" w:hAnsi="Times New Roman" w:cs="Times New Roman"/>
                <w:sz w:val="24"/>
                <w:szCs w:val="24"/>
              </w:rPr>
            </w:pPr>
            <w:bookmarkStart w:id="18" w:name="_Ref207017710"/>
            <w:r>
              <w:t xml:space="preserve">Figure 11. </w:t>
            </w:r>
            <w:r>
              <w:fldChar w:fldCharType="begin"/>
            </w:r>
            <w:r>
              <w:instrText xml:space="preserve"> SEQ Figure_11. \* ARABIC </w:instrText>
            </w:r>
            <w:r>
              <w:fldChar w:fldCharType="separate"/>
            </w:r>
            <w:r w:rsidR="005248B3">
              <w:rPr>
                <w:noProof/>
              </w:rPr>
              <w:t>26</w:t>
            </w:r>
            <w:r>
              <w:rPr>
                <w:noProof/>
              </w:rPr>
              <w:fldChar w:fldCharType="end"/>
            </w:r>
            <w:bookmarkEnd w:id="18"/>
            <w:r w:rsidR="00654751">
              <w:rPr>
                <w:noProof/>
              </w:rPr>
              <w:t xml:space="preserve"> ADP06 – Experimental and Calculated FPS Bulk TC12 temperature time trends</w:t>
            </w:r>
          </w:p>
        </w:tc>
      </w:tr>
    </w:tbl>
    <w:p w14:paraId="3C71E6BE" w14:textId="77777777" w:rsidR="008D28CC" w:rsidRDefault="008D28CC" w:rsidP="0044570D">
      <w:pPr>
        <w:spacing w:line="360" w:lineRule="auto"/>
        <w:rPr>
          <w:rFonts w:ascii="Times New Roman" w:hAnsi="Times New Roman" w:cs="Times New Roman"/>
          <w:sz w:val="24"/>
          <w:szCs w:val="24"/>
        </w:rPr>
      </w:pPr>
    </w:p>
    <w:p w14:paraId="3CB09D5B" w14:textId="3CA1105B" w:rsidR="0044570D" w:rsidRDefault="0044570D" w:rsidP="0044570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_Ref207017944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t xml:space="preserve">Figure 11. </w:t>
      </w:r>
      <w:r w:rsidR="005248B3">
        <w:rPr>
          <w:noProof/>
        </w:rPr>
        <w:t>27</w:t>
      </w:r>
      <w:r>
        <w:rPr>
          <w:rFonts w:ascii="Times New Roman" w:hAnsi="Times New Roman" w:cs="Times New Roman"/>
          <w:sz w:val="24"/>
          <w:szCs w:val="24"/>
        </w:rPr>
        <w:fldChar w:fldCharType="end"/>
      </w:r>
      <w:r>
        <w:rPr>
          <w:rFonts w:ascii="Times New Roman" w:hAnsi="Times New Roman" w:cs="Times New Roman"/>
          <w:sz w:val="24"/>
          <w:szCs w:val="24"/>
        </w:rPr>
        <w:t xml:space="preserve"> to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_Ref207017947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t xml:space="preserve">Figure 11. </w:t>
      </w:r>
      <w:r w:rsidR="005248B3">
        <w:rPr>
          <w:noProof/>
        </w:rPr>
        <w:t>30</w:t>
      </w:r>
      <w:r>
        <w:rPr>
          <w:rFonts w:ascii="Times New Roman" w:hAnsi="Times New Roman" w:cs="Times New Roman"/>
          <w:sz w:val="24"/>
          <w:szCs w:val="24"/>
        </w:rPr>
        <w:fldChar w:fldCharType="end"/>
      </w:r>
      <w:r>
        <w:rPr>
          <w:rFonts w:ascii="Times New Roman" w:hAnsi="Times New Roman" w:cs="Times New Roman"/>
          <w:sz w:val="24"/>
          <w:szCs w:val="24"/>
        </w:rPr>
        <w:t xml:space="preserve"> report instead about the comparison between measured and computational values for some selected wall thermocouples. Conclusions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the ones drawn for the bulk thermocouples can be repeated for this case. TC55 and TC67 are indeed located on one of the central heated rods, while TC21 and TC51 </w:t>
      </w:r>
      <w:proofErr w:type="gramStart"/>
      <w:r>
        <w:rPr>
          <w:rFonts w:ascii="Times New Roman" w:hAnsi="Times New Roman" w:cs="Times New Roman"/>
          <w:sz w:val="24"/>
          <w:szCs w:val="24"/>
        </w:rPr>
        <w:t>are located in</w:t>
      </w:r>
      <w:proofErr w:type="gramEnd"/>
      <w:r>
        <w:rPr>
          <w:rFonts w:ascii="Times New Roman" w:hAnsi="Times New Roman" w:cs="Times New Roman"/>
          <w:sz w:val="24"/>
          <w:szCs w:val="24"/>
        </w:rPr>
        <w:t xml:space="preserve"> one of the unheated rods. The differences between heated and unheated locations becomes here, coherently, more pronounced with respect to the bulk thermocouples.</w:t>
      </w:r>
    </w:p>
    <w:p w14:paraId="3B1719C3" w14:textId="4508A740" w:rsidR="0044570D" w:rsidRDefault="0044570D" w:rsidP="004457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Generally speaking, very good results were again achieved. Some discrepancies were spotted in the first part of the transient especially for </w:t>
      </w:r>
      <w:proofErr w:type="spellStart"/>
      <w:r>
        <w:rPr>
          <w:rFonts w:ascii="Times New Roman" w:hAnsi="Times New Roman" w:cs="Times New Roman"/>
          <w:sz w:val="24"/>
          <w:szCs w:val="24"/>
        </w:rPr>
        <w:t>UniPi</w:t>
      </w:r>
      <w:proofErr w:type="spellEnd"/>
      <w:r>
        <w:rPr>
          <w:rFonts w:ascii="Times New Roman" w:hAnsi="Times New Roman" w:cs="Times New Roman"/>
          <w:sz w:val="24"/>
          <w:szCs w:val="24"/>
        </w:rPr>
        <w:t xml:space="preserve"> owing to the mentioned difficulties in replicating the experimental mass flow rate. XJTU results seem deviating from the others, it is speculated that some incomprehension’s regarding the location of the thermocouples or miss-positioning of the sampling points in the CFD domain occurred.</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D28CC" w14:paraId="1A782AD4" w14:textId="77777777" w:rsidTr="00610A3C">
        <w:tc>
          <w:tcPr>
            <w:tcW w:w="4508" w:type="dxa"/>
          </w:tcPr>
          <w:p w14:paraId="22975221" w14:textId="77777777" w:rsidR="00EC6147" w:rsidRDefault="008D28CC" w:rsidP="00EC6147">
            <w:pPr>
              <w:keepNext/>
              <w:spacing w:line="360" w:lineRule="auto"/>
              <w:jc w:val="both"/>
            </w:pPr>
            <w:r>
              <w:rPr>
                <w:rFonts w:ascii="Times New Roman" w:hAnsi="Times New Roman" w:cs="Times New Roman"/>
                <w:noProof/>
                <w:sz w:val="24"/>
                <w:szCs w:val="24"/>
              </w:rPr>
              <w:lastRenderedPageBreak/>
              <w:drawing>
                <wp:inline distT="0" distB="0" distL="0" distR="0" wp14:anchorId="1D4BE798" wp14:editId="31F202FB">
                  <wp:extent cx="2700000" cy="1764000"/>
                  <wp:effectExtent l="0" t="0" r="5715" b="8255"/>
                  <wp:docPr id="1290548433"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67FDF151" w14:textId="49B0E4F0" w:rsidR="008D28CC" w:rsidRDefault="00EC6147" w:rsidP="00EC6147">
            <w:pPr>
              <w:pStyle w:val="Didascalia"/>
              <w:jc w:val="both"/>
              <w:rPr>
                <w:rFonts w:ascii="Times New Roman" w:hAnsi="Times New Roman" w:cs="Times New Roman"/>
                <w:sz w:val="24"/>
                <w:szCs w:val="24"/>
              </w:rPr>
            </w:pPr>
            <w:bookmarkStart w:id="19" w:name="_Ref207017944"/>
            <w:r>
              <w:t xml:space="preserve">Figure 11. </w:t>
            </w:r>
            <w:r>
              <w:fldChar w:fldCharType="begin"/>
            </w:r>
            <w:r>
              <w:instrText xml:space="preserve"> SEQ Figure_11. \* ARABIC </w:instrText>
            </w:r>
            <w:r>
              <w:fldChar w:fldCharType="separate"/>
            </w:r>
            <w:r w:rsidR="005248B3">
              <w:rPr>
                <w:noProof/>
              </w:rPr>
              <w:t>27</w:t>
            </w:r>
            <w:r>
              <w:rPr>
                <w:noProof/>
              </w:rPr>
              <w:fldChar w:fldCharType="end"/>
            </w:r>
            <w:bookmarkEnd w:id="19"/>
            <w:r w:rsidR="00654751">
              <w:rPr>
                <w:noProof/>
              </w:rPr>
              <w:t xml:space="preserve"> ADP06 – Experimental and Calculated FPS Wall TC25 temperature time trends</w:t>
            </w:r>
          </w:p>
        </w:tc>
        <w:tc>
          <w:tcPr>
            <w:tcW w:w="4508" w:type="dxa"/>
          </w:tcPr>
          <w:p w14:paraId="0F56D562"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378D13C1" wp14:editId="58E3B05F">
                  <wp:extent cx="2700000" cy="1764000"/>
                  <wp:effectExtent l="0" t="0" r="5715" b="8255"/>
                  <wp:docPr id="1993061706"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141F93DC" w14:textId="0C80B365" w:rsidR="008D28CC"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28</w:t>
            </w:r>
            <w:r>
              <w:rPr>
                <w:noProof/>
              </w:rPr>
              <w:fldChar w:fldCharType="end"/>
            </w:r>
            <w:r w:rsidR="00654751">
              <w:rPr>
                <w:noProof/>
              </w:rPr>
              <w:t xml:space="preserve"> ADP06 – Experimental and Calculated FPS Wall TC51 temperature time trends</w:t>
            </w:r>
          </w:p>
        </w:tc>
      </w:tr>
      <w:tr w:rsidR="008D28CC" w14:paraId="4E2569B2" w14:textId="77777777" w:rsidTr="00610A3C">
        <w:tc>
          <w:tcPr>
            <w:tcW w:w="4508" w:type="dxa"/>
          </w:tcPr>
          <w:p w14:paraId="01363D3B"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6A603FEA" wp14:editId="15D2F3E7">
                  <wp:extent cx="2700000" cy="1764000"/>
                  <wp:effectExtent l="0" t="0" r="5715" b="8255"/>
                  <wp:docPr id="1197153253"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0F0FBA92" w14:textId="2DA6C795" w:rsidR="008D28CC"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29</w:t>
            </w:r>
            <w:r>
              <w:rPr>
                <w:noProof/>
              </w:rPr>
              <w:fldChar w:fldCharType="end"/>
            </w:r>
            <w:r w:rsidR="00654751">
              <w:rPr>
                <w:noProof/>
              </w:rPr>
              <w:t xml:space="preserve"> ADP06 – Experimental and Calculated FPS Wall TC55 temperature time trends</w:t>
            </w:r>
          </w:p>
        </w:tc>
        <w:tc>
          <w:tcPr>
            <w:tcW w:w="4508" w:type="dxa"/>
          </w:tcPr>
          <w:p w14:paraId="5A83277B"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3BE879B3" wp14:editId="358DA3D5">
                  <wp:extent cx="2700000" cy="1764000"/>
                  <wp:effectExtent l="0" t="0" r="5715" b="8255"/>
                  <wp:docPr id="709948535"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69752550" w14:textId="660497F5" w:rsidR="008D28CC" w:rsidRDefault="00EC6147" w:rsidP="00EC6147">
            <w:pPr>
              <w:pStyle w:val="Didascalia"/>
              <w:jc w:val="both"/>
              <w:rPr>
                <w:rFonts w:ascii="Times New Roman" w:hAnsi="Times New Roman" w:cs="Times New Roman"/>
                <w:sz w:val="24"/>
                <w:szCs w:val="24"/>
              </w:rPr>
            </w:pPr>
            <w:bookmarkStart w:id="20" w:name="_Ref207017947"/>
            <w:r>
              <w:t xml:space="preserve">Figure 11. </w:t>
            </w:r>
            <w:r>
              <w:fldChar w:fldCharType="begin"/>
            </w:r>
            <w:r>
              <w:instrText xml:space="preserve"> SEQ Figure_11. \* ARABIC </w:instrText>
            </w:r>
            <w:r>
              <w:fldChar w:fldCharType="separate"/>
            </w:r>
            <w:r w:rsidR="005248B3">
              <w:rPr>
                <w:noProof/>
              </w:rPr>
              <w:t>30</w:t>
            </w:r>
            <w:r>
              <w:rPr>
                <w:noProof/>
              </w:rPr>
              <w:fldChar w:fldCharType="end"/>
            </w:r>
            <w:bookmarkEnd w:id="20"/>
            <w:r w:rsidR="00654751">
              <w:rPr>
                <w:noProof/>
              </w:rPr>
              <w:t xml:space="preserve"> ADP06 – Experimental and Calculated FPS Wall TC67 temperature time trends</w:t>
            </w:r>
          </w:p>
        </w:tc>
      </w:tr>
    </w:tbl>
    <w:p w14:paraId="5A68176D" w14:textId="77777777" w:rsidR="008D28CC" w:rsidRDefault="008D28CC" w:rsidP="0044570D">
      <w:pPr>
        <w:spacing w:line="360" w:lineRule="auto"/>
        <w:rPr>
          <w:rFonts w:ascii="Times New Roman" w:hAnsi="Times New Roman" w:cs="Times New Roman"/>
          <w:sz w:val="24"/>
          <w:szCs w:val="24"/>
        </w:rPr>
      </w:pPr>
    </w:p>
    <w:p w14:paraId="1857682E" w14:textId="1933182E" w:rsidR="008D28CC" w:rsidRPr="00D70416" w:rsidRDefault="008D28CC" w:rsidP="00D70416">
      <w:pPr>
        <w:pStyle w:val="Paragrafoelenco"/>
        <w:numPr>
          <w:ilvl w:val="2"/>
          <w:numId w:val="2"/>
        </w:numPr>
        <w:spacing w:line="360" w:lineRule="auto"/>
        <w:rPr>
          <w:rFonts w:ascii="Times New Roman" w:hAnsi="Times New Roman" w:cs="Times New Roman"/>
          <w:sz w:val="28"/>
          <w:szCs w:val="28"/>
        </w:rPr>
      </w:pPr>
      <w:r w:rsidRPr="00D70416">
        <w:rPr>
          <w:rFonts w:ascii="Times New Roman" w:hAnsi="Times New Roman" w:cs="Times New Roman"/>
          <w:sz w:val="28"/>
          <w:szCs w:val="28"/>
        </w:rPr>
        <w:t>Blind Calculations</w:t>
      </w:r>
    </w:p>
    <w:p w14:paraId="3B3EA53F" w14:textId="21731A34" w:rsidR="00D20574" w:rsidRDefault="00662303" w:rsidP="0066230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blind case </w:t>
      </w:r>
      <w:r w:rsidR="00D20574" w:rsidRPr="00D20574">
        <w:rPr>
          <w:rFonts w:ascii="Times New Roman" w:hAnsi="Times New Roman" w:cs="Times New Roman"/>
          <w:sz w:val="24"/>
          <w:szCs w:val="24"/>
        </w:rPr>
        <w:t>ADP07</w:t>
      </w:r>
      <w:r>
        <w:rPr>
          <w:rFonts w:ascii="Times New Roman" w:hAnsi="Times New Roman" w:cs="Times New Roman"/>
          <w:sz w:val="24"/>
          <w:szCs w:val="24"/>
        </w:rPr>
        <w:t xml:space="preserve"> proved to be the most challenging case, not only for it being indeed blind, but because of the presence of a single heated sector of the FPS which showed some limits for the CFD application in dealing with the complex </w:t>
      </w:r>
      <w:proofErr w:type="gramStart"/>
      <w:r>
        <w:rPr>
          <w:rFonts w:ascii="Times New Roman" w:hAnsi="Times New Roman" w:cs="Times New Roman"/>
          <w:sz w:val="24"/>
          <w:szCs w:val="24"/>
        </w:rPr>
        <w:t>cross-flows</w:t>
      </w:r>
      <w:proofErr w:type="gramEnd"/>
      <w:r>
        <w:rPr>
          <w:rFonts w:ascii="Times New Roman" w:hAnsi="Times New Roman" w:cs="Times New Roman"/>
          <w:sz w:val="24"/>
          <w:szCs w:val="24"/>
        </w:rPr>
        <w:t xml:space="preserve"> induced by the presence of the wrapped wires. </w:t>
      </w:r>
      <w:r w:rsidR="009E4C42">
        <w:rPr>
          <w:rFonts w:ascii="Times New Roman" w:hAnsi="Times New Roman" w:cs="Times New Roman"/>
          <w:sz w:val="24"/>
          <w:szCs w:val="24"/>
        </w:rPr>
        <w:t>This aspect was deeply investigated in WP2, its consequences are experienced even in WP4, nevertheless here the comparison will mainly focus on the time domain instead than in the space domain.</w:t>
      </w:r>
    </w:p>
    <w:p w14:paraId="22B0E138" w14:textId="2BD47DFF" w:rsidR="008D28CC" w:rsidRDefault="009E69B5" w:rsidP="009E69B5">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_Ref207022073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31</w:t>
      </w:r>
      <w:r>
        <w:rPr>
          <w:rFonts w:ascii="Times New Roman" w:hAnsi="Times New Roman" w:cs="Times New Roman"/>
          <w:sz w:val="24"/>
          <w:szCs w:val="24"/>
        </w:rPr>
        <w:fldChar w:fldCharType="end"/>
      </w:r>
      <w:r>
        <w:rPr>
          <w:rFonts w:ascii="Times New Roman" w:hAnsi="Times New Roman" w:cs="Times New Roman"/>
          <w:sz w:val="24"/>
          <w:szCs w:val="24"/>
        </w:rPr>
        <w:t xml:space="preserve"> reports about the comparison between the experimental results and the computational values. As it can be observed almost all the participants managed to reproduce the final steady-state values, where only natural circulation occurs. More difficulties were reported for the initial steady state, when the impact of the already mentioned issues in modelling the gas lift induce some inaccuracies. XJTU strongly underpredicted the mass flow rate for the </w:t>
      </w:r>
      <w:proofErr w:type="gramStart"/>
      <w:r>
        <w:rPr>
          <w:rFonts w:ascii="Times New Roman" w:hAnsi="Times New Roman" w:cs="Times New Roman"/>
          <w:sz w:val="24"/>
          <w:szCs w:val="24"/>
        </w:rPr>
        <w:t>whole time</w:t>
      </w:r>
      <w:proofErr w:type="gramEnd"/>
      <w:r>
        <w:rPr>
          <w:rFonts w:ascii="Times New Roman" w:hAnsi="Times New Roman" w:cs="Times New Roman"/>
          <w:sz w:val="24"/>
          <w:szCs w:val="24"/>
        </w:rPr>
        <w:t xml:space="preserve"> interval; it must be instead stressed that both IGCAR and NRG-PALLAS achieved very good results adopting a pump component and the gas lift approach </w:t>
      </w:r>
      <w:r>
        <w:rPr>
          <w:rFonts w:ascii="Times New Roman" w:hAnsi="Times New Roman" w:cs="Times New Roman"/>
          <w:sz w:val="24"/>
          <w:szCs w:val="24"/>
        </w:rPr>
        <w:lastRenderedPageBreak/>
        <w:t xml:space="preserve">respectively. In the former case the issues with gas lift are thus overcome avoiding introducing gas at all in the calculation, in the latter, a superior behaviour of SPECTRA with respect to the other adopted STH codes for this very topic is probably at the basis of the very good prediction results. Another possibility for the better results provided by NRG-PALLAS, yet to be proved with other applications, is the use of an overlapping coupling approach which allows the STH code to manage the whole loop without any hole in the </w:t>
      </w:r>
      <w:proofErr w:type="spellStart"/>
      <w:r>
        <w:rPr>
          <w:rFonts w:ascii="Times New Roman" w:hAnsi="Times New Roman" w:cs="Times New Roman"/>
          <w:sz w:val="24"/>
          <w:szCs w:val="24"/>
        </w:rPr>
        <w:t>nodalization</w:t>
      </w:r>
      <w:proofErr w:type="spellEnd"/>
      <w:r>
        <w:rPr>
          <w:rFonts w:ascii="Times New Roman" w:hAnsi="Times New Roman" w:cs="Times New Roman"/>
          <w:sz w:val="24"/>
          <w:szCs w:val="24"/>
        </w:rPr>
        <w:t>.</w:t>
      </w:r>
    </w:p>
    <w:p w14:paraId="74F830AC" w14:textId="77777777" w:rsidR="00EC6147" w:rsidRDefault="008D28CC" w:rsidP="00EC6147">
      <w:pPr>
        <w:keepNext/>
        <w:spacing w:line="360" w:lineRule="auto"/>
        <w:jc w:val="center"/>
      </w:pPr>
      <w:r>
        <w:rPr>
          <w:rFonts w:ascii="Times New Roman" w:hAnsi="Times New Roman" w:cs="Times New Roman"/>
          <w:noProof/>
          <w:sz w:val="24"/>
          <w:szCs w:val="24"/>
        </w:rPr>
        <w:drawing>
          <wp:inline distT="0" distB="0" distL="0" distR="0" wp14:anchorId="2D9937D6" wp14:editId="412E0065">
            <wp:extent cx="4406400" cy="2880000"/>
            <wp:effectExtent l="0" t="0" r="0" b="0"/>
            <wp:docPr id="31757773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06400" cy="2880000"/>
                    </a:xfrm>
                    <a:prstGeom prst="rect">
                      <a:avLst/>
                    </a:prstGeom>
                    <a:noFill/>
                  </pic:spPr>
                </pic:pic>
              </a:graphicData>
            </a:graphic>
          </wp:inline>
        </w:drawing>
      </w:r>
    </w:p>
    <w:p w14:paraId="6F27D29B" w14:textId="522E9034" w:rsidR="008D28CC" w:rsidRDefault="00EC6147" w:rsidP="006D0D11">
      <w:pPr>
        <w:pStyle w:val="Didascalia"/>
        <w:jc w:val="center"/>
        <w:rPr>
          <w:noProof/>
        </w:rPr>
      </w:pPr>
      <w:bookmarkStart w:id="21" w:name="_Ref207022073"/>
      <w:r>
        <w:t xml:space="preserve">Figure 11. </w:t>
      </w:r>
      <w:r>
        <w:fldChar w:fldCharType="begin"/>
      </w:r>
      <w:r>
        <w:instrText xml:space="preserve"> SEQ Figure_11. \* ARABIC </w:instrText>
      </w:r>
      <w:r>
        <w:fldChar w:fldCharType="separate"/>
      </w:r>
      <w:r w:rsidR="005248B3">
        <w:rPr>
          <w:noProof/>
        </w:rPr>
        <w:t>31</w:t>
      </w:r>
      <w:r>
        <w:rPr>
          <w:noProof/>
        </w:rPr>
        <w:fldChar w:fldCharType="end"/>
      </w:r>
      <w:bookmarkEnd w:id="21"/>
      <w:r w:rsidR="00654751">
        <w:rPr>
          <w:noProof/>
        </w:rPr>
        <w:t xml:space="preserve"> ADP07 – Experimental and Calculated Mass flow rate time trends</w:t>
      </w:r>
    </w:p>
    <w:p w14:paraId="45E85035" w14:textId="77777777" w:rsidR="006D0D11" w:rsidRPr="006D0D11" w:rsidRDefault="006D0D11" w:rsidP="006D0D11"/>
    <w:p w14:paraId="16B5E496" w14:textId="5C4C9331" w:rsidR="009E69B5" w:rsidRDefault="009E69B5" w:rsidP="008D28CC">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_Ref207022479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32</w:t>
      </w:r>
      <w:r>
        <w:rPr>
          <w:rFonts w:ascii="Times New Roman" w:hAnsi="Times New Roman" w:cs="Times New Roman"/>
          <w:sz w:val="24"/>
          <w:szCs w:val="24"/>
        </w:rPr>
        <w:fldChar w:fldCharType="end"/>
      </w:r>
      <w:r>
        <w:rPr>
          <w:rFonts w:ascii="Times New Roman" w:hAnsi="Times New Roman" w:cs="Times New Roman"/>
          <w:sz w:val="24"/>
          <w:szCs w:val="24"/>
        </w:rPr>
        <w:t xml:space="preserve"> to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_Ref207022482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37</w:t>
      </w:r>
      <w:r>
        <w:rPr>
          <w:rFonts w:ascii="Times New Roman" w:hAnsi="Times New Roman" w:cs="Times New Roman"/>
          <w:sz w:val="24"/>
          <w:szCs w:val="24"/>
        </w:rPr>
        <w:fldChar w:fldCharType="end"/>
      </w:r>
      <w:r>
        <w:rPr>
          <w:rFonts w:ascii="Times New Roman" w:hAnsi="Times New Roman" w:cs="Times New Roman"/>
          <w:sz w:val="24"/>
          <w:szCs w:val="24"/>
        </w:rPr>
        <w:t xml:space="preserve"> report about the comparison of the temperature trends predicted at measured at the instrumented locations along the loop.</w:t>
      </w:r>
      <w:r w:rsidR="00925AF7">
        <w:rPr>
          <w:rFonts w:ascii="Times New Roman" w:hAnsi="Times New Roman" w:cs="Times New Roman"/>
          <w:sz w:val="24"/>
          <w:szCs w:val="24"/>
        </w:rPr>
        <w:t xml:space="preserve"> Generally speaking, very good predictions were obtained by all the participants for all the thermocouples: particularly, the best results were provided by NRG-PALLAS, mainly owing to the very good prediction of the mass flow rate trend. On the other hand, </w:t>
      </w:r>
      <w:proofErr w:type="spellStart"/>
      <w:r w:rsidR="00925AF7">
        <w:rPr>
          <w:rFonts w:ascii="Times New Roman" w:hAnsi="Times New Roman" w:cs="Times New Roman"/>
          <w:sz w:val="24"/>
          <w:szCs w:val="24"/>
        </w:rPr>
        <w:t>UniPi</w:t>
      </w:r>
      <w:proofErr w:type="spellEnd"/>
      <w:r w:rsidR="00925AF7">
        <w:rPr>
          <w:rFonts w:ascii="Times New Roman" w:hAnsi="Times New Roman" w:cs="Times New Roman"/>
          <w:sz w:val="24"/>
          <w:szCs w:val="24"/>
        </w:rPr>
        <w:t xml:space="preserve"> and XJTU overestimated the temperature values at TP102 at the beginning of the transient </w:t>
      </w:r>
      <w:proofErr w:type="gramStart"/>
      <w:r w:rsidR="00925AF7">
        <w:rPr>
          <w:rFonts w:ascii="Times New Roman" w:hAnsi="Times New Roman" w:cs="Times New Roman"/>
          <w:sz w:val="24"/>
          <w:szCs w:val="24"/>
        </w:rPr>
        <w:t>as a consequence of</w:t>
      </w:r>
      <w:proofErr w:type="gramEnd"/>
      <w:r w:rsidR="00925AF7">
        <w:rPr>
          <w:rFonts w:ascii="Times New Roman" w:hAnsi="Times New Roman" w:cs="Times New Roman"/>
          <w:sz w:val="24"/>
          <w:szCs w:val="24"/>
        </w:rPr>
        <w:t xml:space="preserve"> the calculated very small mass flow rate in that time interval.</w:t>
      </w:r>
    </w:p>
    <w:p w14:paraId="2ED7465A" w14:textId="6DE23E74" w:rsidR="00CA4837" w:rsidRDefault="00925AF7" w:rsidP="008D28C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Good capabilities were reported also for the FPS bulk temperatures for which a comparison between numerical and experimental results is reported in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_Ref207023510 \h </w:instrText>
      </w:r>
      <w:r>
        <w:rPr>
          <w:rFonts w:ascii="Times New Roman" w:hAnsi="Times New Roman" w:cs="Times New Roman"/>
          <w:sz w:val="24"/>
          <w:szCs w:val="24"/>
        </w:rPr>
      </w:r>
      <w:r w:rsidR="0030384B">
        <w:rPr>
          <w:rFonts w:ascii="Times New Roman" w:hAnsi="Times New Roman" w:cs="Times New Roman"/>
          <w:sz w:val="24"/>
          <w:szCs w:val="24"/>
        </w:rPr>
        <w:instrText xml:space="preserve"> \* MERGEFORMAT </w:instrText>
      </w:r>
      <w:r>
        <w:rPr>
          <w:rFonts w:ascii="Times New Roman" w:hAnsi="Times New Roman" w:cs="Times New Roman"/>
          <w:sz w:val="24"/>
          <w:szCs w:val="24"/>
        </w:rPr>
        <w:fldChar w:fldCharType="separate"/>
      </w:r>
      <w:r w:rsidR="005248B3" w:rsidRPr="0030384B">
        <w:rPr>
          <w:rFonts w:ascii="Times New Roman" w:hAnsi="Times New Roman" w:cs="Times New Roman"/>
          <w:sz w:val="24"/>
          <w:szCs w:val="24"/>
        </w:rPr>
        <w:t>Figure 11. 38</w:t>
      </w:r>
      <w:r>
        <w:rPr>
          <w:rFonts w:ascii="Times New Roman" w:hAnsi="Times New Roman" w:cs="Times New Roman"/>
          <w:sz w:val="24"/>
          <w:szCs w:val="24"/>
        </w:rPr>
        <w:fldChar w:fldCharType="end"/>
      </w:r>
      <w:r>
        <w:rPr>
          <w:rFonts w:ascii="Times New Roman" w:hAnsi="Times New Roman" w:cs="Times New Roman"/>
          <w:sz w:val="24"/>
          <w:szCs w:val="24"/>
        </w:rPr>
        <w:t xml:space="preserve"> to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_Ref207023512 \h </w:instrText>
      </w:r>
      <w:r>
        <w:rPr>
          <w:rFonts w:ascii="Times New Roman" w:hAnsi="Times New Roman" w:cs="Times New Roman"/>
          <w:sz w:val="24"/>
          <w:szCs w:val="24"/>
        </w:rPr>
      </w:r>
      <w:r w:rsidR="0030384B">
        <w:rPr>
          <w:rFonts w:ascii="Times New Roman" w:hAnsi="Times New Roman" w:cs="Times New Roman"/>
          <w:sz w:val="24"/>
          <w:szCs w:val="24"/>
        </w:rPr>
        <w:instrText xml:space="preserve"> \* MERGEFORMAT </w:instrText>
      </w:r>
      <w:r>
        <w:rPr>
          <w:rFonts w:ascii="Times New Roman" w:hAnsi="Times New Roman" w:cs="Times New Roman"/>
          <w:sz w:val="24"/>
          <w:szCs w:val="24"/>
        </w:rPr>
        <w:fldChar w:fldCharType="separate"/>
      </w:r>
      <w:r w:rsidR="005248B3" w:rsidRPr="0030384B">
        <w:rPr>
          <w:rFonts w:ascii="Times New Roman" w:hAnsi="Times New Roman" w:cs="Times New Roman"/>
          <w:sz w:val="24"/>
          <w:szCs w:val="24"/>
        </w:rPr>
        <w:t>Figure 11. 41</w:t>
      </w:r>
      <w:r>
        <w:rPr>
          <w:rFonts w:ascii="Times New Roman" w:hAnsi="Times New Roman" w:cs="Times New Roman"/>
          <w:sz w:val="24"/>
          <w:szCs w:val="24"/>
        </w:rPr>
        <w:fldChar w:fldCharType="end"/>
      </w:r>
      <w:r>
        <w:rPr>
          <w:rFonts w:ascii="Times New Roman" w:hAnsi="Times New Roman" w:cs="Times New Roman"/>
          <w:sz w:val="24"/>
          <w:szCs w:val="24"/>
        </w:rPr>
        <w:t xml:space="preserve">. Unlike the previous ADP10 and ADP06 cases, in ADP07 TC4 and TC14 </w:t>
      </w:r>
      <w:proofErr w:type="gramStart"/>
      <w:r>
        <w:rPr>
          <w:rFonts w:ascii="Times New Roman" w:hAnsi="Times New Roman" w:cs="Times New Roman"/>
          <w:sz w:val="24"/>
          <w:szCs w:val="24"/>
        </w:rPr>
        <w:t>are located in</w:t>
      </w:r>
      <w:proofErr w:type="gramEnd"/>
      <w:r>
        <w:rPr>
          <w:rFonts w:ascii="Times New Roman" w:hAnsi="Times New Roman" w:cs="Times New Roman"/>
          <w:sz w:val="24"/>
          <w:szCs w:val="24"/>
        </w:rPr>
        <w:t xml:space="preserve"> a heavily heated region while TC2 and TC12 are instead on the border between the heated and unheated section. </w:t>
      </w:r>
      <w:proofErr w:type="gramStart"/>
      <w:r>
        <w:rPr>
          <w:rFonts w:ascii="Times New Roman" w:hAnsi="Times New Roman" w:cs="Times New Roman"/>
          <w:sz w:val="24"/>
          <w:szCs w:val="24"/>
        </w:rPr>
        <w:t>As a consequence</w:t>
      </w:r>
      <w:proofErr w:type="gramEnd"/>
      <w:r>
        <w:rPr>
          <w:rFonts w:ascii="Times New Roman" w:hAnsi="Times New Roman" w:cs="Times New Roman"/>
          <w:sz w:val="24"/>
          <w:szCs w:val="24"/>
        </w:rPr>
        <w:t xml:space="preserve">, larger temperature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coherently predicted here and this is acknowledged by almost all the participant institutions.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D28CC" w14:paraId="7B190FA3" w14:textId="77777777" w:rsidTr="00610A3C">
        <w:tc>
          <w:tcPr>
            <w:tcW w:w="4508" w:type="dxa"/>
          </w:tcPr>
          <w:p w14:paraId="3A01C2A3" w14:textId="77777777" w:rsidR="00EC6147" w:rsidRDefault="008D28CC" w:rsidP="00EC6147">
            <w:pPr>
              <w:keepNext/>
              <w:spacing w:line="360" w:lineRule="auto"/>
              <w:jc w:val="both"/>
            </w:pPr>
            <w:r>
              <w:rPr>
                <w:rFonts w:ascii="Times New Roman" w:hAnsi="Times New Roman" w:cs="Times New Roman"/>
                <w:noProof/>
                <w:sz w:val="24"/>
                <w:szCs w:val="24"/>
              </w:rPr>
              <w:lastRenderedPageBreak/>
              <w:drawing>
                <wp:inline distT="0" distB="0" distL="0" distR="0" wp14:anchorId="425880B8" wp14:editId="58A4061F">
                  <wp:extent cx="2700000" cy="1764000"/>
                  <wp:effectExtent l="0" t="0" r="5715" b="8255"/>
                  <wp:docPr id="1979345543"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65C78256" w14:textId="65FF4EAF" w:rsidR="008D28CC" w:rsidRDefault="00EC6147" w:rsidP="00EC6147">
            <w:pPr>
              <w:pStyle w:val="Didascalia"/>
              <w:jc w:val="both"/>
              <w:rPr>
                <w:rFonts w:ascii="Times New Roman" w:hAnsi="Times New Roman" w:cs="Times New Roman"/>
                <w:sz w:val="24"/>
                <w:szCs w:val="24"/>
              </w:rPr>
            </w:pPr>
            <w:bookmarkStart w:id="22" w:name="_Ref207022479"/>
            <w:r>
              <w:t xml:space="preserve">Figure 11. </w:t>
            </w:r>
            <w:r>
              <w:fldChar w:fldCharType="begin"/>
            </w:r>
            <w:r>
              <w:instrText xml:space="preserve"> SEQ Figure_11. \* ARABIC </w:instrText>
            </w:r>
            <w:r>
              <w:fldChar w:fldCharType="separate"/>
            </w:r>
            <w:r w:rsidR="005248B3">
              <w:rPr>
                <w:noProof/>
              </w:rPr>
              <w:t>32</w:t>
            </w:r>
            <w:r>
              <w:rPr>
                <w:noProof/>
              </w:rPr>
              <w:fldChar w:fldCharType="end"/>
            </w:r>
            <w:bookmarkEnd w:id="22"/>
            <w:r w:rsidR="00654751">
              <w:rPr>
                <w:noProof/>
              </w:rPr>
              <w:t xml:space="preserve"> ADP07 – Experimental and Calculated TP101 temperature time trends</w:t>
            </w:r>
          </w:p>
        </w:tc>
        <w:tc>
          <w:tcPr>
            <w:tcW w:w="4508" w:type="dxa"/>
          </w:tcPr>
          <w:p w14:paraId="37C5911A"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58CBEE2F" wp14:editId="3B9B8758">
                  <wp:extent cx="2700000" cy="1764000"/>
                  <wp:effectExtent l="0" t="0" r="5715" b="8255"/>
                  <wp:docPr id="183331993"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31E00B2A" w14:textId="731239DD" w:rsidR="008D28CC"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33</w:t>
            </w:r>
            <w:r>
              <w:rPr>
                <w:noProof/>
              </w:rPr>
              <w:fldChar w:fldCharType="end"/>
            </w:r>
            <w:r w:rsidR="00654751">
              <w:rPr>
                <w:noProof/>
              </w:rPr>
              <w:t xml:space="preserve"> ADP07 – Experimental and Calculated TP102 temperature time trends</w:t>
            </w:r>
          </w:p>
        </w:tc>
      </w:tr>
      <w:tr w:rsidR="008D28CC" w14:paraId="4A1AD09B" w14:textId="77777777" w:rsidTr="00610A3C">
        <w:tc>
          <w:tcPr>
            <w:tcW w:w="4508" w:type="dxa"/>
          </w:tcPr>
          <w:p w14:paraId="5A84EA07"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445CAFD7" wp14:editId="3274883E">
                  <wp:extent cx="2700000" cy="1764000"/>
                  <wp:effectExtent l="0" t="0" r="5715" b="8255"/>
                  <wp:docPr id="1511242692"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0B79E810" w14:textId="526085D5" w:rsidR="008D28CC"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34</w:t>
            </w:r>
            <w:r>
              <w:rPr>
                <w:noProof/>
              </w:rPr>
              <w:fldChar w:fldCharType="end"/>
            </w:r>
            <w:r w:rsidR="00654751">
              <w:rPr>
                <w:noProof/>
              </w:rPr>
              <w:t xml:space="preserve"> ADP07 – Experimental and Calculated TP103 temperature time trends</w:t>
            </w:r>
          </w:p>
        </w:tc>
        <w:tc>
          <w:tcPr>
            <w:tcW w:w="4508" w:type="dxa"/>
          </w:tcPr>
          <w:p w14:paraId="2624DB36"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47E176AE" wp14:editId="5A315AC8">
                  <wp:extent cx="2700000" cy="1764000"/>
                  <wp:effectExtent l="0" t="0" r="5715" b="8255"/>
                  <wp:docPr id="905208408"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5EC86D6D" w14:textId="2597706E" w:rsidR="008D28CC"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35</w:t>
            </w:r>
            <w:r>
              <w:rPr>
                <w:noProof/>
              </w:rPr>
              <w:fldChar w:fldCharType="end"/>
            </w:r>
            <w:r w:rsidR="00654751">
              <w:rPr>
                <w:noProof/>
              </w:rPr>
              <w:t xml:space="preserve"> ADP07 – Experimental and Calculated TP104 temperature time trends</w:t>
            </w:r>
          </w:p>
        </w:tc>
      </w:tr>
      <w:tr w:rsidR="008D28CC" w14:paraId="1118CBE5" w14:textId="77777777" w:rsidTr="00610A3C">
        <w:tc>
          <w:tcPr>
            <w:tcW w:w="4508" w:type="dxa"/>
          </w:tcPr>
          <w:p w14:paraId="5D45486C"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690CDDA3" wp14:editId="3F1D1813">
                  <wp:extent cx="2700000" cy="1764000"/>
                  <wp:effectExtent l="0" t="0" r="5715" b="8255"/>
                  <wp:docPr id="294240537"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01C19444" w14:textId="289E48A0" w:rsidR="008D28CC"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36</w:t>
            </w:r>
            <w:r>
              <w:rPr>
                <w:noProof/>
              </w:rPr>
              <w:fldChar w:fldCharType="end"/>
            </w:r>
            <w:r w:rsidR="00654751">
              <w:rPr>
                <w:noProof/>
              </w:rPr>
              <w:t xml:space="preserve"> ADP07 – Experimental and Calculated TP105 temperature time trends</w:t>
            </w:r>
          </w:p>
        </w:tc>
        <w:tc>
          <w:tcPr>
            <w:tcW w:w="4508" w:type="dxa"/>
          </w:tcPr>
          <w:p w14:paraId="7B5C8809"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38EAFDB2" wp14:editId="66F77A56">
                  <wp:extent cx="2700000" cy="1764000"/>
                  <wp:effectExtent l="0" t="0" r="5715" b="8255"/>
                  <wp:docPr id="194021201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7A61B2E4" w14:textId="05ECDD9B" w:rsidR="008D28CC" w:rsidRDefault="00EC6147" w:rsidP="00EC6147">
            <w:pPr>
              <w:pStyle w:val="Didascalia"/>
              <w:jc w:val="both"/>
              <w:rPr>
                <w:rFonts w:ascii="Times New Roman" w:hAnsi="Times New Roman" w:cs="Times New Roman"/>
                <w:sz w:val="24"/>
                <w:szCs w:val="24"/>
              </w:rPr>
            </w:pPr>
            <w:bookmarkStart w:id="23" w:name="_Ref207022482"/>
            <w:r>
              <w:t xml:space="preserve">Figure 11. </w:t>
            </w:r>
            <w:r>
              <w:fldChar w:fldCharType="begin"/>
            </w:r>
            <w:r>
              <w:instrText xml:space="preserve"> SEQ Figure_11. \* ARABIC </w:instrText>
            </w:r>
            <w:r>
              <w:fldChar w:fldCharType="separate"/>
            </w:r>
            <w:r w:rsidR="005248B3">
              <w:rPr>
                <w:noProof/>
              </w:rPr>
              <w:t>37</w:t>
            </w:r>
            <w:r>
              <w:rPr>
                <w:noProof/>
              </w:rPr>
              <w:fldChar w:fldCharType="end"/>
            </w:r>
            <w:bookmarkEnd w:id="23"/>
            <w:r w:rsidR="00654751">
              <w:rPr>
                <w:noProof/>
              </w:rPr>
              <w:t xml:space="preserve"> ADP07 – Experimental and Calculated TP106 temperature time trends</w:t>
            </w:r>
          </w:p>
        </w:tc>
      </w:tr>
    </w:tbl>
    <w:p w14:paraId="7F52CC5B" w14:textId="77777777" w:rsidR="008D28CC" w:rsidRDefault="008D28CC" w:rsidP="008D28CC">
      <w:pPr>
        <w:spacing w:line="360" w:lineRule="auto"/>
        <w:jc w:val="both"/>
        <w:rPr>
          <w:rFonts w:ascii="Times New Roman" w:hAnsi="Times New Roman" w:cs="Times New Roman"/>
          <w:sz w:val="24"/>
          <w:szCs w:val="24"/>
        </w:rPr>
      </w:pPr>
    </w:p>
    <w:p w14:paraId="2AD0450D" w14:textId="6ECE78AF" w:rsidR="00CA4837" w:rsidRDefault="00CA4837" w:rsidP="008D28CC">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_Ref207024654 \h </w:instrText>
      </w:r>
      <w:r w:rsidR="006D0D11">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42</w:t>
      </w:r>
      <w:r>
        <w:rPr>
          <w:rFonts w:ascii="Times New Roman" w:hAnsi="Times New Roman" w:cs="Times New Roman"/>
          <w:sz w:val="24"/>
          <w:szCs w:val="24"/>
        </w:rPr>
        <w:fldChar w:fldCharType="end"/>
      </w:r>
      <w:r>
        <w:rPr>
          <w:rFonts w:ascii="Times New Roman" w:hAnsi="Times New Roman" w:cs="Times New Roman"/>
          <w:sz w:val="24"/>
          <w:szCs w:val="24"/>
        </w:rPr>
        <w:t xml:space="preserve"> to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_Ref207024656 \h </w:instrText>
      </w:r>
      <w:r w:rsidR="006D0D11">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45</w:t>
      </w:r>
      <w:r>
        <w:rPr>
          <w:rFonts w:ascii="Times New Roman" w:hAnsi="Times New Roman" w:cs="Times New Roman"/>
          <w:sz w:val="24"/>
          <w:szCs w:val="24"/>
        </w:rPr>
        <w:fldChar w:fldCharType="end"/>
      </w:r>
      <w:r>
        <w:rPr>
          <w:rFonts w:ascii="Times New Roman" w:hAnsi="Times New Roman" w:cs="Times New Roman"/>
          <w:sz w:val="24"/>
          <w:szCs w:val="24"/>
        </w:rPr>
        <w:t xml:space="preserve"> report instead the comparison between the numerical and experimental results for some selected wall thermocouples in the Fuel Pin Simulator. Very good results were reported by </w:t>
      </w:r>
      <w:proofErr w:type="spellStart"/>
      <w:r>
        <w:rPr>
          <w:rFonts w:ascii="Times New Roman" w:hAnsi="Times New Roman" w:cs="Times New Roman"/>
          <w:sz w:val="24"/>
          <w:szCs w:val="24"/>
        </w:rPr>
        <w:t>UniPi</w:t>
      </w:r>
      <w:proofErr w:type="spellEnd"/>
      <w:r>
        <w:rPr>
          <w:rFonts w:ascii="Times New Roman" w:hAnsi="Times New Roman" w:cs="Times New Roman"/>
          <w:sz w:val="24"/>
          <w:szCs w:val="24"/>
        </w:rPr>
        <w:t xml:space="preserve"> for the thermocouples at Section A (TC25 and TC55) while overestimating the ones at Section C during the first phase of the transient owing to the smaller predicted mass flux. It is particularly relevant to focus attention on TC67 in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_Ref207024656 \h </w:instrText>
      </w:r>
      <w:r w:rsidR="006D0D11">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45</w:t>
      </w:r>
      <w:r>
        <w:rPr>
          <w:rFonts w:ascii="Times New Roman" w:hAnsi="Times New Roman" w:cs="Times New Roman"/>
          <w:sz w:val="24"/>
          <w:szCs w:val="24"/>
        </w:rPr>
        <w:fldChar w:fldCharType="end"/>
      </w:r>
      <w:r>
        <w:rPr>
          <w:rFonts w:ascii="Times New Roman" w:hAnsi="Times New Roman" w:cs="Times New Roman"/>
          <w:sz w:val="24"/>
          <w:szCs w:val="24"/>
        </w:rPr>
        <w:t xml:space="preserve">. This thermocouple is located on an unheated rod which is on the frontier between the heated and </w:t>
      </w:r>
      <w:r>
        <w:rPr>
          <w:rFonts w:ascii="Times New Roman" w:hAnsi="Times New Roman" w:cs="Times New Roman"/>
          <w:sz w:val="24"/>
          <w:szCs w:val="24"/>
        </w:rPr>
        <w:lastRenderedPageBreak/>
        <w:t xml:space="preserve">unheated regions. Everyone except XJTU, whose results are divergent from the others strongly underestimated the experimental wall temperature trend. This is to be probably mainly connected to issues also investigated in the frame of WP2 regarding the prediction of cross-sectional flows. Indeed, depending on the mutual position of the wrapped, TC67 may be invested by hotter fluid coming from the heated region or colder fluid coming from the unheated one thus making a very complicated environment to be simulated. The divergent results of XJTU are probably to </w:t>
      </w:r>
      <w:proofErr w:type="gramStart"/>
      <w:r>
        <w:rPr>
          <w:rFonts w:ascii="Times New Roman" w:hAnsi="Times New Roman" w:cs="Times New Roman"/>
          <w:sz w:val="24"/>
          <w:szCs w:val="24"/>
        </w:rPr>
        <w:t>be connected with</w:t>
      </w:r>
      <w:proofErr w:type="gramEnd"/>
      <w:r>
        <w:rPr>
          <w:rFonts w:ascii="Times New Roman" w:hAnsi="Times New Roman" w:cs="Times New Roman"/>
          <w:sz w:val="24"/>
          <w:szCs w:val="24"/>
        </w:rPr>
        <w:t xml:space="preserve"> errors in the positioning of the sampling points in the CFD domain.</w:t>
      </w:r>
      <w:r w:rsidR="003A5898">
        <w:rPr>
          <w:rFonts w:ascii="Times New Roman" w:hAnsi="Times New Roman" w:cs="Times New Roman"/>
          <w:sz w:val="24"/>
          <w:szCs w:val="24"/>
        </w:rPr>
        <w:t xml:space="preserve"> </w:t>
      </w:r>
      <w:proofErr w:type="gramStart"/>
      <w:r>
        <w:rPr>
          <w:rFonts w:ascii="Times New Roman" w:hAnsi="Times New Roman" w:cs="Times New Roman"/>
          <w:sz w:val="24"/>
          <w:szCs w:val="24"/>
        </w:rPr>
        <w:t>Eventually</w:t>
      </w:r>
      <w:proofErr w:type="gramEnd"/>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_Ref207025121 \h </w:instrText>
      </w:r>
      <w:r w:rsidR="006D0D11">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46</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_Ref207025122 \h </w:instrText>
      </w:r>
      <w:r w:rsidR="006D0D11">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5248B3" w:rsidRPr="005248B3">
        <w:rPr>
          <w:rFonts w:ascii="Times New Roman" w:hAnsi="Times New Roman" w:cs="Times New Roman"/>
          <w:sz w:val="24"/>
          <w:szCs w:val="24"/>
        </w:rPr>
        <w:t>Figure 11. 47</w:t>
      </w:r>
      <w:r>
        <w:rPr>
          <w:rFonts w:ascii="Times New Roman" w:hAnsi="Times New Roman" w:cs="Times New Roman"/>
          <w:sz w:val="24"/>
          <w:szCs w:val="24"/>
        </w:rPr>
        <w:fldChar w:fldCharType="end"/>
      </w:r>
      <w:r>
        <w:rPr>
          <w:rFonts w:ascii="Times New Roman" w:hAnsi="Times New Roman" w:cs="Times New Roman"/>
          <w:sz w:val="24"/>
          <w:szCs w:val="24"/>
        </w:rPr>
        <w:t xml:space="preserve"> report a sample of the velocity distributions predicted by </w:t>
      </w:r>
      <w:proofErr w:type="spellStart"/>
      <w:r>
        <w:rPr>
          <w:rFonts w:ascii="Times New Roman" w:hAnsi="Times New Roman" w:cs="Times New Roman"/>
          <w:sz w:val="24"/>
          <w:szCs w:val="24"/>
        </w:rPr>
        <w:t>UniPi</w:t>
      </w:r>
      <w:proofErr w:type="spellEnd"/>
      <w:r>
        <w:rPr>
          <w:rFonts w:ascii="Times New Roman" w:hAnsi="Times New Roman" w:cs="Times New Roman"/>
          <w:sz w:val="24"/>
          <w:szCs w:val="24"/>
        </w:rPr>
        <w:t xml:space="preserve"> for the final steady state at section B. The main aim of these figures is to highlight again the added value of CFD in </w:t>
      </w:r>
      <w:proofErr w:type="spellStart"/>
      <w:r>
        <w:rPr>
          <w:rFonts w:ascii="Times New Roman" w:hAnsi="Times New Roman" w:cs="Times New Roman"/>
          <w:sz w:val="24"/>
          <w:szCs w:val="24"/>
        </w:rPr>
        <w:t>th</w:t>
      </w:r>
      <w:r w:rsidR="006D0D11">
        <w:rPr>
          <w:rFonts w:ascii="Times New Roman" w:hAnsi="Times New Roman" w:cs="Times New Roman"/>
          <w:sz w:val="24"/>
          <w:szCs w:val="24"/>
        </w:rPr>
        <w:t>i</w:t>
      </w:r>
      <w:r>
        <w:rPr>
          <w:rFonts w:ascii="Times New Roman" w:hAnsi="Times New Roman" w:cs="Times New Roman"/>
          <w:sz w:val="24"/>
          <w:szCs w:val="24"/>
        </w:rPr>
        <w:t>se</w:t>
      </w:r>
      <w:proofErr w:type="spellEnd"/>
      <w:r w:rsidR="006D0D11">
        <w:rPr>
          <w:rFonts w:ascii="Times New Roman" w:hAnsi="Times New Roman" w:cs="Times New Roman"/>
          <w:sz w:val="24"/>
          <w:szCs w:val="24"/>
        </w:rPr>
        <w:t xml:space="preserve"> </w:t>
      </w:r>
      <w:r>
        <w:rPr>
          <w:rFonts w:ascii="Times New Roman" w:hAnsi="Times New Roman" w:cs="Times New Roman"/>
          <w:sz w:val="24"/>
          <w:szCs w:val="24"/>
        </w:rPr>
        <w:t xml:space="preserve">kind of STH/CFD applications. It allows observing </w:t>
      </w:r>
      <w:r w:rsidR="006D0D11">
        <w:rPr>
          <w:rFonts w:ascii="Times New Roman" w:hAnsi="Times New Roman" w:cs="Times New Roman"/>
          <w:sz w:val="24"/>
          <w:szCs w:val="24"/>
        </w:rPr>
        <w:t>complicated temperature and velocity distributions, something which very on topic in this CRP and especially for ADP07, something that could not be predicted at all with a STH stand</w:t>
      </w:r>
      <w:r w:rsidR="0030384B">
        <w:rPr>
          <w:rFonts w:ascii="Times New Roman" w:hAnsi="Times New Roman" w:cs="Times New Roman"/>
          <w:sz w:val="24"/>
          <w:szCs w:val="24"/>
        </w:rPr>
        <w:t>-</w:t>
      </w:r>
      <w:r w:rsidR="006D0D11">
        <w:rPr>
          <w:rFonts w:ascii="Times New Roman" w:hAnsi="Times New Roman" w:cs="Times New Roman"/>
          <w:sz w:val="24"/>
          <w:szCs w:val="24"/>
        </w:rPr>
        <w:t>alone approach. The additional computational cost is thus compensated and justified by a far rich</w:t>
      </w:r>
      <w:r w:rsidR="0030384B">
        <w:rPr>
          <w:rFonts w:ascii="Times New Roman" w:hAnsi="Times New Roman" w:cs="Times New Roman"/>
          <w:sz w:val="24"/>
          <w:szCs w:val="24"/>
        </w:rPr>
        <w:t>er</w:t>
      </w:r>
      <w:r w:rsidR="006D0D11">
        <w:rPr>
          <w:rFonts w:ascii="Times New Roman" w:hAnsi="Times New Roman" w:cs="Times New Roman"/>
          <w:sz w:val="24"/>
          <w:szCs w:val="24"/>
        </w:rPr>
        <w:t xml:space="preserve"> amount of information.</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D28CC" w14:paraId="4433BD34" w14:textId="77777777" w:rsidTr="00610A3C">
        <w:tc>
          <w:tcPr>
            <w:tcW w:w="4508" w:type="dxa"/>
          </w:tcPr>
          <w:p w14:paraId="7691D654"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11D1A655" wp14:editId="653CC251">
                  <wp:extent cx="2700000" cy="1764000"/>
                  <wp:effectExtent l="0" t="0" r="5715" b="8255"/>
                  <wp:docPr id="69036724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2676B9CB" w14:textId="7CF03353" w:rsidR="008D28CC" w:rsidRDefault="00EC6147" w:rsidP="00EC6147">
            <w:pPr>
              <w:pStyle w:val="Didascalia"/>
              <w:jc w:val="both"/>
              <w:rPr>
                <w:rFonts w:ascii="Times New Roman" w:hAnsi="Times New Roman" w:cs="Times New Roman"/>
                <w:sz w:val="24"/>
                <w:szCs w:val="24"/>
              </w:rPr>
            </w:pPr>
            <w:bookmarkStart w:id="24" w:name="_Ref207023510"/>
            <w:r>
              <w:t xml:space="preserve">Figure 11. </w:t>
            </w:r>
            <w:r>
              <w:fldChar w:fldCharType="begin"/>
            </w:r>
            <w:r>
              <w:instrText xml:space="preserve"> SEQ Figure_11. \* ARABIC </w:instrText>
            </w:r>
            <w:r>
              <w:fldChar w:fldCharType="separate"/>
            </w:r>
            <w:r w:rsidR="005248B3">
              <w:rPr>
                <w:noProof/>
              </w:rPr>
              <w:t>38</w:t>
            </w:r>
            <w:r>
              <w:rPr>
                <w:noProof/>
              </w:rPr>
              <w:fldChar w:fldCharType="end"/>
            </w:r>
            <w:bookmarkEnd w:id="24"/>
            <w:r w:rsidR="00654751">
              <w:rPr>
                <w:noProof/>
              </w:rPr>
              <w:t xml:space="preserve"> ADP07 – Experimental and Calculated FPS Bulk TC2 temperature time trends</w:t>
            </w:r>
          </w:p>
        </w:tc>
        <w:tc>
          <w:tcPr>
            <w:tcW w:w="4508" w:type="dxa"/>
          </w:tcPr>
          <w:p w14:paraId="6172C010"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35858825" wp14:editId="5757FAC8">
                  <wp:extent cx="2700000" cy="1764000"/>
                  <wp:effectExtent l="0" t="0" r="5715" b="8255"/>
                  <wp:docPr id="1769804773"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33C2689A" w14:textId="28692F18" w:rsidR="008D28CC"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39</w:t>
            </w:r>
            <w:r>
              <w:rPr>
                <w:noProof/>
              </w:rPr>
              <w:fldChar w:fldCharType="end"/>
            </w:r>
            <w:r w:rsidR="00654751">
              <w:rPr>
                <w:noProof/>
              </w:rPr>
              <w:t xml:space="preserve"> ADP07 – Experimental and Calculated FPS Bulk TC12 temperature time trends</w:t>
            </w:r>
          </w:p>
        </w:tc>
      </w:tr>
      <w:tr w:rsidR="008D28CC" w14:paraId="1862D49A" w14:textId="77777777" w:rsidTr="00610A3C">
        <w:tc>
          <w:tcPr>
            <w:tcW w:w="4508" w:type="dxa"/>
          </w:tcPr>
          <w:p w14:paraId="79A2DD1A"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302E2CD8" wp14:editId="4A37BCEF">
                  <wp:extent cx="2700000" cy="1764000"/>
                  <wp:effectExtent l="0" t="0" r="5715" b="8255"/>
                  <wp:docPr id="370471656"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0FEE44E4" w14:textId="578E2E10" w:rsidR="008D28CC"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40</w:t>
            </w:r>
            <w:r>
              <w:rPr>
                <w:noProof/>
              </w:rPr>
              <w:fldChar w:fldCharType="end"/>
            </w:r>
            <w:r w:rsidR="00654751">
              <w:rPr>
                <w:noProof/>
              </w:rPr>
              <w:t xml:space="preserve"> ADP07 – Experimental and Calculated FPS Bulk TC4 temperature time trends</w:t>
            </w:r>
          </w:p>
        </w:tc>
        <w:tc>
          <w:tcPr>
            <w:tcW w:w="4508" w:type="dxa"/>
          </w:tcPr>
          <w:p w14:paraId="5D61B8CD"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7F06F7CA" wp14:editId="110D6711">
                  <wp:extent cx="2700000" cy="1764000"/>
                  <wp:effectExtent l="0" t="0" r="5715" b="8255"/>
                  <wp:docPr id="1192306292"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42D59FDE" w14:textId="3400B395" w:rsidR="008D28CC" w:rsidRDefault="00EC6147" w:rsidP="00EC6147">
            <w:pPr>
              <w:pStyle w:val="Didascalia"/>
              <w:jc w:val="both"/>
              <w:rPr>
                <w:rFonts w:ascii="Times New Roman" w:hAnsi="Times New Roman" w:cs="Times New Roman"/>
                <w:sz w:val="24"/>
                <w:szCs w:val="24"/>
              </w:rPr>
            </w:pPr>
            <w:bookmarkStart w:id="25" w:name="_Ref207023512"/>
            <w:r>
              <w:t xml:space="preserve">Figure 11. </w:t>
            </w:r>
            <w:r>
              <w:fldChar w:fldCharType="begin"/>
            </w:r>
            <w:r>
              <w:instrText xml:space="preserve"> SEQ Figure_11. \* ARABIC </w:instrText>
            </w:r>
            <w:r>
              <w:fldChar w:fldCharType="separate"/>
            </w:r>
            <w:r w:rsidR="005248B3">
              <w:rPr>
                <w:noProof/>
              </w:rPr>
              <w:t>41</w:t>
            </w:r>
            <w:r>
              <w:rPr>
                <w:noProof/>
              </w:rPr>
              <w:fldChar w:fldCharType="end"/>
            </w:r>
            <w:bookmarkEnd w:id="25"/>
            <w:r w:rsidR="00654751">
              <w:rPr>
                <w:noProof/>
              </w:rPr>
              <w:t xml:space="preserve"> ADP07 – Experimental and Calculated FPS Bulk TC14 temperature time trends</w:t>
            </w:r>
          </w:p>
        </w:tc>
      </w:tr>
    </w:tbl>
    <w:p w14:paraId="2282E054" w14:textId="77777777" w:rsidR="008D28CC" w:rsidRDefault="008D28CC" w:rsidP="008D28CC">
      <w:pPr>
        <w:spacing w:line="360" w:lineRule="auto"/>
        <w:jc w:val="both"/>
        <w:rPr>
          <w:rFonts w:ascii="Times New Roman" w:hAnsi="Times New Roman" w:cs="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D28CC" w14:paraId="03D6FD49" w14:textId="77777777" w:rsidTr="00610A3C">
        <w:tc>
          <w:tcPr>
            <w:tcW w:w="4508" w:type="dxa"/>
          </w:tcPr>
          <w:p w14:paraId="24E46FDC" w14:textId="77777777" w:rsidR="00EC6147" w:rsidRDefault="008D28CC" w:rsidP="00EC6147">
            <w:pPr>
              <w:keepNext/>
              <w:spacing w:line="360" w:lineRule="auto"/>
              <w:jc w:val="both"/>
            </w:pPr>
            <w:r>
              <w:rPr>
                <w:rFonts w:ascii="Times New Roman" w:hAnsi="Times New Roman" w:cs="Times New Roman"/>
                <w:noProof/>
                <w:sz w:val="24"/>
                <w:szCs w:val="24"/>
              </w:rPr>
              <w:lastRenderedPageBreak/>
              <w:drawing>
                <wp:inline distT="0" distB="0" distL="0" distR="0" wp14:anchorId="7D75BA40" wp14:editId="7F5F9614">
                  <wp:extent cx="2700000" cy="1764000"/>
                  <wp:effectExtent l="0" t="0" r="5715" b="8255"/>
                  <wp:docPr id="63488062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11E4BBD4" w14:textId="010E2661" w:rsidR="008D28CC" w:rsidRDefault="00EC6147" w:rsidP="00EC6147">
            <w:pPr>
              <w:pStyle w:val="Didascalia"/>
              <w:jc w:val="both"/>
              <w:rPr>
                <w:rFonts w:ascii="Times New Roman" w:hAnsi="Times New Roman" w:cs="Times New Roman"/>
                <w:sz w:val="24"/>
                <w:szCs w:val="24"/>
              </w:rPr>
            </w:pPr>
            <w:bookmarkStart w:id="26" w:name="_Ref207024654"/>
            <w:r>
              <w:t xml:space="preserve">Figure 11. </w:t>
            </w:r>
            <w:r>
              <w:fldChar w:fldCharType="begin"/>
            </w:r>
            <w:r>
              <w:instrText xml:space="preserve"> SEQ Figure_11. \* ARABIC </w:instrText>
            </w:r>
            <w:r>
              <w:fldChar w:fldCharType="separate"/>
            </w:r>
            <w:r w:rsidR="005248B3">
              <w:rPr>
                <w:noProof/>
              </w:rPr>
              <w:t>42</w:t>
            </w:r>
            <w:r>
              <w:rPr>
                <w:noProof/>
              </w:rPr>
              <w:fldChar w:fldCharType="end"/>
            </w:r>
            <w:bookmarkEnd w:id="26"/>
            <w:r w:rsidR="00654751">
              <w:rPr>
                <w:noProof/>
              </w:rPr>
              <w:t xml:space="preserve"> ADP07 – Experimental and Calculated FPS Wall TC25 temperature time trends</w:t>
            </w:r>
          </w:p>
        </w:tc>
        <w:tc>
          <w:tcPr>
            <w:tcW w:w="4508" w:type="dxa"/>
          </w:tcPr>
          <w:p w14:paraId="65EAE178"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5E9ED465" wp14:editId="630CDBF8">
                  <wp:extent cx="2700000" cy="1764000"/>
                  <wp:effectExtent l="0" t="0" r="5715" b="8255"/>
                  <wp:docPr id="85972986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0F06682B" w14:textId="178E080D" w:rsidR="008D28CC"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43</w:t>
            </w:r>
            <w:r>
              <w:rPr>
                <w:noProof/>
              </w:rPr>
              <w:fldChar w:fldCharType="end"/>
            </w:r>
            <w:r w:rsidR="00654751">
              <w:rPr>
                <w:noProof/>
              </w:rPr>
              <w:t xml:space="preserve"> ADP07 – Experimental and Calculated FPS Wall TC51 temperature time trends</w:t>
            </w:r>
          </w:p>
        </w:tc>
      </w:tr>
      <w:tr w:rsidR="008D28CC" w14:paraId="329A10E3" w14:textId="77777777" w:rsidTr="00610A3C">
        <w:tc>
          <w:tcPr>
            <w:tcW w:w="4508" w:type="dxa"/>
          </w:tcPr>
          <w:p w14:paraId="3849AC58"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6AB40C21" wp14:editId="3996A38B">
                  <wp:extent cx="2700000" cy="1764000"/>
                  <wp:effectExtent l="0" t="0" r="5715" b="8255"/>
                  <wp:docPr id="815037174"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69BF8DD1" w14:textId="405C55CE" w:rsidR="008D28CC" w:rsidRDefault="00EC6147" w:rsidP="00EC6147">
            <w:pPr>
              <w:pStyle w:val="Didascalia"/>
              <w:jc w:val="both"/>
              <w:rPr>
                <w:rFonts w:ascii="Times New Roman" w:hAnsi="Times New Roman" w:cs="Times New Roman"/>
                <w:sz w:val="24"/>
                <w:szCs w:val="24"/>
              </w:rPr>
            </w:pPr>
            <w:r>
              <w:t xml:space="preserve">Figure 11. </w:t>
            </w:r>
            <w:r>
              <w:fldChar w:fldCharType="begin"/>
            </w:r>
            <w:r>
              <w:instrText xml:space="preserve"> SEQ Figure_11. \* ARABIC </w:instrText>
            </w:r>
            <w:r>
              <w:fldChar w:fldCharType="separate"/>
            </w:r>
            <w:r w:rsidR="005248B3">
              <w:rPr>
                <w:noProof/>
              </w:rPr>
              <w:t>44</w:t>
            </w:r>
            <w:r>
              <w:rPr>
                <w:noProof/>
              </w:rPr>
              <w:fldChar w:fldCharType="end"/>
            </w:r>
            <w:r w:rsidR="00654751">
              <w:rPr>
                <w:noProof/>
              </w:rPr>
              <w:t xml:space="preserve"> ADP07 – Experimental and Calculated FPS Wall TC55 temperature time trends</w:t>
            </w:r>
          </w:p>
        </w:tc>
        <w:tc>
          <w:tcPr>
            <w:tcW w:w="4508" w:type="dxa"/>
          </w:tcPr>
          <w:p w14:paraId="25F891DF" w14:textId="77777777" w:rsidR="00EC6147" w:rsidRDefault="008D28CC" w:rsidP="00EC6147">
            <w:pPr>
              <w:keepNext/>
              <w:spacing w:line="360" w:lineRule="auto"/>
              <w:jc w:val="both"/>
            </w:pPr>
            <w:r>
              <w:rPr>
                <w:rFonts w:ascii="Times New Roman" w:hAnsi="Times New Roman" w:cs="Times New Roman"/>
                <w:noProof/>
                <w:sz w:val="24"/>
                <w:szCs w:val="24"/>
              </w:rPr>
              <w:drawing>
                <wp:inline distT="0" distB="0" distL="0" distR="0" wp14:anchorId="7FEC2B39" wp14:editId="1D935E55">
                  <wp:extent cx="2700000" cy="1764000"/>
                  <wp:effectExtent l="0" t="0" r="5715" b="8255"/>
                  <wp:docPr id="1051515564"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00000" cy="1764000"/>
                          </a:xfrm>
                          <a:prstGeom prst="rect">
                            <a:avLst/>
                          </a:prstGeom>
                          <a:noFill/>
                        </pic:spPr>
                      </pic:pic>
                    </a:graphicData>
                  </a:graphic>
                </wp:inline>
              </w:drawing>
            </w:r>
          </w:p>
          <w:p w14:paraId="74B082E2" w14:textId="1E2AB8E0" w:rsidR="008D28CC" w:rsidRDefault="00EC6147" w:rsidP="00EC6147">
            <w:pPr>
              <w:pStyle w:val="Didascalia"/>
              <w:jc w:val="both"/>
              <w:rPr>
                <w:rFonts w:ascii="Times New Roman" w:hAnsi="Times New Roman" w:cs="Times New Roman"/>
                <w:sz w:val="24"/>
                <w:szCs w:val="24"/>
              </w:rPr>
            </w:pPr>
            <w:bookmarkStart w:id="27" w:name="_Ref207024656"/>
            <w:r>
              <w:t xml:space="preserve">Figure 11. </w:t>
            </w:r>
            <w:r>
              <w:fldChar w:fldCharType="begin"/>
            </w:r>
            <w:r>
              <w:instrText xml:space="preserve"> SEQ Figure_11. \* ARABIC </w:instrText>
            </w:r>
            <w:r>
              <w:fldChar w:fldCharType="separate"/>
            </w:r>
            <w:r w:rsidR="005248B3">
              <w:rPr>
                <w:noProof/>
              </w:rPr>
              <w:t>45</w:t>
            </w:r>
            <w:r>
              <w:rPr>
                <w:noProof/>
              </w:rPr>
              <w:fldChar w:fldCharType="end"/>
            </w:r>
            <w:bookmarkEnd w:id="27"/>
            <w:r w:rsidR="00654751">
              <w:rPr>
                <w:noProof/>
              </w:rPr>
              <w:t xml:space="preserve"> </w:t>
            </w:r>
            <w:r w:rsidR="006D70FB">
              <w:rPr>
                <w:noProof/>
              </w:rPr>
              <w:t>ADP07 – Experimental and Calculated FPS Wall TC67 temperature time trends</w:t>
            </w:r>
          </w:p>
        </w:tc>
      </w:tr>
    </w:tbl>
    <w:p w14:paraId="33CBA4CE" w14:textId="77777777" w:rsidR="00925AF7" w:rsidRDefault="00925AF7" w:rsidP="006D0D11">
      <w:pPr>
        <w:spacing w:line="360" w:lineRule="auto"/>
        <w:rPr>
          <w:rFonts w:ascii="Times New Roman" w:hAnsi="Times New Roman" w:cs="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C6147" w14:paraId="426BCADC" w14:textId="77777777" w:rsidTr="00610A3C">
        <w:tc>
          <w:tcPr>
            <w:tcW w:w="4508" w:type="dxa"/>
          </w:tcPr>
          <w:p w14:paraId="222DD791" w14:textId="77777777" w:rsidR="00EC6147" w:rsidRDefault="00EC6147" w:rsidP="00EC6147">
            <w:pPr>
              <w:keepNext/>
              <w:spacing w:line="360" w:lineRule="auto"/>
              <w:jc w:val="center"/>
            </w:pPr>
            <w:r w:rsidRPr="00EC6147">
              <w:rPr>
                <w:rFonts w:ascii="Times New Roman" w:hAnsi="Times New Roman" w:cs="Times New Roman"/>
                <w:noProof/>
                <w:sz w:val="24"/>
                <w:szCs w:val="24"/>
              </w:rPr>
              <w:drawing>
                <wp:inline distT="0" distB="0" distL="0" distR="0" wp14:anchorId="2A3CD786" wp14:editId="10E03427">
                  <wp:extent cx="2700000" cy="2674800"/>
                  <wp:effectExtent l="0" t="0" r="5715" b="0"/>
                  <wp:docPr id="3" name="Immagine 2">
                    <a:extLst xmlns:a="http://schemas.openxmlformats.org/drawingml/2006/main">
                      <a:ext uri="{FF2B5EF4-FFF2-40B4-BE49-F238E27FC236}">
                        <a16:creationId xmlns:a16="http://schemas.microsoft.com/office/drawing/2014/main" id="{171F9782-25E7-637F-8244-080F15412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2">
                            <a:extLst>
                              <a:ext uri="{FF2B5EF4-FFF2-40B4-BE49-F238E27FC236}">
                                <a16:creationId xmlns:a16="http://schemas.microsoft.com/office/drawing/2014/main" id="{171F9782-25E7-637F-8244-080F15412F6E}"/>
                              </a:ext>
                            </a:extLst>
                          </pic:cNvPr>
                          <pic:cNvPicPr>
                            <a:picLocks noChangeAspect="1"/>
                          </pic:cNvPicPr>
                        </pic:nvPicPr>
                        <pic:blipFill>
                          <a:blip r:embed="rId54"/>
                          <a:stretch>
                            <a:fillRect/>
                          </a:stretch>
                        </pic:blipFill>
                        <pic:spPr>
                          <a:xfrm>
                            <a:off x="0" y="0"/>
                            <a:ext cx="2700000" cy="2674800"/>
                          </a:xfrm>
                          <a:prstGeom prst="rect">
                            <a:avLst/>
                          </a:prstGeom>
                        </pic:spPr>
                      </pic:pic>
                    </a:graphicData>
                  </a:graphic>
                </wp:inline>
              </w:drawing>
            </w:r>
          </w:p>
          <w:p w14:paraId="549B17D7" w14:textId="53E07BF5" w:rsidR="00EC6147" w:rsidRDefault="00EC6147" w:rsidP="00EC6147">
            <w:pPr>
              <w:pStyle w:val="Didascalia"/>
              <w:jc w:val="center"/>
              <w:rPr>
                <w:rFonts w:ascii="Times New Roman" w:hAnsi="Times New Roman" w:cs="Times New Roman"/>
                <w:sz w:val="24"/>
                <w:szCs w:val="24"/>
              </w:rPr>
            </w:pPr>
            <w:bookmarkStart w:id="28" w:name="_Ref207025121"/>
            <w:r>
              <w:t xml:space="preserve">Figure 11. </w:t>
            </w:r>
            <w:r>
              <w:fldChar w:fldCharType="begin"/>
            </w:r>
            <w:r>
              <w:instrText xml:space="preserve"> SEQ Figure_11. \* ARABIC </w:instrText>
            </w:r>
            <w:r>
              <w:fldChar w:fldCharType="separate"/>
            </w:r>
            <w:r w:rsidR="005248B3">
              <w:rPr>
                <w:noProof/>
              </w:rPr>
              <w:t>46</w:t>
            </w:r>
            <w:r>
              <w:rPr>
                <w:noProof/>
              </w:rPr>
              <w:fldChar w:fldCharType="end"/>
            </w:r>
            <w:bookmarkEnd w:id="28"/>
            <w:r w:rsidR="006D70FB">
              <w:rPr>
                <w:noProof/>
              </w:rPr>
              <w:t xml:space="preserve"> ADP07 – axial velocity distribution predicted at Section B - UniPi</w:t>
            </w:r>
          </w:p>
        </w:tc>
        <w:tc>
          <w:tcPr>
            <w:tcW w:w="4508" w:type="dxa"/>
          </w:tcPr>
          <w:p w14:paraId="06B5D947" w14:textId="77777777" w:rsidR="00EC6147" w:rsidRDefault="00EC6147" w:rsidP="00EC6147">
            <w:pPr>
              <w:keepNext/>
              <w:spacing w:line="360" w:lineRule="auto"/>
              <w:jc w:val="center"/>
            </w:pPr>
            <w:r>
              <w:rPr>
                <w:rFonts w:ascii="Times New Roman" w:hAnsi="Times New Roman" w:cs="Times New Roman"/>
                <w:noProof/>
                <w:sz w:val="24"/>
                <w:szCs w:val="24"/>
              </w:rPr>
              <w:drawing>
                <wp:inline distT="0" distB="0" distL="0" distR="0" wp14:anchorId="42DFCAE6" wp14:editId="41A44CA2">
                  <wp:extent cx="2700000" cy="2664000"/>
                  <wp:effectExtent l="0" t="0" r="5715" b="3175"/>
                  <wp:docPr id="110544516"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00000" cy="2664000"/>
                          </a:xfrm>
                          <a:prstGeom prst="rect">
                            <a:avLst/>
                          </a:prstGeom>
                          <a:noFill/>
                        </pic:spPr>
                      </pic:pic>
                    </a:graphicData>
                  </a:graphic>
                </wp:inline>
              </w:drawing>
            </w:r>
          </w:p>
          <w:p w14:paraId="5CEE70D7" w14:textId="7ADA96AE" w:rsidR="00EC6147" w:rsidRDefault="00EC6147" w:rsidP="00EC6147">
            <w:pPr>
              <w:pStyle w:val="Didascalia"/>
              <w:jc w:val="center"/>
              <w:rPr>
                <w:rFonts w:ascii="Times New Roman" w:hAnsi="Times New Roman" w:cs="Times New Roman"/>
                <w:sz w:val="24"/>
                <w:szCs w:val="24"/>
              </w:rPr>
            </w:pPr>
            <w:bookmarkStart w:id="29" w:name="_Ref207025122"/>
            <w:r>
              <w:t xml:space="preserve">Figure 11. </w:t>
            </w:r>
            <w:r>
              <w:fldChar w:fldCharType="begin"/>
            </w:r>
            <w:r>
              <w:instrText xml:space="preserve"> SEQ Figure_11. \* ARABIC </w:instrText>
            </w:r>
            <w:r>
              <w:fldChar w:fldCharType="separate"/>
            </w:r>
            <w:r w:rsidR="005248B3">
              <w:rPr>
                <w:noProof/>
              </w:rPr>
              <w:t>47</w:t>
            </w:r>
            <w:r>
              <w:rPr>
                <w:noProof/>
              </w:rPr>
              <w:fldChar w:fldCharType="end"/>
            </w:r>
            <w:bookmarkEnd w:id="29"/>
            <w:r w:rsidR="006D70FB">
              <w:rPr>
                <w:noProof/>
              </w:rPr>
              <w:t xml:space="preserve"> ADP07 – Cross-Sectional velocity distribution predicted at Section B - UniPi</w:t>
            </w:r>
          </w:p>
        </w:tc>
      </w:tr>
    </w:tbl>
    <w:p w14:paraId="55202E59" w14:textId="77777777" w:rsidR="00EC6147" w:rsidRDefault="00EC6147" w:rsidP="005851C8">
      <w:pPr>
        <w:spacing w:line="360" w:lineRule="auto"/>
        <w:jc w:val="center"/>
        <w:rPr>
          <w:rFonts w:ascii="Times New Roman" w:hAnsi="Times New Roman" w:cs="Times New Roman"/>
          <w:sz w:val="24"/>
          <w:szCs w:val="24"/>
        </w:rPr>
      </w:pPr>
    </w:p>
    <w:p w14:paraId="1951CAA0" w14:textId="77777777" w:rsidR="008D28CC" w:rsidRDefault="008D28CC" w:rsidP="005851C8">
      <w:pPr>
        <w:spacing w:line="360" w:lineRule="auto"/>
        <w:jc w:val="center"/>
        <w:rPr>
          <w:rFonts w:ascii="Times New Roman" w:hAnsi="Times New Roman" w:cs="Times New Roman"/>
          <w:sz w:val="24"/>
          <w:szCs w:val="24"/>
        </w:rPr>
      </w:pPr>
    </w:p>
    <w:p w14:paraId="7B6270B6" w14:textId="77777777" w:rsidR="005C7B2F" w:rsidRDefault="005C7B2F" w:rsidP="005851C8">
      <w:pPr>
        <w:spacing w:line="360" w:lineRule="auto"/>
        <w:jc w:val="center"/>
        <w:rPr>
          <w:rFonts w:ascii="Times New Roman" w:hAnsi="Times New Roman" w:cs="Times New Roman"/>
          <w:sz w:val="24"/>
          <w:szCs w:val="24"/>
        </w:rPr>
      </w:pPr>
    </w:p>
    <w:p w14:paraId="715E3953" w14:textId="7EF018F6" w:rsidR="005C7B2F" w:rsidRDefault="005C7B2F" w:rsidP="00D70416">
      <w:pPr>
        <w:pStyle w:val="Paragrafoelenco"/>
        <w:numPr>
          <w:ilvl w:val="1"/>
          <w:numId w:val="2"/>
        </w:numPr>
        <w:spacing w:line="360" w:lineRule="auto"/>
        <w:rPr>
          <w:rFonts w:ascii="Times New Roman" w:hAnsi="Times New Roman" w:cs="Times New Roman"/>
          <w:sz w:val="32"/>
          <w:szCs w:val="32"/>
        </w:rPr>
      </w:pPr>
      <w:r>
        <w:rPr>
          <w:rFonts w:ascii="Times New Roman" w:hAnsi="Times New Roman" w:cs="Times New Roman"/>
          <w:sz w:val="32"/>
          <w:szCs w:val="32"/>
        </w:rPr>
        <w:t xml:space="preserve">One-way coupling </w:t>
      </w:r>
      <w:r w:rsidR="00D70416">
        <w:rPr>
          <w:rFonts w:ascii="Times New Roman" w:hAnsi="Times New Roman" w:cs="Times New Roman"/>
          <w:sz w:val="32"/>
          <w:szCs w:val="32"/>
        </w:rPr>
        <w:t xml:space="preserve">STH/subchannel codes </w:t>
      </w:r>
      <w:r>
        <w:rPr>
          <w:rFonts w:ascii="Times New Roman" w:hAnsi="Times New Roman" w:cs="Times New Roman"/>
          <w:sz w:val="32"/>
          <w:szCs w:val="32"/>
        </w:rPr>
        <w:t>analysis</w:t>
      </w:r>
    </w:p>
    <w:p w14:paraId="15186B4F" w14:textId="15A5452F" w:rsidR="005C7B2F" w:rsidRDefault="00D70416" w:rsidP="005C7B2F">
      <w:pPr>
        <w:spacing w:line="360" w:lineRule="auto"/>
        <w:jc w:val="both"/>
        <w:rPr>
          <w:rFonts w:ascii="Times New Roman" w:hAnsi="Times New Roman" w:cs="Times New Roman"/>
          <w:sz w:val="24"/>
          <w:szCs w:val="24"/>
        </w:rPr>
      </w:pPr>
      <w:r>
        <w:rPr>
          <w:rFonts w:ascii="Times New Roman" w:hAnsi="Times New Roman" w:cs="Times New Roman"/>
          <w:sz w:val="24"/>
          <w:szCs w:val="24"/>
        </w:rPr>
        <w:t>Unlike other participants i</w:t>
      </w:r>
      <w:r w:rsidR="007A340F" w:rsidRPr="007A340F">
        <w:rPr>
          <w:rFonts w:ascii="Times New Roman" w:hAnsi="Times New Roman" w:cs="Times New Roman"/>
          <w:sz w:val="24"/>
          <w:szCs w:val="24"/>
        </w:rPr>
        <w:t xml:space="preserve">n the framework of the present Coordinated Research Project, </w:t>
      </w:r>
      <w:r w:rsidR="007A340F">
        <w:rPr>
          <w:rFonts w:ascii="Times New Roman" w:hAnsi="Times New Roman" w:cs="Times New Roman"/>
          <w:sz w:val="24"/>
          <w:szCs w:val="24"/>
        </w:rPr>
        <w:t xml:space="preserve">EC-JRC explored a simpler </w:t>
      </w:r>
      <w:r>
        <w:rPr>
          <w:rFonts w:ascii="Times New Roman" w:hAnsi="Times New Roman" w:cs="Times New Roman"/>
          <w:sz w:val="24"/>
          <w:szCs w:val="24"/>
        </w:rPr>
        <w:t xml:space="preserve">coupling </w:t>
      </w:r>
      <w:r w:rsidR="007A340F">
        <w:rPr>
          <w:rFonts w:ascii="Times New Roman" w:hAnsi="Times New Roman" w:cs="Times New Roman"/>
          <w:sz w:val="24"/>
          <w:szCs w:val="24"/>
        </w:rPr>
        <w:t xml:space="preserve">approach by means of a one-way coupling </w:t>
      </w:r>
      <w:proofErr w:type="spellStart"/>
      <w:r w:rsidR="007A340F">
        <w:rPr>
          <w:rFonts w:ascii="Times New Roman" w:hAnsi="Times New Roman" w:cs="Times New Roman"/>
          <w:sz w:val="24"/>
          <w:szCs w:val="24"/>
        </w:rPr>
        <w:t>m</w:t>
      </w:r>
      <w:r w:rsidR="007A340F" w:rsidRPr="007A340F">
        <w:rPr>
          <w:rFonts w:ascii="Times New Roman" w:hAnsi="Times New Roman" w:cs="Times New Roman"/>
          <w:sz w:val="24"/>
          <w:szCs w:val="24"/>
        </w:rPr>
        <w:t>ultiphysics</w:t>
      </w:r>
      <w:proofErr w:type="spellEnd"/>
      <w:r w:rsidR="007A340F" w:rsidRPr="007A340F">
        <w:rPr>
          <w:rFonts w:ascii="Times New Roman" w:hAnsi="Times New Roman" w:cs="Times New Roman"/>
          <w:sz w:val="24"/>
          <w:szCs w:val="24"/>
        </w:rPr>
        <w:t xml:space="preserve"> </w:t>
      </w:r>
      <w:r w:rsidR="007A340F">
        <w:rPr>
          <w:rFonts w:ascii="Times New Roman" w:hAnsi="Times New Roman" w:cs="Times New Roman"/>
          <w:sz w:val="24"/>
          <w:szCs w:val="24"/>
        </w:rPr>
        <w:t xml:space="preserve">analysis </w:t>
      </w:r>
      <w:r w:rsidR="007A340F" w:rsidRPr="007A340F">
        <w:rPr>
          <w:rFonts w:ascii="Times New Roman" w:hAnsi="Times New Roman" w:cs="Times New Roman"/>
          <w:sz w:val="24"/>
          <w:szCs w:val="24"/>
        </w:rPr>
        <w:t xml:space="preserve">between STH and </w:t>
      </w:r>
      <w:r w:rsidR="007A340F">
        <w:rPr>
          <w:rFonts w:ascii="Times New Roman" w:hAnsi="Times New Roman" w:cs="Times New Roman"/>
          <w:sz w:val="24"/>
          <w:szCs w:val="24"/>
        </w:rPr>
        <w:t>sub-channel</w:t>
      </w:r>
      <w:r w:rsidR="007A340F" w:rsidRPr="007A340F">
        <w:rPr>
          <w:rFonts w:ascii="Times New Roman" w:hAnsi="Times New Roman" w:cs="Times New Roman"/>
          <w:sz w:val="24"/>
          <w:szCs w:val="24"/>
        </w:rPr>
        <w:t xml:space="preserve"> </w:t>
      </w:r>
      <w:r w:rsidR="004B5731">
        <w:rPr>
          <w:rFonts w:ascii="Times New Roman" w:hAnsi="Times New Roman" w:cs="Times New Roman"/>
          <w:sz w:val="24"/>
          <w:szCs w:val="24"/>
        </w:rPr>
        <w:t xml:space="preserve">(SCH) </w:t>
      </w:r>
      <w:r w:rsidR="007A340F" w:rsidRPr="007A340F">
        <w:rPr>
          <w:rFonts w:ascii="Times New Roman" w:hAnsi="Times New Roman" w:cs="Times New Roman"/>
          <w:sz w:val="24"/>
          <w:szCs w:val="24"/>
        </w:rPr>
        <w:t>codes</w:t>
      </w:r>
      <w:r w:rsidR="00A15BA9">
        <w:rPr>
          <w:rFonts w:ascii="Times New Roman" w:hAnsi="Times New Roman" w:cs="Times New Roman"/>
          <w:sz w:val="24"/>
          <w:szCs w:val="24"/>
        </w:rPr>
        <w:t>, using TRACE and COBRA-I-IV codes respectively</w:t>
      </w:r>
      <w:r w:rsidR="007A340F" w:rsidRPr="007A340F">
        <w:rPr>
          <w:rFonts w:ascii="Times New Roman" w:hAnsi="Times New Roman" w:cs="Times New Roman"/>
          <w:sz w:val="24"/>
          <w:szCs w:val="24"/>
        </w:rPr>
        <w:t xml:space="preserve">. </w:t>
      </w:r>
      <w:r w:rsidR="007A340F">
        <w:rPr>
          <w:rFonts w:ascii="Times New Roman" w:hAnsi="Times New Roman" w:cs="Times New Roman"/>
          <w:sz w:val="24"/>
          <w:szCs w:val="24"/>
        </w:rPr>
        <w:t xml:space="preserve">In this </w:t>
      </w:r>
      <w:r w:rsidR="004B5731">
        <w:rPr>
          <w:rFonts w:ascii="Times New Roman" w:hAnsi="Times New Roman" w:cs="Times New Roman"/>
          <w:sz w:val="24"/>
          <w:szCs w:val="24"/>
        </w:rPr>
        <w:t>method</w:t>
      </w:r>
      <w:r w:rsidR="007A340F">
        <w:rPr>
          <w:rFonts w:ascii="Times New Roman" w:hAnsi="Times New Roman" w:cs="Times New Roman"/>
          <w:sz w:val="24"/>
          <w:szCs w:val="24"/>
        </w:rPr>
        <w:t xml:space="preserve">, the first physics domain (STH) is solved </w:t>
      </w:r>
      <w:r w:rsidR="005B7C9E">
        <w:rPr>
          <w:rFonts w:ascii="Times New Roman" w:hAnsi="Times New Roman" w:cs="Times New Roman"/>
          <w:sz w:val="24"/>
          <w:szCs w:val="24"/>
        </w:rPr>
        <w:t>first</w:t>
      </w:r>
      <w:r w:rsidR="007A340F">
        <w:rPr>
          <w:rFonts w:ascii="Times New Roman" w:hAnsi="Times New Roman" w:cs="Times New Roman"/>
          <w:sz w:val="24"/>
          <w:szCs w:val="24"/>
        </w:rPr>
        <w:t xml:space="preserve"> and its results are</w:t>
      </w:r>
      <w:r w:rsidR="005B7C9E">
        <w:rPr>
          <w:rFonts w:ascii="Times New Roman" w:hAnsi="Times New Roman" w:cs="Times New Roman"/>
          <w:sz w:val="24"/>
          <w:szCs w:val="24"/>
        </w:rPr>
        <w:t>, then,</w:t>
      </w:r>
      <w:r w:rsidR="007A340F">
        <w:rPr>
          <w:rFonts w:ascii="Times New Roman" w:hAnsi="Times New Roman" w:cs="Times New Roman"/>
          <w:sz w:val="24"/>
          <w:szCs w:val="24"/>
        </w:rPr>
        <w:t xml:space="preserve"> used as input for the second physics domain </w:t>
      </w:r>
      <w:r w:rsidR="005B7C9E">
        <w:rPr>
          <w:rFonts w:ascii="Times New Roman" w:hAnsi="Times New Roman" w:cs="Times New Roman"/>
          <w:sz w:val="24"/>
          <w:szCs w:val="24"/>
        </w:rPr>
        <w:t xml:space="preserve">(SCH) </w:t>
      </w:r>
      <w:r w:rsidR="007A340F">
        <w:rPr>
          <w:rFonts w:ascii="Times New Roman" w:hAnsi="Times New Roman" w:cs="Times New Roman"/>
          <w:sz w:val="24"/>
          <w:szCs w:val="24"/>
        </w:rPr>
        <w:t>without any feedback action.</w:t>
      </w:r>
      <w:r w:rsidR="005B7C9E">
        <w:rPr>
          <w:rFonts w:ascii="Times New Roman" w:hAnsi="Times New Roman" w:cs="Times New Roman"/>
          <w:sz w:val="24"/>
          <w:szCs w:val="24"/>
        </w:rPr>
        <w:t xml:space="preserve"> </w:t>
      </w:r>
      <w:r w:rsidR="004B5731">
        <w:rPr>
          <w:rFonts w:ascii="Times New Roman" w:hAnsi="Times New Roman" w:cs="Times New Roman"/>
          <w:sz w:val="24"/>
          <w:szCs w:val="24"/>
        </w:rPr>
        <w:t xml:space="preserve">The main assumption is that </w:t>
      </w:r>
      <w:r>
        <w:rPr>
          <w:rFonts w:ascii="Times New Roman" w:hAnsi="Times New Roman" w:cs="Times New Roman"/>
          <w:sz w:val="24"/>
          <w:szCs w:val="24"/>
        </w:rPr>
        <w:t xml:space="preserve">the </w:t>
      </w:r>
      <w:r w:rsidR="004B5731">
        <w:rPr>
          <w:rFonts w:ascii="Times New Roman" w:hAnsi="Times New Roman" w:cs="Times New Roman"/>
          <w:sz w:val="24"/>
          <w:szCs w:val="24"/>
        </w:rPr>
        <w:t xml:space="preserve">feedback action </w:t>
      </w:r>
      <w:r w:rsidR="00A15BA9">
        <w:rPr>
          <w:rFonts w:ascii="Times New Roman" w:hAnsi="Times New Roman" w:cs="Times New Roman"/>
          <w:sz w:val="24"/>
          <w:szCs w:val="24"/>
        </w:rPr>
        <w:t xml:space="preserve">between domains </w:t>
      </w:r>
      <w:r w:rsidR="004B5731">
        <w:rPr>
          <w:rFonts w:ascii="Times New Roman" w:hAnsi="Times New Roman" w:cs="Times New Roman"/>
          <w:sz w:val="24"/>
          <w:szCs w:val="24"/>
        </w:rPr>
        <w:t xml:space="preserve">is close to zero or negligible. </w:t>
      </w:r>
      <w:r w:rsidR="005B7C9E">
        <w:rPr>
          <w:rFonts w:ascii="Times New Roman" w:hAnsi="Times New Roman" w:cs="Times New Roman"/>
          <w:sz w:val="24"/>
          <w:szCs w:val="24"/>
        </w:rPr>
        <w:t xml:space="preserve">This </w:t>
      </w:r>
      <w:r w:rsidR="004B5731">
        <w:rPr>
          <w:rFonts w:ascii="Times New Roman" w:hAnsi="Times New Roman" w:cs="Times New Roman"/>
          <w:sz w:val="24"/>
          <w:szCs w:val="24"/>
        </w:rPr>
        <w:t xml:space="preserve">approach and the use of </w:t>
      </w:r>
      <w:r>
        <w:rPr>
          <w:rFonts w:ascii="Times New Roman" w:hAnsi="Times New Roman" w:cs="Times New Roman"/>
          <w:sz w:val="24"/>
          <w:szCs w:val="24"/>
        </w:rPr>
        <w:t xml:space="preserve">a </w:t>
      </w:r>
      <w:r w:rsidR="004B5731">
        <w:rPr>
          <w:rFonts w:ascii="Times New Roman" w:hAnsi="Times New Roman" w:cs="Times New Roman"/>
          <w:sz w:val="24"/>
          <w:szCs w:val="24"/>
        </w:rPr>
        <w:t xml:space="preserve">SCH code instead of CFD code </w:t>
      </w:r>
      <w:r w:rsidR="005B7C9E">
        <w:rPr>
          <w:rFonts w:ascii="Times New Roman" w:hAnsi="Times New Roman" w:cs="Times New Roman"/>
          <w:sz w:val="24"/>
          <w:szCs w:val="24"/>
        </w:rPr>
        <w:t xml:space="preserve">saves in simulation time </w:t>
      </w:r>
      <w:r w:rsidR="004B5731">
        <w:rPr>
          <w:rFonts w:ascii="Times New Roman" w:hAnsi="Times New Roman" w:cs="Times New Roman"/>
          <w:sz w:val="24"/>
          <w:szCs w:val="24"/>
        </w:rPr>
        <w:t>and can be considered as an intermediate stage to the</w:t>
      </w:r>
      <w:r w:rsidR="005B7C9E">
        <w:rPr>
          <w:rFonts w:ascii="Times New Roman" w:hAnsi="Times New Roman" w:cs="Times New Roman"/>
          <w:sz w:val="24"/>
          <w:szCs w:val="24"/>
        </w:rPr>
        <w:t xml:space="preserve"> two-way </w:t>
      </w:r>
      <w:r w:rsidR="004B5731">
        <w:rPr>
          <w:rFonts w:ascii="Times New Roman" w:hAnsi="Times New Roman" w:cs="Times New Roman"/>
          <w:sz w:val="24"/>
          <w:szCs w:val="24"/>
        </w:rPr>
        <w:t xml:space="preserve">STH/CFD </w:t>
      </w:r>
      <w:r w:rsidR="005B7C9E">
        <w:rPr>
          <w:rFonts w:ascii="Times New Roman" w:hAnsi="Times New Roman" w:cs="Times New Roman"/>
          <w:sz w:val="24"/>
          <w:szCs w:val="24"/>
        </w:rPr>
        <w:t>coupling</w:t>
      </w:r>
      <w:r w:rsidR="004B5731">
        <w:rPr>
          <w:rFonts w:ascii="Times New Roman" w:hAnsi="Times New Roman" w:cs="Times New Roman"/>
          <w:sz w:val="24"/>
          <w:szCs w:val="24"/>
        </w:rPr>
        <w:t xml:space="preserve">. </w:t>
      </w:r>
    </w:p>
    <w:p w14:paraId="0C1476E8" w14:textId="1773D1BF" w:rsidR="007A340F" w:rsidRDefault="00A15BA9" w:rsidP="005C7B2F">
      <w:pPr>
        <w:spacing w:line="360" w:lineRule="auto"/>
        <w:jc w:val="both"/>
        <w:rPr>
          <w:rFonts w:ascii="Times New Roman" w:hAnsi="Times New Roman" w:cs="Times New Roman"/>
          <w:sz w:val="24"/>
          <w:szCs w:val="24"/>
        </w:rPr>
      </w:pPr>
      <w:r>
        <w:rPr>
          <w:rFonts w:ascii="Times New Roman" w:hAnsi="Times New Roman" w:cs="Times New Roman"/>
          <w:sz w:val="24"/>
          <w:szCs w:val="24"/>
        </w:rPr>
        <w:t>In the current analysis, the coupling between the two mentioned codes is done by means of data exchange. The TRACE code provides to COBRA</w:t>
      </w:r>
      <w:r w:rsidR="003A175C">
        <w:rPr>
          <w:rFonts w:ascii="Times New Roman" w:hAnsi="Times New Roman" w:cs="Times New Roman"/>
          <w:sz w:val="24"/>
          <w:szCs w:val="24"/>
        </w:rPr>
        <w:t xml:space="preserve"> </w:t>
      </w:r>
      <w:r>
        <w:rPr>
          <w:rFonts w:ascii="Times New Roman" w:hAnsi="Times New Roman" w:cs="Times New Roman"/>
          <w:sz w:val="24"/>
          <w:szCs w:val="24"/>
        </w:rPr>
        <w:t>the inlet bundle temperature and mass flow and the bundle outlet pressure. This input data is used by COBRA to compute the temperatures (coolant and cladding) inside the fuel bundle</w:t>
      </w:r>
      <w:r w:rsidR="00497F55">
        <w:rPr>
          <w:rFonts w:ascii="Times New Roman" w:hAnsi="Times New Roman" w:cs="Times New Roman"/>
          <w:sz w:val="24"/>
          <w:szCs w:val="24"/>
        </w:rPr>
        <w:t xml:space="preserve">. The main assumption of the one-way coupling is that the difference in the outlet bundle temperatures computed by the two codes is negligible. </w:t>
      </w:r>
      <w:r w:rsidR="002F5F1F">
        <w:rPr>
          <w:rFonts w:ascii="Times New Roman" w:hAnsi="Times New Roman" w:cs="Times New Roman"/>
          <w:sz w:val="24"/>
          <w:szCs w:val="24"/>
        </w:rPr>
        <w:t xml:space="preserve">The outlet bundle temperature is indeed the feedback output that would be returned to the STH in case of two-way coupling. </w:t>
      </w:r>
      <w:r w:rsidR="00497F55">
        <w:rPr>
          <w:rFonts w:ascii="Times New Roman" w:hAnsi="Times New Roman" w:cs="Times New Roman"/>
          <w:sz w:val="24"/>
          <w:szCs w:val="24"/>
        </w:rPr>
        <w:t>A diagram of the data exchange is shown in</w:t>
      </w:r>
      <w:r w:rsidR="00D70416">
        <w:rPr>
          <w:rFonts w:ascii="Times New Roman" w:hAnsi="Times New Roman" w:cs="Times New Roman"/>
          <w:sz w:val="24"/>
          <w:szCs w:val="24"/>
        </w:rPr>
        <w:t xml:space="preserve"> </w:t>
      </w:r>
      <w:r w:rsidR="00D70416">
        <w:rPr>
          <w:rFonts w:ascii="Times New Roman" w:hAnsi="Times New Roman" w:cs="Times New Roman"/>
          <w:sz w:val="24"/>
          <w:szCs w:val="24"/>
        </w:rPr>
        <w:fldChar w:fldCharType="begin"/>
      </w:r>
      <w:r w:rsidR="00D70416">
        <w:rPr>
          <w:rFonts w:ascii="Times New Roman" w:hAnsi="Times New Roman" w:cs="Times New Roman"/>
          <w:sz w:val="24"/>
          <w:szCs w:val="24"/>
        </w:rPr>
        <w:instrText xml:space="preserve"> REF _Ref221801141 \h </w:instrText>
      </w:r>
      <w:r w:rsidR="00D70416">
        <w:rPr>
          <w:rFonts w:ascii="Times New Roman" w:hAnsi="Times New Roman" w:cs="Times New Roman"/>
          <w:sz w:val="24"/>
          <w:szCs w:val="24"/>
        </w:rPr>
      </w:r>
      <w:r w:rsidR="00D70416">
        <w:rPr>
          <w:rFonts w:ascii="Times New Roman" w:hAnsi="Times New Roman" w:cs="Times New Roman"/>
          <w:sz w:val="24"/>
          <w:szCs w:val="24"/>
        </w:rPr>
        <w:instrText xml:space="preserve"> \* MERGEFORMAT </w:instrText>
      </w:r>
      <w:r w:rsidR="00D70416">
        <w:rPr>
          <w:rFonts w:ascii="Times New Roman" w:hAnsi="Times New Roman" w:cs="Times New Roman"/>
          <w:sz w:val="24"/>
          <w:szCs w:val="24"/>
        </w:rPr>
        <w:fldChar w:fldCharType="separate"/>
      </w:r>
      <w:r w:rsidR="00D70416" w:rsidRPr="00D70416">
        <w:rPr>
          <w:rFonts w:ascii="Times New Roman" w:hAnsi="Times New Roman" w:cs="Times New Roman"/>
          <w:sz w:val="24"/>
          <w:szCs w:val="24"/>
        </w:rPr>
        <w:t>Figure 11. 48</w:t>
      </w:r>
      <w:r w:rsidR="00D70416">
        <w:rPr>
          <w:rFonts w:ascii="Times New Roman" w:hAnsi="Times New Roman" w:cs="Times New Roman"/>
          <w:sz w:val="24"/>
          <w:szCs w:val="24"/>
        </w:rPr>
        <w:fldChar w:fldCharType="end"/>
      </w:r>
      <w:r w:rsidR="00497F55">
        <w:rPr>
          <w:rFonts w:ascii="Times New Roman" w:hAnsi="Times New Roman" w:cs="Times New Roman"/>
          <w:sz w:val="24"/>
          <w:szCs w:val="24"/>
        </w:rPr>
        <w: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9A3227" w14:paraId="4A53BAA8" w14:textId="77777777" w:rsidTr="009A3227">
        <w:tc>
          <w:tcPr>
            <w:tcW w:w="9016" w:type="dxa"/>
          </w:tcPr>
          <w:p w14:paraId="0E33D294" w14:textId="45BCB3B0" w:rsidR="009A3227" w:rsidRDefault="009A3227" w:rsidP="009A3227">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CA424A7" wp14:editId="25822D6C">
                      <wp:simplePos x="0" y="0"/>
                      <wp:positionH relativeFrom="column">
                        <wp:posOffset>2068378</wp:posOffset>
                      </wp:positionH>
                      <wp:positionV relativeFrom="paragraph">
                        <wp:posOffset>290065</wp:posOffset>
                      </wp:positionV>
                      <wp:extent cx="1341120" cy="266700"/>
                      <wp:effectExtent l="0" t="0" r="11430" b="19050"/>
                      <wp:wrapNone/>
                      <wp:docPr id="1121942414" name="Text Box 5"/>
                      <wp:cNvGraphicFramePr/>
                      <a:graphic xmlns:a="http://schemas.openxmlformats.org/drawingml/2006/main">
                        <a:graphicData uri="http://schemas.microsoft.com/office/word/2010/wordprocessingShape">
                          <wps:wsp>
                            <wps:cNvSpPr txBox="1"/>
                            <wps:spPr>
                              <a:xfrm>
                                <a:off x="0" y="0"/>
                                <a:ext cx="1341120" cy="266700"/>
                              </a:xfrm>
                              <a:prstGeom prst="rect">
                                <a:avLst/>
                              </a:prstGeom>
                              <a:solidFill>
                                <a:schemeClr val="lt1"/>
                              </a:solidFill>
                              <a:ln w="6350">
                                <a:solidFill>
                                  <a:prstClr val="black"/>
                                </a:solidFill>
                              </a:ln>
                            </wps:spPr>
                            <wps:txbx>
                              <w:txbxContent>
                                <w:p w14:paraId="61160F6C" w14:textId="77777777" w:rsidR="009A3227" w:rsidRPr="000B343E" w:rsidRDefault="009A3227" w:rsidP="009A3227">
                                  <w:pPr>
                                    <w:rPr>
                                      <w:b/>
                                      <w:bCs/>
                                      <w:vertAlign w:val="subscript"/>
                                      <w:lang w:val="fr-BE"/>
                                    </w:rPr>
                                  </w:pPr>
                                  <w:proofErr w:type="spellStart"/>
                                  <w:proofErr w:type="gramStart"/>
                                  <w:r w:rsidRPr="000B343E">
                                    <w:rPr>
                                      <w:b/>
                                      <w:bCs/>
                                      <w:lang w:val="fr-BE"/>
                                    </w:rPr>
                                    <w:t>T</w:t>
                                  </w:r>
                                  <w:r w:rsidRPr="000B343E">
                                    <w:rPr>
                                      <w:b/>
                                      <w:bCs/>
                                      <w:vertAlign w:val="subscript"/>
                                      <w:lang w:val="fr-BE"/>
                                    </w:rPr>
                                    <w:t>in,FPS</w:t>
                                  </w:r>
                                  <w:proofErr w:type="spellEnd"/>
                                  <w:proofErr w:type="gramEnd"/>
                                  <w:r w:rsidRPr="000B343E">
                                    <w:rPr>
                                      <w:b/>
                                      <w:bCs/>
                                      <w:lang w:val="fr-BE"/>
                                    </w:rPr>
                                    <w:t xml:space="preserve">; </w:t>
                                  </w:r>
                                  <w:proofErr w:type="spellStart"/>
                                  <w:proofErr w:type="gramStart"/>
                                  <w:r w:rsidRPr="000B343E">
                                    <w:rPr>
                                      <w:b/>
                                      <w:bCs/>
                                      <w:lang w:val="fr-BE"/>
                                    </w:rPr>
                                    <w:t>m</w:t>
                                  </w:r>
                                  <w:r w:rsidRPr="000B343E">
                                    <w:rPr>
                                      <w:b/>
                                      <w:bCs/>
                                      <w:vertAlign w:val="subscript"/>
                                      <w:lang w:val="fr-BE"/>
                                    </w:rPr>
                                    <w:t>in,FPS</w:t>
                                  </w:r>
                                  <w:proofErr w:type="spellEnd"/>
                                  <w:proofErr w:type="gramEnd"/>
                                  <w:r w:rsidRPr="000B343E">
                                    <w:rPr>
                                      <w:b/>
                                      <w:bCs/>
                                      <w:lang w:val="fr-BE"/>
                                    </w:rPr>
                                    <w:t xml:space="preserve">; </w:t>
                                  </w:r>
                                  <w:proofErr w:type="spellStart"/>
                                  <w:proofErr w:type="gramStart"/>
                                  <w:r w:rsidRPr="000B343E">
                                    <w:rPr>
                                      <w:b/>
                                      <w:bCs/>
                                      <w:lang w:val="fr-BE"/>
                                    </w:rPr>
                                    <w:t>P</w:t>
                                  </w:r>
                                  <w:r w:rsidRPr="000B343E">
                                    <w:rPr>
                                      <w:b/>
                                      <w:bCs/>
                                      <w:vertAlign w:val="subscript"/>
                                      <w:lang w:val="fr-BE"/>
                                    </w:rPr>
                                    <w:t>out,FPS</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CA424A7" id="_x0000_t202" coordsize="21600,21600" o:spt="202" path="m,l,21600r21600,l21600,xe">
                      <v:stroke joinstyle="miter"/>
                      <v:path gradientshapeok="t" o:connecttype="rect"/>
                    </v:shapetype>
                    <v:shape id="Text Box 5" o:spid="_x0000_s1026" type="#_x0000_t202" style="position:absolute;margin-left:162.85pt;margin-top:22.85pt;width:105.6pt;height:2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" fillcolor="white [3201]" strokeweight=".5pt">
                      <v:textbox>
                        <w:txbxContent>
                          <w:p w14:paraId="61160F6C" w14:textId="77777777" w:rsidR="009A3227" w:rsidRPr="000B343E" w:rsidRDefault="009A3227" w:rsidP="009A3227">
                            <w:pPr>
                              <w:rPr>
                                <w:b/>
                                <w:bCs/>
                                <w:vertAlign w:val="subscript"/>
                                <w:lang w:val="fr-BE"/>
                              </w:rPr>
                            </w:pPr>
                            <w:proofErr w:type="spellStart"/>
                            <w:proofErr w:type="gramStart"/>
                            <w:r w:rsidRPr="000B343E">
                              <w:rPr>
                                <w:b/>
                                <w:bCs/>
                                <w:lang w:val="fr-BE"/>
                              </w:rPr>
                              <w:t>T</w:t>
                            </w:r>
                            <w:r w:rsidRPr="000B343E">
                              <w:rPr>
                                <w:b/>
                                <w:bCs/>
                                <w:vertAlign w:val="subscript"/>
                                <w:lang w:val="fr-BE"/>
                              </w:rPr>
                              <w:t>in,FPS</w:t>
                            </w:r>
                            <w:proofErr w:type="spellEnd"/>
                            <w:proofErr w:type="gramEnd"/>
                            <w:r w:rsidRPr="000B343E">
                              <w:rPr>
                                <w:b/>
                                <w:bCs/>
                                <w:lang w:val="fr-BE"/>
                              </w:rPr>
                              <w:t xml:space="preserve">; </w:t>
                            </w:r>
                            <w:proofErr w:type="spellStart"/>
                            <w:proofErr w:type="gramStart"/>
                            <w:r w:rsidRPr="000B343E">
                              <w:rPr>
                                <w:b/>
                                <w:bCs/>
                                <w:lang w:val="fr-BE"/>
                              </w:rPr>
                              <w:t>m</w:t>
                            </w:r>
                            <w:r w:rsidRPr="000B343E">
                              <w:rPr>
                                <w:b/>
                                <w:bCs/>
                                <w:vertAlign w:val="subscript"/>
                                <w:lang w:val="fr-BE"/>
                              </w:rPr>
                              <w:t>in,FPS</w:t>
                            </w:r>
                            <w:proofErr w:type="spellEnd"/>
                            <w:proofErr w:type="gramEnd"/>
                            <w:r w:rsidRPr="000B343E">
                              <w:rPr>
                                <w:b/>
                                <w:bCs/>
                                <w:lang w:val="fr-BE"/>
                              </w:rPr>
                              <w:t xml:space="preserve">; </w:t>
                            </w:r>
                            <w:proofErr w:type="spellStart"/>
                            <w:proofErr w:type="gramStart"/>
                            <w:r w:rsidRPr="000B343E">
                              <w:rPr>
                                <w:b/>
                                <w:bCs/>
                                <w:lang w:val="fr-BE"/>
                              </w:rPr>
                              <w:t>P</w:t>
                            </w:r>
                            <w:r w:rsidRPr="000B343E">
                              <w:rPr>
                                <w:b/>
                                <w:bCs/>
                                <w:vertAlign w:val="subscript"/>
                                <w:lang w:val="fr-BE"/>
                              </w:rPr>
                              <w:t>out,FPS</w:t>
                            </w:r>
                            <w:proofErr w:type="spellEnd"/>
                            <w:proofErr w:type="gramEnd"/>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93BB672" wp14:editId="07892255">
                      <wp:simplePos x="0" y="0"/>
                      <wp:positionH relativeFrom="column">
                        <wp:posOffset>1637094</wp:posOffset>
                      </wp:positionH>
                      <wp:positionV relativeFrom="paragraph">
                        <wp:posOffset>1494026</wp:posOffset>
                      </wp:positionV>
                      <wp:extent cx="2278380" cy="457200"/>
                      <wp:effectExtent l="0" t="0" r="26670" b="19050"/>
                      <wp:wrapNone/>
                      <wp:docPr id="1073551993" name="Text Box 8"/>
                      <wp:cNvGraphicFramePr/>
                      <a:graphic xmlns:a="http://schemas.openxmlformats.org/drawingml/2006/main">
                        <a:graphicData uri="http://schemas.microsoft.com/office/word/2010/wordprocessingShape">
                          <wps:wsp>
                            <wps:cNvSpPr txBox="1"/>
                            <wps:spPr>
                              <a:xfrm>
                                <a:off x="0" y="0"/>
                                <a:ext cx="2278380" cy="457200"/>
                              </a:xfrm>
                              <a:prstGeom prst="rect">
                                <a:avLst/>
                              </a:prstGeom>
                              <a:solidFill>
                                <a:schemeClr val="lt1"/>
                              </a:solidFill>
                              <a:ln w="6350">
                                <a:solidFill>
                                  <a:prstClr val="black"/>
                                </a:solidFill>
                              </a:ln>
                            </wps:spPr>
                            <wps:txbx>
                              <w:txbxContent>
                                <w:p w14:paraId="7D0C6F48" w14:textId="77777777" w:rsidR="009A3227" w:rsidRPr="000B343E" w:rsidRDefault="009A3227" w:rsidP="009A3227">
                                  <w:pPr>
                                    <w:spacing w:after="0" w:line="240" w:lineRule="auto"/>
                                    <w:rPr>
                                      <w:sz w:val="44"/>
                                      <w:szCs w:val="44"/>
                                      <w:lang w:val="fr-BE"/>
                                    </w:rPr>
                                  </w:pPr>
                                  <w:r w:rsidRPr="000B343E">
                                    <w:rPr>
                                      <w:sz w:val="28"/>
                                      <w:szCs w:val="28"/>
                                      <w:lang w:val="fr-BE"/>
                                    </w:rPr>
                                    <w:t>T</w:t>
                                  </w:r>
                                  <w:r w:rsidRPr="000B343E">
                                    <w:rPr>
                                      <w:sz w:val="28"/>
                                      <w:szCs w:val="28"/>
                                      <w:vertAlign w:val="subscript"/>
                                      <w:lang w:val="fr-BE"/>
                                    </w:rPr>
                                    <w:t>out, FPS, TRACE</w:t>
                                  </w:r>
                                  <w:r w:rsidRPr="000B343E">
                                    <w:rPr>
                                      <w:sz w:val="28"/>
                                      <w:szCs w:val="28"/>
                                      <w:lang w:val="fr-BE"/>
                                    </w:rPr>
                                    <w:t xml:space="preserve"> – T</w:t>
                                  </w:r>
                                  <w:r w:rsidRPr="000B343E">
                                    <w:rPr>
                                      <w:sz w:val="28"/>
                                      <w:szCs w:val="28"/>
                                      <w:vertAlign w:val="subscript"/>
                                      <w:lang w:val="fr-BE"/>
                                    </w:rPr>
                                    <w:t xml:space="preserve">out, FPS, COBRA &lt; </w:t>
                                  </w:r>
                                  <w:r w:rsidRPr="000B343E">
                                    <w:rPr>
                                      <w:rFonts w:cstheme="minorHAnsi"/>
                                      <w:sz w:val="44"/>
                                      <w:szCs w:val="44"/>
                                      <w:vertAlign w:val="subscript"/>
                                      <w:lang w:val="fr-BE"/>
                                    </w:rPr>
                                    <w:t>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BB672" id="Text Box 8" o:spid="_x0000_s1027" type="#_x0000_t202" style="position:absolute;margin-left:128.9pt;margin-top:117.65pt;width:179.4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" fillcolor="white [3201]" strokeweight=".5pt">
                      <v:textbox>
                        <w:txbxContent>
                          <w:p w14:paraId="7D0C6F48" w14:textId="77777777" w:rsidR="009A3227" w:rsidRPr="000B343E" w:rsidRDefault="009A3227" w:rsidP="009A3227">
                            <w:pPr>
                              <w:spacing w:after="0" w:line="240" w:lineRule="auto"/>
                              <w:rPr>
                                <w:sz w:val="44"/>
                                <w:szCs w:val="44"/>
                                <w:lang w:val="fr-BE"/>
                              </w:rPr>
                            </w:pPr>
                            <w:r w:rsidRPr="000B343E">
                              <w:rPr>
                                <w:sz w:val="28"/>
                                <w:szCs w:val="28"/>
                                <w:lang w:val="fr-BE"/>
                              </w:rPr>
                              <w:t>T</w:t>
                            </w:r>
                            <w:r w:rsidRPr="000B343E">
                              <w:rPr>
                                <w:sz w:val="28"/>
                                <w:szCs w:val="28"/>
                                <w:vertAlign w:val="subscript"/>
                                <w:lang w:val="fr-BE"/>
                              </w:rPr>
                              <w:t>out, FPS, TRACE</w:t>
                            </w:r>
                            <w:r w:rsidRPr="000B343E">
                              <w:rPr>
                                <w:sz w:val="28"/>
                                <w:szCs w:val="28"/>
                                <w:lang w:val="fr-BE"/>
                              </w:rPr>
                              <w:t xml:space="preserve"> – T</w:t>
                            </w:r>
                            <w:r w:rsidRPr="000B343E">
                              <w:rPr>
                                <w:sz w:val="28"/>
                                <w:szCs w:val="28"/>
                                <w:vertAlign w:val="subscript"/>
                                <w:lang w:val="fr-BE"/>
                              </w:rPr>
                              <w:t xml:space="preserve">out, FPS, COBRA &lt; </w:t>
                            </w:r>
                            <w:r w:rsidRPr="000B343E">
                              <w:rPr>
                                <w:rFonts w:cstheme="minorHAnsi"/>
                                <w:sz w:val="44"/>
                                <w:szCs w:val="44"/>
                                <w:vertAlign w:val="subscript"/>
                                <w:lang w:val="fr-BE"/>
                              </w:rPr>
                              <w:t>δ</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5222073" wp14:editId="1E1E448B">
                      <wp:simplePos x="0" y="0"/>
                      <wp:positionH relativeFrom="column">
                        <wp:posOffset>4235967</wp:posOffset>
                      </wp:positionH>
                      <wp:positionV relativeFrom="paragraph">
                        <wp:posOffset>1309628</wp:posOffset>
                      </wp:positionV>
                      <wp:extent cx="408940" cy="592455"/>
                      <wp:effectExtent l="19050" t="0" r="10160" b="36195"/>
                      <wp:wrapTopAndBottom/>
                      <wp:docPr id="1831349245" name="Arrow: Bent 6"/>
                      <wp:cNvGraphicFramePr/>
                      <a:graphic xmlns:a="http://schemas.openxmlformats.org/drawingml/2006/main">
                        <a:graphicData uri="http://schemas.microsoft.com/office/word/2010/wordprocessingShape">
                          <wps:wsp>
                            <wps:cNvSpPr/>
                            <wps:spPr>
                              <a:xfrm rot="10800000">
                                <a:off x="0" y="0"/>
                                <a:ext cx="408940" cy="592455"/>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B18FC" id="Arrow: Bent 6" o:spid="_x0000_s1026" style="position:absolute;margin-left:333.55pt;margin-top:103.1pt;width:32.2pt;height:46.65pt;rotation:18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8940,59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" path="m,592455l,230029c,131219,80101,51118,178911,51118r127794,l306705,,408940,102235,306705,204470r,-51117l178911,153353v-42347,,-76676,34329,-76676,76676l102235,592455,,592455xe" fillcolor="#4472c4 [3204]" strokecolor="#09101d [484]" strokeweight="1pt">
                      <v:stroke joinstyle="miter"/>
                      <v:path arrowok="t" o:connecttype="custom" o:connectlocs="0,592455;0,230029;178911,51118;306705,51118;306705,0;408940,102235;306705,204470;306705,153353;178911,153353;102235,230029;102235,592455;0,592455" o:connectangles="0,0,0,0,0,0,0,0,0,0,0,0"/>
                      <w10:wrap type="topAndBottom"/>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37398E6" wp14:editId="50B4A46C">
                      <wp:simplePos x="0" y="0"/>
                      <wp:positionH relativeFrom="column">
                        <wp:posOffset>2267531</wp:posOffset>
                      </wp:positionH>
                      <wp:positionV relativeFrom="paragraph">
                        <wp:posOffset>686822</wp:posOffset>
                      </wp:positionV>
                      <wp:extent cx="1043940" cy="198120"/>
                      <wp:effectExtent l="0" t="19050" r="41910" b="30480"/>
                      <wp:wrapNone/>
                      <wp:docPr id="114638468" name="Arrow: Right 4"/>
                      <wp:cNvGraphicFramePr/>
                      <a:graphic xmlns:a="http://schemas.openxmlformats.org/drawingml/2006/main">
                        <a:graphicData uri="http://schemas.microsoft.com/office/word/2010/wordprocessingShape">
                          <wps:wsp>
                            <wps:cNvSpPr/>
                            <wps:spPr>
                              <a:xfrm>
                                <a:off x="0" y="0"/>
                                <a:ext cx="1043940" cy="19812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6641FE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178.55pt;margin-top:54.1pt;width:82.2pt;height:15.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" adj="19550" fillcolor="#4472c4 [3204]" strokecolor="#09101d [484]"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90A19E1" wp14:editId="75F1328A">
                      <wp:simplePos x="0" y="0"/>
                      <wp:positionH relativeFrom="column">
                        <wp:posOffset>3724770</wp:posOffset>
                      </wp:positionH>
                      <wp:positionV relativeFrom="page">
                        <wp:posOffset>327660</wp:posOffset>
                      </wp:positionV>
                      <wp:extent cx="1424940" cy="876300"/>
                      <wp:effectExtent l="0" t="0" r="22860" b="19050"/>
                      <wp:wrapTopAndBottom/>
                      <wp:docPr id="486147342" name="Rectangle: Rounded Corners 1"/>
                      <wp:cNvGraphicFramePr/>
                      <a:graphic xmlns:a="http://schemas.openxmlformats.org/drawingml/2006/main">
                        <a:graphicData uri="http://schemas.microsoft.com/office/word/2010/wordprocessingShape">
                          <wps:wsp>
                            <wps:cNvSpPr/>
                            <wps:spPr>
                              <a:xfrm>
                                <a:off x="0" y="0"/>
                                <a:ext cx="1424940" cy="876300"/>
                              </a:xfrm>
                              <a:prstGeom prst="roundRect">
                                <a:avLst/>
                              </a:prstGeom>
                              <a:solidFill>
                                <a:srgbClr val="4472C4"/>
                              </a:solidFill>
                              <a:ln w="12700" cap="flat" cmpd="sng" algn="ctr">
                                <a:solidFill>
                                  <a:srgbClr val="4472C4">
                                    <a:shade val="15000"/>
                                  </a:srgbClr>
                                </a:solidFill>
                                <a:prstDash val="solid"/>
                                <a:miter lim="800000"/>
                              </a:ln>
                              <a:effectLst/>
                            </wps:spPr>
                            <wps:txbx>
                              <w:txbxContent>
                                <w:p w14:paraId="265A7C3A" w14:textId="77777777" w:rsidR="009A3227" w:rsidRPr="00497F55" w:rsidRDefault="009A3227" w:rsidP="009A3227">
                                  <w:pPr>
                                    <w:spacing w:after="0" w:line="240" w:lineRule="auto"/>
                                    <w:jc w:val="center"/>
                                    <w:rPr>
                                      <w:color w:val="FFFFFF" w:themeColor="background1"/>
                                      <w:sz w:val="44"/>
                                      <w:szCs w:val="44"/>
                                      <w:lang w:val="en-US"/>
                                    </w:rPr>
                                  </w:pPr>
                                  <w:r w:rsidRPr="00497F55">
                                    <w:rPr>
                                      <w:color w:val="FFFFFF" w:themeColor="background1"/>
                                      <w:sz w:val="44"/>
                                      <w:szCs w:val="44"/>
                                      <w:lang w:val="en-US"/>
                                    </w:rPr>
                                    <w:t>COBRA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90A19E1" id="Rectangle: Rounded Corners 1" o:spid="_x0000_s1028" style="position:absolute;margin-left:293.3pt;margin-top:25.8pt;width:112.2pt;height:69pt;z-index:25166028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" fillcolor="#4472c4" strokecolor="#172c51" strokeweight="1pt">
                      <v:stroke joinstyle="miter"/>
                      <v:textbox>
                        <w:txbxContent>
                          <w:p w14:paraId="265A7C3A" w14:textId="77777777" w:rsidR="009A3227" w:rsidRPr="00497F55" w:rsidRDefault="009A3227" w:rsidP="009A3227">
                            <w:pPr>
                              <w:spacing w:after="0" w:line="240" w:lineRule="auto"/>
                              <w:jc w:val="center"/>
                              <w:rPr>
                                <w:color w:val="FFFFFF" w:themeColor="background1"/>
                                <w:sz w:val="44"/>
                                <w:szCs w:val="44"/>
                                <w:lang w:val="en-US"/>
                              </w:rPr>
                            </w:pPr>
                            <w:r w:rsidRPr="00497F55">
                              <w:rPr>
                                <w:color w:val="FFFFFF" w:themeColor="background1"/>
                                <w:sz w:val="44"/>
                                <w:szCs w:val="44"/>
                                <w:lang w:val="en-US"/>
                              </w:rPr>
                              <w:t>COBRA</w:t>
                            </w:r>
                          </w:p>
                        </w:txbxContent>
                      </v:textbox>
                      <w10:wrap type="topAndBottom" anchory="page"/>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E79ADEF" wp14:editId="7148CCC8">
                      <wp:simplePos x="0" y="0"/>
                      <wp:positionH relativeFrom="column">
                        <wp:posOffset>289689</wp:posOffset>
                      </wp:positionH>
                      <wp:positionV relativeFrom="paragraph">
                        <wp:posOffset>290066</wp:posOffset>
                      </wp:positionV>
                      <wp:extent cx="1424940" cy="944880"/>
                      <wp:effectExtent l="0" t="0" r="22860" b="26670"/>
                      <wp:wrapTopAndBottom/>
                      <wp:docPr id="468954219" name="Rectangle: Rounded Corners 1"/>
                      <wp:cNvGraphicFramePr/>
                      <a:graphic xmlns:a="http://schemas.openxmlformats.org/drawingml/2006/main">
                        <a:graphicData uri="http://schemas.microsoft.com/office/word/2010/wordprocessingShape">
                          <wps:wsp>
                            <wps:cNvSpPr/>
                            <wps:spPr>
                              <a:xfrm>
                                <a:off x="0" y="0"/>
                                <a:ext cx="1424940" cy="9448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5C7650" w14:textId="77777777" w:rsidR="009A3227" w:rsidRPr="00497F55" w:rsidRDefault="009A3227" w:rsidP="009A3227">
                                  <w:pPr>
                                    <w:spacing w:after="0" w:line="240" w:lineRule="auto"/>
                                    <w:jc w:val="center"/>
                                    <w:rPr>
                                      <w:sz w:val="48"/>
                                      <w:szCs w:val="48"/>
                                      <w:lang w:val="en-US"/>
                                    </w:rPr>
                                  </w:pPr>
                                  <w:r w:rsidRPr="00497F55">
                                    <w:rPr>
                                      <w:sz w:val="48"/>
                                      <w:szCs w:val="48"/>
                                      <w:lang w:val="en-US"/>
                                    </w:rPr>
                                    <w:t>TRACE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E79ADEF" id="_x0000_s1029" style="position:absolute;margin-left:22.8pt;margin-top:22.85pt;width:112.2pt;height:74.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" fillcolor="#4472c4 [3204]" strokecolor="#09101d [484]" strokeweight="1pt">
                      <v:stroke joinstyle="miter"/>
                      <v:textbox>
                        <w:txbxContent>
                          <w:p w14:paraId="785C7650" w14:textId="77777777" w:rsidR="009A3227" w:rsidRPr="00497F55" w:rsidRDefault="009A3227" w:rsidP="009A3227">
                            <w:pPr>
                              <w:spacing w:after="0" w:line="240" w:lineRule="auto"/>
                              <w:jc w:val="center"/>
                              <w:rPr>
                                <w:sz w:val="48"/>
                                <w:szCs w:val="48"/>
                                <w:lang w:val="en-US"/>
                              </w:rPr>
                            </w:pPr>
                            <w:r w:rsidRPr="00497F55">
                              <w:rPr>
                                <w:sz w:val="48"/>
                                <w:szCs w:val="48"/>
                                <w:lang w:val="en-US"/>
                              </w:rPr>
                              <w:t>TRACE</w:t>
                            </w:r>
                          </w:p>
                        </w:txbxContent>
                      </v:textbox>
                      <w10:wrap type="topAndBottom"/>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9733D1C" wp14:editId="707E861D">
                      <wp:simplePos x="0" y="0"/>
                      <wp:positionH relativeFrom="column">
                        <wp:posOffset>944880</wp:posOffset>
                      </wp:positionH>
                      <wp:positionV relativeFrom="paragraph">
                        <wp:posOffset>1334135</wp:posOffset>
                      </wp:positionV>
                      <wp:extent cx="411480" cy="556260"/>
                      <wp:effectExtent l="0" t="0" r="45720" b="34290"/>
                      <wp:wrapTopAndBottom/>
                      <wp:docPr id="518015522" name="Arrow: Bent 6"/>
                      <wp:cNvGraphicFramePr/>
                      <a:graphic xmlns:a="http://schemas.openxmlformats.org/drawingml/2006/main">
                        <a:graphicData uri="http://schemas.microsoft.com/office/word/2010/wordprocessingShape">
                          <wps:wsp>
                            <wps:cNvSpPr/>
                            <wps:spPr>
                              <a:xfrm rot="10800000" flipH="1">
                                <a:off x="0" y="0"/>
                                <a:ext cx="411480" cy="556260"/>
                              </a:xfrm>
                              <a:prstGeom prst="ben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B3DE30F" id="Arrow: Bent 6" o:spid="_x0000_s1026" style="position:absolute;margin-left:74.4pt;margin-top:105.05pt;width:32.4pt;height:43.8pt;rotation:180;flip:x;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11480,55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" path="m,556260l,231458c,132034,80599,51435,180023,51435r128587,l308610,,411480,102870,308610,205740r,-51435l180023,154305v-42610,,-77153,34543,-77153,77153l102870,556260,,556260xe" fillcolor="#4472c4" strokecolor="#172c51" strokeweight="1pt">
                      <v:stroke joinstyle="miter"/>
                      <v:path arrowok="t" o:connecttype="custom" o:connectlocs="0,556260;0,231458;180023,51435;308610,51435;308610,0;411480,102870;308610,205740;308610,154305;180023,154305;102870,231458;102870,556260;0,556260" o:connectangles="0,0,0,0,0,0,0,0,0,0,0,0"/>
                      <w10:wrap type="topAndBottom"/>
                    </v:shape>
                  </w:pict>
                </mc:Fallback>
              </mc:AlternateContent>
            </w:r>
            <w:r>
              <w:rPr>
                <w:rFonts w:ascii="Times New Roman" w:hAnsi="Times New Roman" w:cs="Times New Roman"/>
                <w:sz w:val="24"/>
                <w:szCs w:val="24"/>
              </w:rPr>
              <w:t xml:space="preserve">  </w:t>
            </w:r>
          </w:p>
          <w:p w14:paraId="301C5774" w14:textId="51E67270" w:rsidR="009A3227" w:rsidRDefault="009A3227" w:rsidP="000B343E">
            <w:pPr>
              <w:spacing w:line="360" w:lineRule="auto"/>
              <w:rPr>
                <w:rFonts w:ascii="Times New Roman" w:hAnsi="Times New Roman" w:cs="Times New Roman"/>
                <w:sz w:val="24"/>
                <w:szCs w:val="24"/>
              </w:rPr>
            </w:pPr>
          </w:p>
        </w:tc>
      </w:tr>
    </w:tbl>
    <w:p w14:paraId="33943DF4" w14:textId="75A5D935" w:rsidR="00497F55" w:rsidRDefault="009A3227" w:rsidP="009A3227">
      <w:pPr>
        <w:spacing w:line="360" w:lineRule="auto"/>
        <w:jc w:val="center"/>
        <w:rPr>
          <w:rFonts w:ascii="Times New Roman" w:hAnsi="Times New Roman" w:cs="Times New Roman"/>
          <w:sz w:val="24"/>
          <w:szCs w:val="24"/>
        </w:rPr>
      </w:pPr>
      <w:bookmarkStart w:id="30" w:name="_Ref221801141"/>
      <w:r>
        <w:t xml:space="preserve">Figure 11. </w:t>
      </w:r>
      <w:r>
        <w:fldChar w:fldCharType="begin"/>
      </w:r>
      <w:r>
        <w:instrText xml:space="preserve"> SEQ Figure_11. \* ARABIC </w:instrText>
      </w:r>
      <w:r>
        <w:fldChar w:fldCharType="separate"/>
      </w:r>
      <w:r w:rsidR="005248B3">
        <w:rPr>
          <w:noProof/>
        </w:rPr>
        <w:t>48</w:t>
      </w:r>
      <w:r>
        <w:rPr>
          <w:noProof/>
        </w:rPr>
        <w:fldChar w:fldCharType="end"/>
      </w:r>
      <w:bookmarkEnd w:id="30"/>
      <w:r>
        <w:rPr>
          <w:noProof/>
        </w:rPr>
        <w:t xml:space="preserve"> Data exchange diagram</w:t>
      </w:r>
    </w:p>
    <w:p w14:paraId="46DE80A7" w14:textId="484D65DF" w:rsidR="00497F55" w:rsidRDefault="003A175C" w:rsidP="005C7B2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TRACE and COBRA models used in the coupling are the same presented in WP1 and WP3. The coupling was applied to test </w:t>
      </w:r>
      <w:proofErr w:type="gramStart"/>
      <w:r>
        <w:rPr>
          <w:rFonts w:ascii="Times New Roman" w:hAnsi="Times New Roman" w:cs="Times New Roman"/>
          <w:sz w:val="24"/>
          <w:szCs w:val="24"/>
        </w:rPr>
        <w:t>ADP10</w:t>
      </w:r>
      <w:proofErr w:type="gramEnd"/>
      <w:r>
        <w:rPr>
          <w:rFonts w:ascii="Times New Roman" w:hAnsi="Times New Roman" w:cs="Times New Roman"/>
          <w:sz w:val="24"/>
          <w:szCs w:val="24"/>
        </w:rPr>
        <w:t xml:space="preserve"> and its results are presented below</w:t>
      </w:r>
    </w:p>
    <w:p w14:paraId="5DD5AEB7" w14:textId="77777777" w:rsidR="00D70416" w:rsidRDefault="00D70416" w:rsidP="005C7B2F">
      <w:pPr>
        <w:spacing w:line="360" w:lineRule="auto"/>
        <w:jc w:val="both"/>
        <w:rPr>
          <w:rFonts w:ascii="Times New Roman" w:hAnsi="Times New Roman" w:cs="Times New Roman"/>
          <w:sz w:val="24"/>
          <w:szCs w:val="24"/>
        </w:rPr>
      </w:pPr>
    </w:p>
    <w:p w14:paraId="49C8595E" w14:textId="233C6135" w:rsidR="003A175C" w:rsidRPr="00F314F5" w:rsidRDefault="003A175C" w:rsidP="00D70416">
      <w:pPr>
        <w:pStyle w:val="Paragrafoelenco"/>
        <w:numPr>
          <w:ilvl w:val="2"/>
          <w:numId w:val="2"/>
        </w:numPr>
        <w:spacing w:line="360" w:lineRule="auto"/>
        <w:rPr>
          <w:rFonts w:ascii="Times New Roman" w:hAnsi="Times New Roman" w:cs="Times New Roman"/>
          <w:sz w:val="28"/>
          <w:szCs w:val="28"/>
        </w:rPr>
      </w:pPr>
      <w:r w:rsidRPr="00472835">
        <w:rPr>
          <w:rFonts w:ascii="Times New Roman" w:hAnsi="Times New Roman" w:cs="Times New Roman"/>
          <w:sz w:val="28"/>
          <w:szCs w:val="28"/>
        </w:rPr>
        <w:lastRenderedPageBreak/>
        <w:t>ADP</w:t>
      </w:r>
      <w:r>
        <w:rPr>
          <w:rFonts w:ascii="Times New Roman" w:hAnsi="Times New Roman" w:cs="Times New Roman"/>
          <w:sz w:val="28"/>
          <w:szCs w:val="28"/>
        </w:rPr>
        <w:t>10</w:t>
      </w:r>
      <w:r w:rsidRPr="00472835">
        <w:rPr>
          <w:rFonts w:ascii="Times New Roman" w:hAnsi="Times New Roman" w:cs="Times New Roman"/>
          <w:sz w:val="28"/>
          <w:szCs w:val="28"/>
        </w:rPr>
        <w:t xml:space="preserve"> case</w:t>
      </w:r>
    </w:p>
    <w:p w14:paraId="44661D0C" w14:textId="748FC8B3" w:rsidR="00D24A2D" w:rsidRDefault="00D24A2D" w:rsidP="003A175C">
      <w:pPr>
        <w:spacing w:line="360" w:lineRule="auto"/>
        <w:jc w:val="both"/>
        <w:rPr>
          <w:rFonts w:ascii="Times New Roman" w:hAnsi="Times New Roman" w:cs="Times New Roman"/>
          <w:sz w:val="24"/>
          <w:szCs w:val="24"/>
        </w:rPr>
      </w:pPr>
      <w:r>
        <w:rPr>
          <w:rFonts w:ascii="Times New Roman" w:hAnsi="Times New Roman" w:cs="Times New Roman"/>
          <w:sz w:val="24"/>
          <w:szCs w:val="24"/>
        </w:rPr>
        <w:t>The ADP10 is the reference case in the benchmark and was chosen to assess the one-way coupling approach.</w:t>
      </w:r>
      <w:r w:rsidR="00D70416">
        <w:rPr>
          <w:rFonts w:ascii="Times New Roman" w:hAnsi="Times New Roman" w:cs="Times New Roman"/>
          <w:sz w:val="24"/>
          <w:szCs w:val="24"/>
        </w:rPr>
        <w:t xml:space="preserve"> </w:t>
      </w:r>
      <w:r>
        <w:rPr>
          <w:rFonts w:ascii="Times New Roman" w:hAnsi="Times New Roman" w:cs="Times New Roman"/>
          <w:sz w:val="24"/>
          <w:szCs w:val="24"/>
        </w:rPr>
        <w:t>The STH results are the same</w:t>
      </w:r>
      <w:r w:rsidR="00D70416">
        <w:rPr>
          <w:rFonts w:ascii="Times New Roman" w:hAnsi="Times New Roman" w:cs="Times New Roman"/>
          <w:sz w:val="24"/>
          <w:szCs w:val="24"/>
        </w:rPr>
        <w:t xml:space="preserve"> </w:t>
      </w:r>
      <w:r>
        <w:rPr>
          <w:rFonts w:ascii="Times New Roman" w:hAnsi="Times New Roman" w:cs="Times New Roman"/>
          <w:sz w:val="24"/>
          <w:szCs w:val="24"/>
        </w:rPr>
        <w:t xml:space="preserve">ones reported by EC-JRC in WP1 for ADP10 </w:t>
      </w:r>
      <w:r w:rsidR="008C1E74">
        <w:rPr>
          <w:rFonts w:ascii="Times New Roman" w:hAnsi="Times New Roman" w:cs="Times New Roman"/>
          <w:sz w:val="24"/>
          <w:szCs w:val="24"/>
        </w:rPr>
        <w:t xml:space="preserve">case </w:t>
      </w:r>
      <w:r>
        <w:rPr>
          <w:rFonts w:ascii="Times New Roman" w:hAnsi="Times New Roman" w:cs="Times New Roman"/>
          <w:sz w:val="24"/>
          <w:szCs w:val="24"/>
        </w:rPr>
        <w:t>and are not repeated here. It is worth instead to look at the outlet bundle temperature computed by the two codes (</w:t>
      </w:r>
      <w:r w:rsidR="00D70416">
        <w:rPr>
          <w:rFonts w:ascii="Times New Roman" w:hAnsi="Times New Roman" w:cs="Times New Roman"/>
          <w:sz w:val="24"/>
          <w:szCs w:val="24"/>
        </w:rPr>
        <w:fldChar w:fldCharType="begin"/>
      </w:r>
      <w:r w:rsidR="00D70416">
        <w:rPr>
          <w:rFonts w:ascii="Times New Roman" w:hAnsi="Times New Roman" w:cs="Times New Roman"/>
          <w:sz w:val="24"/>
          <w:szCs w:val="24"/>
        </w:rPr>
        <w:instrText xml:space="preserve"> REF _Ref221801129 \h </w:instrText>
      </w:r>
      <w:r w:rsidR="00D70416">
        <w:rPr>
          <w:rFonts w:ascii="Times New Roman" w:hAnsi="Times New Roman" w:cs="Times New Roman"/>
          <w:sz w:val="24"/>
          <w:szCs w:val="24"/>
        </w:rPr>
      </w:r>
      <w:r w:rsidR="00D70416">
        <w:rPr>
          <w:rFonts w:ascii="Times New Roman" w:hAnsi="Times New Roman" w:cs="Times New Roman"/>
          <w:sz w:val="24"/>
          <w:szCs w:val="24"/>
        </w:rPr>
        <w:instrText xml:space="preserve"> \* MERGEFORMAT </w:instrText>
      </w:r>
      <w:r w:rsidR="00D70416">
        <w:rPr>
          <w:rFonts w:ascii="Times New Roman" w:hAnsi="Times New Roman" w:cs="Times New Roman"/>
          <w:sz w:val="24"/>
          <w:szCs w:val="24"/>
        </w:rPr>
        <w:fldChar w:fldCharType="separate"/>
      </w:r>
      <w:r w:rsidR="00D70416" w:rsidRPr="00D70416">
        <w:rPr>
          <w:rFonts w:ascii="Times New Roman" w:hAnsi="Times New Roman" w:cs="Times New Roman"/>
          <w:sz w:val="24"/>
          <w:szCs w:val="24"/>
        </w:rPr>
        <w:t>Figure 11. 49</w:t>
      </w:r>
      <w:r w:rsidR="00D70416">
        <w:rPr>
          <w:rFonts w:ascii="Times New Roman" w:hAnsi="Times New Roman" w:cs="Times New Roman"/>
          <w:sz w:val="24"/>
          <w:szCs w:val="24"/>
        </w:rPr>
        <w:fldChar w:fldCharType="end"/>
      </w:r>
      <w:r>
        <w:rPr>
          <w:rFonts w:ascii="Times New Roman" w:hAnsi="Times New Roman" w:cs="Times New Roman"/>
          <w:sz w:val="24"/>
          <w:szCs w:val="24"/>
        </w:rPr>
        <w:t>).</w:t>
      </w:r>
    </w:p>
    <w:p w14:paraId="6FE734B0" w14:textId="33A28E81" w:rsidR="003A175C" w:rsidRDefault="008C1E74" w:rsidP="00AE0468">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F8095E" wp14:editId="69B789CA">
            <wp:extent cx="5051778" cy="3234055"/>
            <wp:effectExtent l="0" t="0" r="0" b="4445"/>
            <wp:docPr id="1866861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1946" t="6249" r="1265" b="8475"/>
                    <a:stretch>
                      <a:fillRect/>
                    </a:stretch>
                  </pic:blipFill>
                  <pic:spPr bwMode="auto">
                    <a:xfrm>
                      <a:off x="0" y="0"/>
                      <a:ext cx="5075595" cy="3249302"/>
                    </a:xfrm>
                    <a:prstGeom prst="rect">
                      <a:avLst/>
                    </a:prstGeom>
                    <a:noFill/>
                    <a:ln>
                      <a:noFill/>
                    </a:ln>
                    <a:extLst>
                      <a:ext uri="{53640926-AAD7-44D8-BBD7-CCE9431645EC}">
                        <a14:shadowObscured xmlns:a14="http://schemas.microsoft.com/office/drawing/2010/main"/>
                      </a:ext>
                    </a:extLst>
                  </pic:spPr>
                </pic:pic>
              </a:graphicData>
            </a:graphic>
          </wp:inline>
        </w:drawing>
      </w:r>
    </w:p>
    <w:p w14:paraId="19DFBD93" w14:textId="1459DA49" w:rsidR="00D24A2D" w:rsidRDefault="00D24A2D" w:rsidP="00D24A2D">
      <w:pPr>
        <w:spacing w:line="360" w:lineRule="auto"/>
        <w:jc w:val="center"/>
        <w:rPr>
          <w:rFonts w:ascii="Times New Roman" w:hAnsi="Times New Roman" w:cs="Times New Roman"/>
          <w:sz w:val="24"/>
          <w:szCs w:val="24"/>
        </w:rPr>
      </w:pPr>
      <w:bookmarkStart w:id="31" w:name="_Ref221801119"/>
      <w:bookmarkStart w:id="32" w:name="_Ref221801129"/>
      <w:r>
        <w:t xml:space="preserve">Figure 11. </w:t>
      </w:r>
      <w:r>
        <w:fldChar w:fldCharType="begin"/>
      </w:r>
      <w:r>
        <w:instrText xml:space="preserve"> SEQ Figure_11. \* ARABIC </w:instrText>
      </w:r>
      <w:r>
        <w:fldChar w:fldCharType="separate"/>
      </w:r>
      <w:r w:rsidR="005248B3">
        <w:rPr>
          <w:noProof/>
        </w:rPr>
        <w:t>49</w:t>
      </w:r>
      <w:r>
        <w:rPr>
          <w:noProof/>
        </w:rPr>
        <w:fldChar w:fldCharType="end"/>
      </w:r>
      <w:bookmarkEnd w:id="32"/>
      <w:r>
        <w:rPr>
          <w:noProof/>
        </w:rPr>
        <w:t xml:space="preserve"> Outlet bundle temperature</w:t>
      </w:r>
      <w:bookmarkEnd w:id="31"/>
    </w:p>
    <w:p w14:paraId="56099DF8" w14:textId="7377115A" w:rsidR="003A175C" w:rsidRDefault="002D644F" w:rsidP="005C7B2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major differences are observed during the forced-to-natural flow transition phase and natural circulation phase. Since the inlet bundle temperature and the mass flow are imposed, the coolant properties and the heat losses (not computed in COBRA) may partially explain the discrepancies. </w:t>
      </w:r>
      <w:proofErr w:type="gramStart"/>
      <w:r>
        <w:rPr>
          <w:rFonts w:ascii="Times New Roman" w:hAnsi="Times New Roman" w:cs="Times New Roman"/>
          <w:sz w:val="24"/>
          <w:szCs w:val="24"/>
        </w:rPr>
        <w:t>However</w:t>
      </w:r>
      <w:proofErr w:type="gramEnd"/>
      <w:r>
        <w:rPr>
          <w:rFonts w:ascii="Times New Roman" w:hAnsi="Times New Roman" w:cs="Times New Roman"/>
          <w:sz w:val="24"/>
          <w:szCs w:val="24"/>
        </w:rPr>
        <w:t xml:space="preserve"> looking at absolute difference of the two temperatures (</w:t>
      </w:r>
      <w:r w:rsidR="00D70416">
        <w:rPr>
          <w:rFonts w:ascii="Times New Roman" w:hAnsi="Times New Roman" w:cs="Times New Roman"/>
          <w:sz w:val="24"/>
          <w:szCs w:val="24"/>
        </w:rPr>
        <w:fldChar w:fldCharType="begin"/>
      </w:r>
      <w:r w:rsidR="00D70416">
        <w:rPr>
          <w:rFonts w:ascii="Times New Roman" w:hAnsi="Times New Roman" w:cs="Times New Roman"/>
          <w:sz w:val="24"/>
          <w:szCs w:val="24"/>
        </w:rPr>
        <w:instrText xml:space="preserve"> REF _Ref221801161 \h </w:instrText>
      </w:r>
      <w:r w:rsidR="00D70416">
        <w:rPr>
          <w:rFonts w:ascii="Times New Roman" w:hAnsi="Times New Roman" w:cs="Times New Roman"/>
          <w:sz w:val="24"/>
          <w:szCs w:val="24"/>
        </w:rPr>
      </w:r>
      <w:r w:rsidR="00D70416">
        <w:rPr>
          <w:rFonts w:ascii="Times New Roman" w:hAnsi="Times New Roman" w:cs="Times New Roman"/>
          <w:sz w:val="24"/>
          <w:szCs w:val="24"/>
        </w:rPr>
        <w:instrText xml:space="preserve"> \* MERGEFORMAT </w:instrText>
      </w:r>
      <w:r w:rsidR="00D70416">
        <w:rPr>
          <w:rFonts w:ascii="Times New Roman" w:hAnsi="Times New Roman" w:cs="Times New Roman"/>
          <w:sz w:val="24"/>
          <w:szCs w:val="24"/>
        </w:rPr>
        <w:fldChar w:fldCharType="separate"/>
      </w:r>
      <w:r w:rsidR="00D70416" w:rsidRPr="00D70416">
        <w:rPr>
          <w:rFonts w:ascii="Times New Roman" w:hAnsi="Times New Roman" w:cs="Times New Roman"/>
          <w:sz w:val="24"/>
          <w:szCs w:val="24"/>
        </w:rPr>
        <w:t>Figure 11. 50</w:t>
      </w:r>
      <w:r w:rsidR="00D70416">
        <w:rPr>
          <w:rFonts w:ascii="Times New Roman" w:hAnsi="Times New Roman" w:cs="Times New Roman"/>
          <w:sz w:val="24"/>
          <w:szCs w:val="24"/>
        </w:rPr>
        <w:fldChar w:fldCharType="end"/>
      </w:r>
      <w:r>
        <w:rPr>
          <w:rFonts w:ascii="Times New Roman" w:hAnsi="Times New Roman" w:cs="Times New Roman"/>
          <w:sz w:val="24"/>
          <w:szCs w:val="24"/>
        </w:rPr>
        <w:t xml:space="preserve">), it remains within ± 5 °C across most of the transient </w:t>
      </w:r>
      <w:proofErr w:type="gramStart"/>
      <w:r>
        <w:rPr>
          <w:rFonts w:ascii="Times New Roman" w:hAnsi="Times New Roman" w:cs="Times New Roman"/>
          <w:sz w:val="24"/>
          <w:szCs w:val="24"/>
        </w:rPr>
        <w:t>with the exception of</w:t>
      </w:r>
      <w:proofErr w:type="gramEnd"/>
      <w:r>
        <w:rPr>
          <w:rFonts w:ascii="Times New Roman" w:hAnsi="Times New Roman" w:cs="Times New Roman"/>
          <w:sz w:val="24"/>
          <w:szCs w:val="24"/>
        </w:rPr>
        <w:t xml:space="preserve"> the transition face.</w:t>
      </w:r>
    </w:p>
    <w:p w14:paraId="456149C8" w14:textId="1EBBCB46" w:rsidR="00D70416" w:rsidRDefault="00D70416" w:rsidP="00D70416">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_Ref221801169 \h </w:instrText>
      </w:r>
      <w:r>
        <w:rPr>
          <w:rFonts w:ascii="Times New Roman" w:hAnsi="Times New Roman" w:cs="Times New Roman"/>
          <w:sz w:val="24"/>
          <w:szCs w:val="24"/>
        </w:rPr>
      </w:r>
      <w:r>
        <w:rPr>
          <w:rFonts w:ascii="Times New Roman" w:hAnsi="Times New Roman" w:cs="Times New Roman"/>
          <w:sz w:val="24"/>
          <w:szCs w:val="24"/>
        </w:rPr>
        <w:instrText xml:space="preserve"> \* MERGEFORMAT </w:instrText>
      </w:r>
      <w:r>
        <w:rPr>
          <w:rFonts w:ascii="Times New Roman" w:hAnsi="Times New Roman" w:cs="Times New Roman"/>
          <w:sz w:val="24"/>
          <w:szCs w:val="24"/>
        </w:rPr>
        <w:fldChar w:fldCharType="separate"/>
      </w:r>
      <w:r w:rsidRPr="00D70416">
        <w:rPr>
          <w:rFonts w:ascii="Times New Roman" w:hAnsi="Times New Roman" w:cs="Times New Roman"/>
          <w:sz w:val="24"/>
          <w:szCs w:val="24"/>
        </w:rPr>
        <w:t>Figure 11. 51</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248B3">
        <w:rPr>
          <w:rFonts w:ascii="Times New Roman" w:hAnsi="Times New Roman" w:cs="Times New Roman"/>
          <w:sz w:val="24"/>
          <w:szCs w:val="24"/>
        </w:rPr>
        <w:t xml:space="preserve">to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_Ref221801176 \h </w:instrText>
      </w:r>
      <w:r>
        <w:rPr>
          <w:rFonts w:ascii="Times New Roman" w:hAnsi="Times New Roman" w:cs="Times New Roman"/>
          <w:sz w:val="24"/>
          <w:szCs w:val="24"/>
        </w:rPr>
      </w:r>
      <w:r>
        <w:rPr>
          <w:rFonts w:ascii="Times New Roman" w:hAnsi="Times New Roman" w:cs="Times New Roman"/>
          <w:sz w:val="24"/>
          <w:szCs w:val="24"/>
        </w:rPr>
        <w:instrText xml:space="preserve"> \* MERGEFORMAT </w:instrText>
      </w:r>
      <w:r>
        <w:rPr>
          <w:rFonts w:ascii="Times New Roman" w:hAnsi="Times New Roman" w:cs="Times New Roman"/>
          <w:sz w:val="24"/>
          <w:szCs w:val="24"/>
        </w:rPr>
        <w:fldChar w:fldCharType="separate"/>
      </w:r>
      <w:r w:rsidRPr="00D70416">
        <w:rPr>
          <w:rFonts w:ascii="Times New Roman" w:hAnsi="Times New Roman" w:cs="Times New Roman"/>
          <w:sz w:val="24"/>
          <w:szCs w:val="24"/>
        </w:rPr>
        <w:t>Figure 11. 54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248B3">
        <w:rPr>
          <w:rFonts w:ascii="Times New Roman" w:hAnsi="Times New Roman" w:cs="Times New Roman"/>
          <w:sz w:val="24"/>
          <w:szCs w:val="24"/>
        </w:rPr>
        <w:t>show the comparison between experimental values and values</w:t>
      </w:r>
      <w:r>
        <w:rPr>
          <w:rFonts w:ascii="Times New Roman" w:hAnsi="Times New Roman" w:cs="Times New Roman"/>
          <w:sz w:val="24"/>
          <w:szCs w:val="24"/>
        </w:rPr>
        <w:t xml:space="preserve"> calculated in the COBRA model using experimental input data and in the one-way coupled COBRA-TRACE approach for some selected bulk and wall thermocouples located in the FPS. The uniform heating conditions of ADP10 test allows the STH/SCH one-way coupling to produce results that are very similar to those observed in the previous section for the fully coupled STH/CFD </w:t>
      </w:r>
      <w:proofErr w:type="spellStart"/>
      <w:r>
        <w:rPr>
          <w:rFonts w:ascii="Times New Roman" w:hAnsi="Times New Roman" w:cs="Times New Roman"/>
          <w:sz w:val="24"/>
          <w:szCs w:val="24"/>
        </w:rPr>
        <w:t>multiphysics</w:t>
      </w:r>
      <w:proofErr w:type="spellEnd"/>
      <w:r>
        <w:rPr>
          <w:rFonts w:ascii="Times New Roman" w:hAnsi="Times New Roman" w:cs="Times New Roman"/>
          <w:sz w:val="24"/>
          <w:szCs w:val="24"/>
        </w:rPr>
        <w:t xml:space="preserve"> analysis. </w:t>
      </w:r>
    </w:p>
    <w:p w14:paraId="3E9DC37C" w14:textId="233B6B05" w:rsidR="00D70416" w:rsidRDefault="00D70416" w:rsidP="00D70416">
      <w:pPr>
        <w:spacing w:line="360" w:lineRule="auto"/>
        <w:jc w:val="both"/>
        <w:rPr>
          <w:rFonts w:ascii="Times New Roman" w:hAnsi="Times New Roman" w:cs="Times New Roman"/>
          <w:sz w:val="24"/>
          <w:szCs w:val="24"/>
        </w:rPr>
      </w:pPr>
      <w:r>
        <w:rPr>
          <w:rFonts w:ascii="Times New Roman" w:hAnsi="Times New Roman" w:cs="Times New Roman"/>
          <w:sz w:val="24"/>
          <w:szCs w:val="24"/>
        </w:rPr>
        <w:t>As test ADP10 represents the operation condition of fuel bundle to be addressed in the safety case, the STH/SCH approach can be used to analyse real case scenarios</w:t>
      </w:r>
    </w:p>
    <w:p w14:paraId="4FA3A004" w14:textId="77777777" w:rsidR="00D70416" w:rsidRDefault="00D70416" w:rsidP="00D70416">
      <w:pPr>
        <w:spacing w:line="360" w:lineRule="auto"/>
        <w:jc w:val="both"/>
        <w:rPr>
          <w:rFonts w:ascii="Times New Roman" w:hAnsi="Times New Roman" w:cs="Times New Roman"/>
          <w:sz w:val="24"/>
          <w:szCs w:val="24"/>
        </w:rPr>
      </w:pPr>
    </w:p>
    <w:p w14:paraId="707948D9" w14:textId="5EA7DBCA" w:rsidR="002D644F" w:rsidRDefault="001D294C" w:rsidP="00AE0468">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3455BE" wp14:editId="7E7DB379">
            <wp:extent cx="3697200" cy="2520000"/>
            <wp:effectExtent l="0" t="0" r="0" b="0"/>
            <wp:docPr id="16241241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723" t="6476" r="1217" b="2439"/>
                    <a:stretch>
                      <a:fillRect/>
                    </a:stretch>
                  </pic:blipFill>
                  <pic:spPr bwMode="auto">
                    <a:xfrm>
                      <a:off x="0" y="0"/>
                      <a:ext cx="3697200"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20637991" w14:textId="159AD54A" w:rsidR="00D70416" w:rsidRDefault="00A57A6F" w:rsidP="00D70416">
      <w:pPr>
        <w:spacing w:line="360" w:lineRule="auto"/>
        <w:jc w:val="center"/>
        <w:rPr>
          <w:rFonts w:ascii="Times New Roman" w:hAnsi="Times New Roman" w:cs="Times New Roman"/>
          <w:sz w:val="24"/>
          <w:szCs w:val="24"/>
        </w:rPr>
      </w:pPr>
      <w:bookmarkStart w:id="33" w:name="_Ref221801161"/>
      <w:r>
        <w:t xml:space="preserve">Figure 11. </w:t>
      </w:r>
      <w:r>
        <w:fldChar w:fldCharType="begin"/>
      </w:r>
      <w:r>
        <w:instrText xml:space="preserve"> SEQ Figure_11. \* ARABIC </w:instrText>
      </w:r>
      <w:r>
        <w:fldChar w:fldCharType="separate"/>
      </w:r>
      <w:r w:rsidR="005248B3">
        <w:rPr>
          <w:noProof/>
        </w:rPr>
        <w:t>50</w:t>
      </w:r>
      <w:r>
        <w:rPr>
          <w:noProof/>
        </w:rPr>
        <w:fldChar w:fldCharType="end"/>
      </w:r>
      <w:bookmarkEnd w:id="33"/>
      <w:r>
        <w:rPr>
          <w:noProof/>
        </w:rPr>
        <w:t xml:space="preserve"> Outlet bundle temperature</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15"/>
      </w:tblGrid>
      <w:tr w:rsidR="00AE0468" w14:paraId="24864BB4" w14:textId="77777777" w:rsidTr="00AE0468">
        <w:tc>
          <w:tcPr>
            <w:tcW w:w="4508" w:type="dxa"/>
          </w:tcPr>
          <w:p w14:paraId="5CA5BD7E" w14:textId="77777777" w:rsidR="00AE0468" w:rsidRDefault="00AE0468" w:rsidP="005C7B2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884E36" wp14:editId="1BAC8D05">
                  <wp:extent cx="2810309" cy="1811215"/>
                  <wp:effectExtent l="0" t="0" r="9525" b="0"/>
                  <wp:docPr id="560534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1758" t="5723" r="1064" b="8038"/>
                          <a:stretch>
                            <a:fillRect/>
                          </a:stretch>
                        </pic:blipFill>
                        <pic:spPr bwMode="auto">
                          <a:xfrm>
                            <a:off x="0" y="0"/>
                            <a:ext cx="2876280" cy="1853733"/>
                          </a:xfrm>
                          <a:prstGeom prst="rect">
                            <a:avLst/>
                          </a:prstGeom>
                          <a:noFill/>
                          <a:ln>
                            <a:noFill/>
                          </a:ln>
                          <a:extLst>
                            <a:ext uri="{53640926-AAD7-44D8-BBD7-CCE9431645EC}">
                              <a14:shadowObscured xmlns:a14="http://schemas.microsoft.com/office/drawing/2010/main"/>
                            </a:ext>
                          </a:extLst>
                        </pic:spPr>
                      </pic:pic>
                    </a:graphicData>
                  </a:graphic>
                </wp:inline>
              </w:drawing>
            </w:r>
          </w:p>
          <w:p w14:paraId="2A20F1A1" w14:textId="4B3CF4E8" w:rsidR="00AE0468" w:rsidRPr="00AE0468" w:rsidRDefault="00AE0468" w:rsidP="005C7B2F">
            <w:pPr>
              <w:spacing w:line="360" w:lineRule="auto"/>
              <w:jc w:val="both"/>
              <w:rPr>
                <w:rFonts w:ascii="Times New Roman" w:hAnsi="Times New Roman" w:cs="Times New Roman"/>
                <w:i/>
                <w:iCs/>
                <w:sz w:val="18"/>
                <w:szCs w:val="18"/>
              </w:rPr>
            </w:pPr>
            <w:bookmarkStart w:id="34" w:name="_Ref221801169"/>
            <w:r w:rsidRPr="00AE0468">
              <w:rPr>
                <w:i/>
                <w:iCs/>
                <w:sz w:val="18"/>
                <w:szCs w:val="18"/>
              </w:rPr>
              <w:t xml:space="preserve">Figure 11. </w:t>
            </w:r>
            <w:r w:rsidRPr="00AE0468">
              <w:rPr>
                <w:i/>
                <w:iCs/>
                <w:sz w:val="18"/>
                <w:szCs w:val="18"/>
              </w:rPr>
              <w:fldChar w:fldCharType="begin"/>
            </w:r>
            <w:r w:rsidRPr="00AE0468">
              <w:rPr>
                <w:i/>
                <w:iCs/>
                <w:sz w:val="18"/>
                <w:szCs w:val="18"/>
              </w:rPr>
              <w:instrText xml:space="preserve"> SEQ Figure_11. \* ARABIC </w:instrText>
            </w:r>
            <w:r w:rsidRPr="00AE0468">
              <w:rPr>
                <w:i/>
                <w:iCs/>
                <w:sz w:val="18"/>
                <w:szCs w:val="18"/>
              </w:rPr>
              <w:fldChar w:fldCharType="separate"/>
            </w:r>
            <w:r w:rsidR="005248B3">
              <w:rPr>
                <w:i/>
                <w:iCs/>
                <w:noProof/>
                <w:sz w:val="18"/>
                <w:szCs w:val="18"/>
              </w:rPr>
              <w:t>51</w:t>
            </w:r>
            <w:r w:rsidRPr="00AE0468">
              <w:rPr>
                <w:i/>
                <w:iCs/>
                <w:noProof/>
                <w:sz w:val="18"/>
                <w:szCs w:val="18"/>
              </w:rPr>
              <w:fldChar w:fldCharType="end"/>
            </w:r>
            <w:bookmarkEnd w:id="34"/>
            <w:r w:rsidRPr="00AE0468">
              <w:rPr>
                <w:i/>
                <w:iCs/>
                <w:noProof/>
                <w:sz w:val="18"/>
                <w:szCs w:val="18"/>
              </w:rPr>
              <w:t xml:space="preserve"> ADP07 – Experimental and Calculated FPS Bulk TC2 temperature time trends</w:t>
            </w:r>
          </w:p>
        </w:tc>
        <w:tc>
          <w:tcPr>
            <w:tcW w:w="4508" w:type="dxa"/>
          </w:tcPr>
          <w:p w14:paraId="4FC458FD" w14:textId="77777777" w:rsidR="00AE0468" w:rsidRDefault="00AE0468" w:rsidP="005C7B2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72063B" wp14:editId="3230F826">
                  <wp:extent cx="2821986" cy="1822938"/>
                  <wp:effectExtent l="0" t="0" r="0" b="6350"/>
                  <wp:docPr id="963947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928" t="6068" r="1242" b="7803"/>
                          <a:stretch>
                            <a:fillRect/>
                          </a:stretch>
                        </pic:blipFill>
                        <pic:spPr bwMode="auto">
                          <a:xfrm>
                            <a:off x="0" y="0"/>
                            <a:ext cx="2887678" cy="1865373"/>
                          </a:xfrm>
                          <a:prstGeom prst="rect">
                            <a:avLst/>
                          </a:prstGeom>
                          <a:noFill/>
                          <a:ln>
                            <a:noFill/>
                          </a:ln>
                          <a:extLst>
                            <a:ext uri="{53640926-AAD7-44D8-BBD7-CCE9431645EC}">
                              <a14:shadowObscured xmlns:a14="http://schemas.microsoft.com/office/drawing/2010/main"/>
                            </a:ext>
                          </a:extLst>
                        </pic:spPr>
                      </pic:pic>
                    </a:graphicData>
                  </a:graphic>
                </wp:inline>
              </w:drawing>
            </w:r>
          </w:p>
          <w:p w14:paraId="4CE26695" w14:textId="36781523" w:rsidR="00AE0468" w:rsidRDefault="00AE0468" w:rsidP="005C7B2F">
            <w:pPr>
              <w:spacing w:line="360" w:lineRule="auto"/>
              <w:jc w:val="both"/>
              <w:rPr>
                <w:rFonts w:ascii="Times New Roman" w:hAnsi="Times New Roman" w:cs="Times New Roman"/>
                <w:sz w:val="24"/>
                <w:szCs w:val="24"/>
              </w:rPr>
            </w:pPr>
            <w:r w:rsidRPr="00AE0468">
              <w:rPr>
                <w:i/>
                <w:iCs/>
                <w:sz w:val="18"/>
                <w:szCs w:val="18"/>
              </w:rPr>
              <w:t xml:space="preserve">Figure 11. </w:t>
            </w:r>
            <w:r w:rsidRPr="00AE0468">
              <w:rPr>
                <w:i/>
                <w:iCs/>
                <w:sz w:val="18"/>
                <w:szCs w:val="18"/>
              </w:rPr>
              <w:fldChar w:fldCharType="begin"/>
            </w:r>
            <w:r w:rsidRPr="00AE0468">
              <w:rPr>
                <w:i/>
                <w:iCs/>
                <w:sz w:val="18"/>
                <w:szCs w:val="18"/>
              </w:rPr>
              <w:instrText xml:space="preserve"> SEQ Figure_11. \* ARABIC </w:instrText>
            </w:r>
            <w:r w:rsidRPr="00AE0468">
              <w:rPr>
                <w:i/>
                <w:iCs/>
                <w:sz w:val="18"/>
                <w:szCs w:val="18"/>
              </w:rPr>
              <w:fldChar w:fldCharType="separate"/>
            </w:r>
            <w:r w:rsidR="005248B3">
              <w:rPr>
                <w:i/>
                <w:iCs/>
                <w:noProof/>
                <w:sz w:val="18"/>
                <w:szCs w:val="18"/>
              </w:rPr>
              <w:t>52</w:t>
            </w:r>
            <w:r w:rsidRPr="00AE0468">
              <w:rPr>
                <w:i/>
                <w:iCs/>
                <w:noProof/>
                <w:sz w:val="18"/>
                <w:szCs w:val="18"/>
              </w:rPr>
              <w:fldChar w:fldCharType="end"/>
            </w:r>
            <w:r w:rsidRPr="00AE0468">
              <w:rPr>
                <w:i/>
                <w:iCs/>
                <w:noProof/>
                <w:sz w:val="18"/>
                <w:szCs w:val="18"/>
              </w:rPr>
              <w:t xml:space="preserve"> ADP07 – Experimental and Calculated FPS Bulk TC</w:t>
            </w:r>
            <w:r>
              <w:rPr>
                <w:i/>
                <w:iCs/>
                <w:noProof/>
                <w:sz w:val="18"/>
                <w:szCs w:val="18"/>
              </w:rPr>
              <w:t>4</w:t>
            </w:r>
            <w:r w:rsidRPr="00AE0468">
              <w:rPr>
                <w:i/>
                <w:iCs/>
                <w:noProof/>
                <w:sz w:val="18"/>
                <w:szCs w:val="18"/>
              </w:rPr>
              <w:t xml:space="preserve"> temperature time trends</w:t>
            </w:r>
          </w:p>
        </w:tc>
      </w:tr>
    </w:tbl>
    <w:p w14:paraId="2A6B364B" w14:textId="77777777" w:rsidR="004E02B5" w:rsidRDefault="004E02B5" w:rsidP="005C7B2F">
      <w:pPr>
        <w:spacing w:line="360" w:lineRule="auto"/>
        <w:jc w:val="both"/>
        <w:rPr>
          <w:rFonts w:ascii="Times New Roman" w:hAnsi="Times New Roman" w:cs="Times New Roman"/>
          <w:sz w:val="24"/>
          <w:szCs w:val="24"/>
        </w:rPr>
      </w:pPr>
    </w:p>
    <w:tbl>
      <w:tblPr>
        <w:tblStyle w:val="Grigliatabella"/>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5"/>
        <w:gridCol w:w="4753"/>
      </w:tblGrid>
      <w:tr w:rsidR="00AE0468" w14:paraId="20B02979" w14:textId="77777777" w:rsidTr="00AE0468">
        <w:tc>
          <w:tcPr>
            <w:tcW w:w="4509" w:type="dxa"/>
          </w:tcPr>
          <w:p w14:paraId="501DF41C" w14:textId="77777777" w:rsidR="00AE0468" w:rsidRDefault="00AE0468" w:rsidP="005C7B2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2B8086" wp14:editId="5877804A">
                  <wp:extent cx="2882504" cy="1963615"/>
                  <wp:effectExtent l="0" t="0" r="0" b="0"/>
                  <wp:docPr id="98763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1776" t="1087" r="918" b="7639"/>
                          <a:stretch>
                            <a:fillRect/>
                          </a:stretch>
                        </pic:blipFill>
                        <pic:spPr bwMode="auto">
                          <a:xfrm>
                            <a:off x="0" y="0"/>
                            <a:ext cx="2945845" cy="2006764"/>
                          </a:xfrm>
                          <a:prstGeom prst="rect">
                            <a:avLst/>
                          </a:prstGeom>
                          <a:noFill/>
                          <a:ln>
                            <a:noFill/>
                          </a:ln>
                          <a:extLst>
                            <a:ext uri="{53640926-AAD7-44D8-BBD7-CCE9431645EC}">
                              <a14:shadowObscured xmlns:a14="http://schemas.microsoft.com/office/drawing/2010/main"/>
                            </a:ext>
                          </a:extLst>
                        </pic:spPr>
                      </pic:pic>
                    </a:graphicData>
                  </a:graphic>
                </wp:inline>
              </w:drawing>
            </w:r>
          </w:p>
          <w:p w14:paraId="6B9965A4" w14:textId="18375851" w:rsidR="00AE0468" w:rsidRDefault="00AE0468" w:rsidP="005C7B2F">
            <w:pPr>
              <w:spacing w:line="360" w:lineRule="auto"/>
              <w:jc w:val="both"/>
              <w:rPr>
                <w:rFonts w:ascii="Times New Roman" w:hAnsi="Times New Roman" w:cs="Times New Roman"/>
                <w:sz w:val="24"/>
                <w:szCs w:val="24"/>
              </w:rPr>
            </w:pPr>
            <w:r w:rsidRPr="00AE0468">
              <w:rPr>
                <w:i/>
                <w:iCs/>
                <w:sz w:val="18"/>
                <w:szCs w:val="18"/>
              </w:rPr>
              <w:t xml:space="preserve">Figure 11. </w:t>
            </w:r>
            <w:r w:rsidRPr="00AE0468">
              <w:rPr>
                <w:i/>
                <w:iCs/>
                <w:sz w:val="18"/>
                <w:szCs w:val="18"/>
              </w:rPr>
              <w:fldChar w:fldCharType="begin"/>
            </w:r>
            <w:r w:rsidRPr="00AE0468">
              <w:rPr>
                <w:i/>
                <w:iCs/>
                <w:sz w:val="18"/>
                <w:szCs w:val="18"/>
              </w:rPr>
              <w:instrText xml:space="preserve"> SEQ Figure_11. \* ARABIC </w:instrText>
            </w:r>
            <w:r w:rsidRPr="00AE0468">
              <w:rPr>
                <w:i/>
                <w:iCs/>
                <w:sz w:val="18"/>
                <w:szCs w:val="18"/>
              </w:rPr>
              <w:fldChar w:fldCharType="separate"/>
            </w:r>
            <w:r w:rsidR="005248B3">
              <w:rPr>
                <w:i/>
                <w:iCs/>
                <w:noProof/>
                <w:sz w:val="18"/>
                <w:szCs w:val="18"/>
              </w:rPr>
              <w:t>53</w:t>
            </w:r>
            <w:r w:rsidRPr="00AE0468">
              <w:rPr>
                <w:i/>
                <w:iCs/>
                <w:noProof/>
                <w:sz w:val="18"/>
                <w:szCs w:val="18"/>
              </w:rPr>
              <w:fldChar w:fldCharType="end"/>
            </w:r>
            <w:r w:rsidRPr="00AE0468">
              <w:rPr>
                <w:i/>
                <w:iCs/>
                <w:noProof/>
                <w:sz w:val="18"/>
                <w:szCs w:val="18"/>
              </w:rPr>
              <w:t xml:space="preserve"> ADP07 – Experimental and Calculated FPS </w:t>
            </w:r>
            <w:r>
              <w:rPr>
                <w:i/>
                <w:iCs/>
                <w:noProof/>
                <w:sz w:val="18"/>
                <w:szCs w:val="18"/>
              </w:rPr>
              <w:t>Wall</w:t>
            </w:r>
            <w:r w:rsidRPr="00AE0468">
              <w:rPr>
                <w:i/>
                <w:iCs/>
                <w:noProof/>
                <w:sz w:val="18"/>
                <w:szCs w:val="18"/>
              </w:rPr>
              <w:t xml:space="preserve"> T</w:t>
            </w:r>
            <w:r>
              <w:rPr>
                <w:i/>
                <w:iCs/>
                <w:noProof/>
                <w:sz w:val="18"/>
                <w:szCs w:val="18"/>
              </w:rPr>
              <w:t>C51</w:t>
            </w:r>
            <w:r w:rsidRPr="00AE0468">
              <w:rPr>
                <w:i/>
                <w:iCs/>
                <w:noProof/>
                <w:sz w:val="18"/>
                <w:szCs w:val="18"/>
              </w:rPr>
              <w:t xml:space="preserve"> temperature time trends</w:t>
            </w:r>
          </w:p>
        </w:tc>
        <w:tc>
          <w:tcPr>
            <w:tcW w:w="4842" w:type="dxa"/>
          </w:tcPr>
          <w:p w14:paraId="5A62309D" w14:textId="77777777" w:rsidR="00AE0468" w:rsidRDefault="00AE0468" w:rsidP="005C7B2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00BBDF" wp14:editId="6CF782CB">
                  <wp:extent cx="2881458" cy="1951892"/>
                  <wp:effectExtent l="0" t="0" r="0" b="0"/>
                  <wp:docPr id="1935050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1686" t="1290" r="1261" b="8183"/>
                          <a:stretch>
                            <a:fillRect/>
                          </a:stretch>
                        </pic:blipFill>
                        <pic:spPr bwMode="auto">
                          <a:xfrm>
                            <a:off x="0" y="0"/>
                            <a:ext cx="2917358" cy="1976211"/>
                          </a:xfrm>
                          <a:prstGeom prst="rect">
                            <a:avLst/>
                          </a:prstGeom>
                          <a:noFill/>
                          <a:ln>
                            <a:noFill/>
                          </a:ln>
                          <a:extLst>
                            <a:ext uri="{53640926-AAD7-44D8-BBD7-CCE9431645EC}">
                              <a14:shadowObscured xmlns:a14="http://schemas.microsoft.com/office/drawing/2010/main"/>
                            </a:ext>
                          </a:extLst>
                        </pic:spPr>
                      </pic:pic>
                    </a:graphicData>
                  </a:graphic>
                </wp:inline>
              </w:drawing>
            </w:r>
          </w:p>
          <w:p w14:paraId="76DD3E69" w14:textId="7D7BB947" w:rsidR="00AE0468" w:rsidRDefault="00AE0468" w:rsidP="005C7B2F">
            <w:pPr>
              <w:spacing w:line="360" w:lineRule="auto"/>
              <w:jc w:val="both"/>
              <w:rPr>
                <w:rFonts w:ascii="Times New Roman" w:hAnsi="Times New Roman" w:cs="Times New Roman"/>
                <w:sz w:val="24"/>
                <w:szCs w:val="24"/>
              </w:rPr>
            </w:pPr>
            <w:bookmarkStart w:id="35" w:name="_Ref221801176"/>
            <w:r w:rsidRPr="00AE0468">
              <w:rPr>
                <w:i/>
                <w:iCs/>
                <w:sz w:val="18"/>
                <w:szCs w:val="18"/>
              </w:rPr>
              <w:t xml:space="preserve">Figure 11. </w:t>
            </w:r>
            <w:r w:rsidRPr="00AE0468">
              <w:rPr>
                <w:i/>
                <w:iCs/>
                <w:sz w:val="18"/>
                <w:szCs w:val="18"/>
              </w:rPr>
              <w:fldChar w:fldCharType="begin"/>
            </w:r>
            <w:r w:rsidRPr="00AE0468">
              <w:rPr>
                <w:i/>
                <w:iCs/>
                <w:sz w:val="18"/>
                <w:szCs w:val="18"/>
              </w:rPr>
              <w:instrText xml:space="preserve"> SEQ Figure_11. \* ARABIC </w:instrText>
            </w:r>
            <w:r w:rsidRPr="00AE0468">
              <w:rPr>
                <w:i/>
                <w:iCs/>
                <w:sz w:val="18"/>
                <w:szCs w:val="18"/>
              </w:rPr>
              <w:fldChar w:fldCharType="separate"/>
            </w:r>
            <w:r w:rsidR="005248B3">
              <w:rPr>
                <w:i/>
                <w:iCs/>
                <w:noProof/>
                <w:sz w:val="18"/>
                <w:szCs w:val="18"/>
              </w:rPr>
              <w:t>54</w:t>
            </w:r>
            <w:r w:rsidRPr="00AE0468">
              <w:rPr>
                <w:i/>
                <w:iCs/>
                <w:noProof/>
                <w:sz w:val="18"/>
                <w:szCs w:val="18"/>
              </w:rPr>
              <w:fldChar w:fldCharType="end"/>
            </w:r>
            <w:bookmarkEnd w:id="35"/>
            <w:r w:rsidRPr="00AE0468">
              <w:rPr>
                <w:i/>
                <w:iCs/>
                <w:noProof/>
                <w:sz w:val="18"/>
                <w:szCs w:val="18"/>
              </w:rPr>
              <w:t xml:space="preserve"> ADP07 – Experimental and Calculated FPS </w:t>
            </w:r>
            <w:r>
              <w:rPr>
                <w:i/>
                <w:iCs/>
                <w:noProof/>
                <w:sz w:val="18"/>
                <w:szCs w:val="18"/>
              </w:rPr>
              <w:t>Wall</w:t>
            </w:r>
            <w:r w:rsidRPr="00AE0468">
              <w:rPr>
                <w:i/>
                <w:iCs/>
                <w:noProof/>
                <w:sz w:val="18"/>
                <w:szCs w:val="18"/>
              </w:rPr>
              <w:t xml:space="preserve"> TC</w:t>
            </w:r>
            <w:r>
              <w:rPr>
                <w:i/>
                <w:iCs/>
                <w:noProof/>
                <w:sz w:val="18"/>
                <w:szCs w:val="18"/>
              </w:rPr>
              <w:t>67</w:t>
            </w:r>
            <w:r w:rsidRPr="00AE0468">
              <w:rPr>
                <w:i/>
                <w:iCs/>
                <w:noProof/>
                <w:sz w:val="18"/>
                <w:szCs w:val="18"/>
              </w:rPr>
              <w:t xml:space="preserve"> temperature time trends</w:t>
            </w:r>
          </w:p>
        </w:tc>
      </w:tr>
    </w:tbl>
    <w:p w14:paraId="6A965584" w14:textId="77777777" w:rsidR="004E02B5" w:rsidRDefault="004E02B5" w:rsidP="005C7B2F">
      <w:pPr>
        <w:spacing w:line="360" w:lineRule="auto"/>
        <w:jc w:val="both"/>
        <w:rPr>
          <w:rFonts w:ascii="Times New Roman" w:hAnsi="Times New Roman" w:cs="Times New Roman"/>
          <w:sz w:val="24"/>
          <w:szCs w:val="24"/>
        </w:rPr>
      </w:pPr>
    </w:p>
    <w:p w14:paraId="1C87E38E" w14:textId="00EC6DCC" w:rsidR="004F15B4" w:rsidRDefault="004F15B4" w:rsidP="00AA2ABF">
      <w:pPr>
        <w:pStyle w:val="Paragrafoelenco"/>
        <w:numPr>
          <w:ilvl w:val="1"/>
          <w:numId w:val="2"/>
        </w:numPr>
        <w:rPr>
          <w:rFonts w:ascii="Times New Roman" w:hAnsi="Times New Roman" w:cs="Times New Roman"/>
          <w:sz w:val="32"/>
          <w:szCs w:val="32"/>
        </w:rPr>
      </w:pPr>
      <w:bookmarkStart w:id="36" w:name="_Hlk221178080"/>
      <w:r>
        <w:rPr>
          <w:rFonts w:ascii="Times New Roman" w:hAnsi="Times New Roman" w:cs="Times New Roman"/>
          <w:sz w:val="32"/>
          <w:szCs w:val="32"/>
        </w:rPr>
        <w:lastRenderedPageBreak/>
        <w:t>Conclusions</w:t>
      </w:r>
    </w:p>
    <w:p w14:paraId="0C4BC521" w14:textId="380647B4" w:rsidR="004F15B4" w:rsidRDefault="004F15B4" w:rsidP="004F15B4">
      <w:pPr>
        <w:spacing w:line="360" w:lineRule="auto"/>
        <w:jc w:val="both"/>
        <w:rPr>
          <w:rFonts w:ascii="Times New Roman" w:hAnsi="Times New Roman" w:cs="Times New Roman"/>
          <w:sz w:val="24"/>
          <w:szCs w:val="24"/>
        </w:rPr>
      </w:pPr>
      <w:r w:rsidRPr="004F15B4">
        <w:rPr>
          <w:rFonts w:ascii="Times New Roman" w:hAnsi="Times New Roman" w:cs="Times New Roman"/>
          <w:sz w:val="24"/>
          <w:szCs w:val="24"/>
        </w:rPr>
        <w:t>The present</w:t>
      </w:r>
      <w:r>
        <w:rPr>
          <w:rFonts w:ascii="Times New Roman" w:hAnsi="Times New Roman" w:cs="Times New Roman"/>
          <w:sz w:val="24"/>
          <w:szCs w:val="24"/>
        </w:rPr>
        <w:t xml:space="preserve"> chapter resumed the results submitted by the participants for WP4, Multiphysics. </w:t>
      </w:r>
      <w:r w:rsidR="00552BF5">
        <w:rPr>
          <w:rFonts w:ascii="Times New Roman" w:hAnsi="Times New Roman" w:cs="Times New Roman"/>
          <w:sz w:val="24"/>
          <w:szCs w:val="24"/>
        </w:rPr>
        <w:t>Most</w:t>
      </w:r>
      <w:r>
        <w:rPr>
          <w:rFonts w:ascii="Times New Roman" w:hAnsi="Times New Roman" w:cs="Times New Roman"/>
          <w:sz w:val="24"/>
          <w:szCs w:val="24"/>
        </w:rPr>
        <w:t xml:space="preserve"> institutions performed coupled STH/CFD calculations addressing the Fuel Pin Simulator adopting the CFD approach. </w:t>
      </w:r>
      <w:r w:rsidR="00552BF5">
        <w:rPr>
          <w:rFonts w:ascii="Times New Roman" w:hAnsi="Times New Roman" w:cs="Times New Roman"/>
          <w:sz w:val="24"/>
          <w:szCs w:val="24"/>
        </w:rPr>
        <w:t>One institution explore</w:t>
      </w:r>
      <w:r w:rsidR="008253AB">
        <w:rPr>
          <w:rFonts w:ascii="Times New Roman" w:hAnsi="Times New Roman" w:cs="Times New Roman"/>
          <w:sz w:val="24"/>
          <w:szCs w:val="24"/>
        </w:rPr>
        <w:t>d</w:t>
      </w:r>
      <w:r w:rsidR="00552BF5">
        <w:rPr>
          <w:rFonts w:ascii="Times New Roman" w:hAnsi="Times New Roman" w:cs="Times New Roman"/>
          <w:sz w:val="24"/>
          <w:szCs w:val="24"/>
        </w:rPr>
        <w:t xml:space="preserve"> the one-way coupling between the STH code TRACE and the SCH code COBRA-I-IV. </w:t>
      </w:r>
      <w:r>
        <w:rPr>
          <w:rFonts w:ascii="Times New Roman" w:hAnsi="Times New Roman" w:cs="Times New Roman"/>
          <w:sz w:val="24"/>
          <w:szCs w:val="24"/>
        </w:rPr>
        <w:t>This allowed for a suitable representation of the three-</w:t>
      </w:r>
      <w:bookmarkEnd w:id="36"/>
      <w:r>
        <w:rPr>
          <w:rFonts w:ascii="Times New Roman" w:hAnsi="Times New Roman" w:cs="Times New Roman"/>
          <w:sz w:val="24"/>
          <w:szCs w:val="24"/>
        </w:rPr>
        <w:t xml:space="preserve">dimensional environment of the rod bundle, granting richness of information about temperature and velocity distributions while keeping the total computational </w:t>
      </w:r>
      <w:r>
        <w:rPr>
          <w:rFonts w:ascii="Times New Roman" w:hAnsi="Times New Roman" w:cs="Times New Roman"/>
          <w:sz w:val="24"/>
          <w:szCs w:val="24"/>
        </w:rPr>
        <w:t xml:space="preserve">cost sufficiently small thanks to the STH portion of the domain in the </w:t>
      </w:r>
      <w:proofErr w:type="spellStart"/>
      <w:proofErr w:type="gramStart"/>
      <w:r>
        <w:rPr>
          <w:rFonts w:ascii="Times New Roman" w:hAnsi="Times New Roman" w:cs="Times New Roman"/>
          <w:sz w:val="24"/>
          <w:szCs w:val="24"/>
        </w:rPr>
        <w:t>loop.Results</w:t>
      </w:r>
      <w:proofErr w:type="spellEnd"/>
      <w:proofErr w:type="gramEnd"/>
      <w:r>
        <w:rPr>
          <w:rFonts w:ascii="Times New Roman" w:hAnsi="Times New Roman" w:cs="Times New Roman"/>
          <w:sz w:val="24"/>
          <w:szCs w:val="24"/>
        </w:rPr>
        <w:t xml:space="preserve"> were in general promising, reporting good capabilities in dealing with all the addressed scenarios. All the modelling strategies proved to be good options and no relevant differences between the submitted results were observed except for the ones related to superior capabilities of the adopted codes, either STH or CFD, with respect to </w:t>
      </w:r>
      <w:proofErr w:type="spellStart"/>
      <w:proofErr w:type="gramStart"/>
      <w:r>
        <w:rPr>
          <w:rFonts w:ascii="Times New Roman" w:hAnsi="Times New Roman" w:cs="Times New Roman"/>
          <w:sz w:val="24"/>
          <w:szCs w:val="24"/>
        </w:rPr>
        <w:t>others.It</w:t>
      </w:r>
      <w:proofErr w:type="spellEnd"/>
      <w:proofErr w:type="gramEnd"/>
      <w:r>
        <w:rPr>
          <w:rFonts w:ascii="Times New Roman" w:hAnsi="Times New Roman" w:cs="Times New Roman"/>
          <w:sz w:val="24"/>
          <w:szCs w:val="24"/>
        </w:rPr>
        <w:t xml:space="preserve"> must be mentioned that the computational cost is not negligible. Participants experienced computational times straddling from a week to about a month to achieve predictions that could be provided in terms of hours adopting a STH </w:t>
      </w:r>
      <w:proofErr w:type="spellStart"/>
      <w:r>
        <w:rPr>
          <w:rFonts w:ascii="Times New Roman" w:hAnsi="Times New Roman" w:cs="Times New Roman"/>
          <w:sz w:val="24"/>
          <w:szCs w:val="24"/>
        </w:rPr>
        <w:t>stand alone</w:t>
      </w:r>
      <w:proofErr w:type="spellEnd"/>
      <w:r>
        <w:rPr>
          <w:rFonts w:ascii="Times New Roman" w:hAnsi="Times New Roman" w:cs="Times New Roman"/>
          <w:sz w:val="24"/>
          <w:szCs w:val="24"/>
        </w:rPr>
        <w:t xml:space="preserve"> approach. </w:t>
      </w:r>
      <w:r w:rsidR="00B421A2">
        <w:rPr>
          <w:rFonts w:ascii="Times New Roman" w:hAnsi="Times New Roman" w:cs="Times New Roman"/>
          <w:sz w:val="24"/>
          <w:szCs w:val="24"/>
        </w:rPr>
        <w:t xml:space="preserve">This is also the main reason behind the lack of refinement calculations submitted after the release of experimental data. </w:t>
      </w:r>
      <w:r>
        <w:rPr>
          <w:rFonts w:ascii="Times New Roman" w:hAnsi="Times New Roman" w:cs="Times New Roman"/>
          <w:sz w:val="24"/>
          <w:szCs w:val="24"/>
        </w:rPr>
        <w:t xml:space="preserve">Nevertheless, the payback of the additional cost </w:t>
      </w:r>
      <w:r w:rsidR="00B421A2">
        <w:rPr>
          <w:rFonts w:ascii="Times New Roman" w:hAnsi="Times New Roman" w:cs="Times New Roman"/>
          <w:sz w:val="24"/>
          <w:szCs w:val="24"/>
        </w:rPr>
        <w:t xml:space="preserve">was rewarded by the capability of sensing the difference between the postulated heating configurations. </w:t>
      </w:r>
      <w:r w:rsidR="00552BF5">
        <w:rPr>
          <w:rFonts w:ascii="Times New Roman" w:hAnsi="Times New Roman" w:cs="Times New Roman"/>
          <w:sz w:val="24"/>
          <w:szCs w:val="24"/>
        </w:rPr>
        <w:t xml:space="preserve">In this respect, the computational burden of the one-way STH/SCH coupling was comparable to the STH stand-alone approach and could be considered as a preliminary, intermediate approach to the </w:t>
      </w:r>
      <w:r w:rsidR="00850064">
        <w:rPr>
          <w:rFonts w:ascii="Times New Roman" w:hAnsi="Times New Roman" w:cs="Times New Roman"/>
          <w:sz w:val="24"/>
          <w:szCs w:val="24"/>
        </w:rPr>
        <w:t>fully coupled</w:t>
      </w:r>
      <w:r w:rsidR="00552BF5">
        <w:rPr>
          <w:rFonts w:ascii="Times New Roman" w:hAnsi="Times New Roman" w:cs="Times New Roman"/>
          <w:sz w:val="24"/>
          <w:szCs w:val="24"/>
        </w:rPr>
        <w:t xml:space="preserve"> STH/CFD one.</w:t>
      </w:r>
    </w:p>
    <w:p w14:paraId="4545F6BE" w14:textId="3CEFDAEC" w:rsidR="00B421A2" w:rsidRDefault="00B421A2" w:rsidP="004F15B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a general statement the following strategy could be considered: STH calculations should be performed first, together with CFD calculations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investigate possible transients as well as potential challenging or dangerous conditions</w:t>
      </w:r>
      <w:r w:rsidR="00552BF5">
        <w:rPr>
          <w:rFonts w:ascii="Times New Roman" w:hAnsi="Times New Roman" w:cs="Times New Roman"/>
          <w:sz w:val="24"/>
          <w:szCs w:val="24"/>
        </w:rPr>
        <w:t>, or if available perform STH/SCH couple</w:t>
      </w:r>
      <w:r w:rsidR="00552BF5">
        <w:rPr>
          <w:rFonts w:ascii="Times New Roman" w:hAnsi="Times New Roman" w:cs="Times New Roman"/>
          <w:sz w:val="24"/>
          <w:szCs w:val="24"/>
        </w:rPr>
        <w:t>d analyses</w:t>
      </w:r>
      <w:r>
        <w:rPr>
          <w:rFonts w:ascii="Times New Roman" w:hAnsi="Times New Roman" w:cs="Times New Roman"/>
          <w:sz w:val="24"/>
          <w:szCs w:val="24"/>
        </w:rPr>
        <w:t xml:space="preserve">. Coupled STH/CFD calculations should be adopted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refine the initial </w:t>
      </w:r>
      <w:r w:rsidR="007B1414" w:rsidRPr="007B1414">
        <w:rPr>
          <w:rFonts w:ascii="Times New Roman" w:hAnsi="Times New Roman" w:cs="Times New Roman"/>
          <w:sz w:val="24"/>
          <w:szCs w:val="24"/>
        </w:rPr>
        <w:t>reconnaissance</w:t>
      </w:r>
      <w:r>
        <w:rPr>
          <w:rFonts w:ascii="Times New Roman" w:hAnsi="Times New Roman" w:cs="Times New Roman"/>
          <w:sz w:val="24"/>
          <w:szCs w:val="24"/>
        </w:rPr>
        <w:t xml:space="preserve"> and achieve a better clue about the possible safety margins of the addressed </w:t>
      </w:r>
      <w:proofErr w:type="spellStart"/>
      <w:proofErr w:type="gramStart"/>
      <w:r>
        <w:rPr>
          <w:rFonts w:ascii="Times New Roman" w:hAnsi="Times New Roman" w:cs="Times New Roman"/>
          <w:sz w:val="24"/>
          <w:szCs w:val="24"/>
        </w:rPr>
        <w:t>conditions.The</w:t>
      </w:r>
      <w:proofErr w:type="spellEnd"/>
      <w:proofErr w:type="gramEnd"/>
      <w:r>
        <w:rPr>
          <w:rFonts w:ascii="Times New Roman" w:hAnsi="Times New Roman" w:cs="Times New Roman"/>
          <w:sz w:val="24"/>
          <w:szCs w:val="24"/>
        </w:rPr>
        <w:t xml:space="preserve"> present CRP proved to be a very good benchmark for the assessment of coupling techniques. At the present stage it seems that no </w:t>
      </w:r>
      <w:proofErr w:type="gramStart"/>
      <w:r>
        <w:rPr>
          <w:rFonts w:ascii="Times New Roman" w:hAnsi="Times New Roman" w:cs="Times New Roman"/>
          <w:sz w:val="24"/>
          <w:szCs w:val="24"/>
        </w:rPr>
        <w:t>particular issues</w:t>
      </w:r>
      <w:proofErr w:type="gramEnd"/>
      <w:r>
        <w:rPr>
          <w:rFonts w:ascii="Times New Roman" w:hAnsi="Times New Roman" w:cs="Times New Roman"/>
          <w:sz w:val="24"/>
          <w:szCs w:val="24"/>
        </w:rPr>
        <w:t xml:space="preserve"> can be strictly connect to coupling tools, while larger improvement chances are to be connected to the development of more suitable models in both </w:t>
      </w:r>
      <w:r>
        <w:rPr>
          <w:rFonts w:ascii="Times New Roman" w:hAnsi="Times New Roman" w:cs="Times New Roman"/>
          <w:sz w:val="24"/>
          <w:szCs w:val="24"/>
        </w:rPr>
        <w:t xml:space="preserve">STH and CFD stand-alone applications. Coupled STH/CFD </w:t>
      </w:r>
      <w:r w:rsidR="001D294C">
        <w:rPr>
          <w:rFonts w:ascii="Times New Roman" w:hAnsi="Times New Roman" w:cs="Times New Roman"/>
          <w:sz w:val="24"/>
          <w:szCs w:val="24"/>
        </w:rPr>
        <w:t xml:space="preserve">or earlier STH/SCH </w:t>
      </w:r>
      <w:r>
        <w:rPr>
          <w:rFonts w:ascii="Times New Roman" w:hAnsi="Times New Roman" w:cs="Times New Roman"/>
          <w:sz w:val="24"/>
          <w:szCs w:val="24"/>
        </w:rPr>
        <w:t>applications addressing Multiphysics phenomena may thus play a relevant role in the development of GEN IV nuclear reactors, especially for LMFBRs, as sound support to refined safety analysis assessment.</w:t>
      </w:r>
    </w:p>
    <w:p w14:paraId="26923B11" w14:textId="301A02C5" w:rsidR="00F70AD2" w:rsidRDefault="00F70AD2" w:rsidP="00F70AD2">
      <w:pPr>
        <w:pStyle w:val="Paragrafoelenco"/>
        <w:numPr>
          <w:ilvl w:val="1"/>
          <w:numId w:val="2"/>
        </w:numPr>
        <w:rPr>
          <w:rFonts w:ascii="Times New Roman" w:hAnsi="Times New Roman" w:cs="Times New Roman"/>
          <w:sz w:val="32"/>
          <w:szCs w:val="32"/>
        </w:rPr>
      </w:pPr>
      <w:r>
        <w:rPr>
          <w:rFonts w:ascii="Times New Roman" w:hAnsi="Times New Roman" w:cs="Times New Roman"/>
          <w:sz w:val="32"/>
          <w:szCs w:val="32"/>
        </w:rPr>
        <w:lastRenderedPageBreak/>
        <w:t>References</w:t>
      </w:r>
    </w:p>
    <w:p w14:paraId="494D37AD" w14:textId="77777777" w:rsidR="00F70AD2" w:rsidRPr="00F70AD2" w:rsidRDefault="00F70AD2" w:rsidP="00F70AD2">
      <w:pPr>
        <w:pStyle w:val="Bibliografia"/>
        <w:spacing w:line="360" w:lineRule="auto"/>
        <w:rPr>
          <w:rFonts w:ascii="Times New Roman" w:hAnsi="Times New Roman" w:cs="Times New Roman"/>
          <w:sz w:val="24"/>
          <w:szCs w:val="24"/>
        </w:rPr>
      </w:pPr>
      <w:r>
        <w:rPr>
          <w:rFonts w:ascii="Times New Roman" w:hAnsi="Times New Roman" w:cs="Times New Roman"/>
          <w:szCs w:val="32"/>
        </w:rPr>
        <w:fldChar w:fldCharType="begin"/>
      </w:r>
      <w:r>
        <w:rPr>
          <w:rFonts w:ascii="Times New Roman" w:hAnsi="Times New Roman" w:cs="Times New Roman"/>
          <w:szCs w:val="32"/>
        </w:rPr>
        <w:instrText xml:space="preserve"> ADDIN ZOTERO_BIBL {"uncited":[],"omitted":[],"custom":[]} CSL_BIBLIOGRAPHY </w:instrText>
      </w:r>
      <w:r>
        <w:rPr>
          <w:rFonts w:ascii="Times New Roman" w:hAnsi="Times New Roman" w:cs="Times New Roman"/>
          <w:szCs w:val="32"/>
        </w:rPr>
        <w:fldChar w:fldCharType="separate"/>
      </w:r>
      <w:r w:rsidRPr="00F70AD2">
        <w:t>Ang</w:t>
      </w:r>
      <w:r w:rsidRPr="00F70AD2">
        <w:rPr>
          <w:rFonts w:ascii="Times New Roman" w:hAnsi="Times New Roman" w:cs="Times New Roman"/>
          <w:sz w:val="24"/>
          <w:szCs w:val="24"/>
        </w:rPr>
        <w:t>elucci, M., 2018. Coupling between System and CFD codes for the analysis of thermal-hydraulic phenomena relevant for LMFR.</w:t>
      </w:r>
    </w:p>
    <w:p w14:paraId="325DD6BE" w14:textId="77777777" w:rsidR="00F70AD2" w:rsidRPr="00F70AD2" w:rsidRDefault="00F70AD2" w:rsidP="00F70AD2">
      <w:pPr>
        <w:pStyle w:val="Bibliografia"/>
        <w:spacing w:line="360" w:lineRule="auto"/>
        <w:rPr>
          <w:rFonts w:ascii="Times New Roman" w:hAnsi="Times New Roman" w:cs="Times New Roman"/>
          <w:sz w:val="24"/>
          <w:szCs w:val="24"/>
        </w:rPr>
      </w:pPr>
      <w:r w:rsidRPr="00F70AD2">
        <w:rPr>
          <w:rFonts w:ascii="Times New Roman" w:hAnsi="Times New Roman" w:cs="Times New Roman"/>
          <w:sz w:val="24"/>
          <w:szCs w:val="24"/>
        </w:rPr>
        <w:t xml:space="preserve">Del Moro, T., </w:t>
      </w:r>
      <w:proofErr w:type="spellStart"/>
      <w:r w:rsidRPr="00F70AD2">
        <w:rPr>
          <w:rFonts w:ascii="Times New Roman" w:hAnsi="Times New Roman" w:cs="Times New Roman"/>
          <w:sz w:val="24"/>
          <w:szCs w:val="24"/>
        </w:rPr>
        <w:t>Cioli</w:t>
      </w:r>
      <w:proofErr w:type="spellEnd"/>
      <w:r w:rsidRPr="00F70AD2">
        <w:rPr>
          <w:rFonts w:ascii="Times New Roman" w:hAnsi="Times New Roman" w:cs="Times New Roman"/>
          <w:sz w:val="24"/>
          <w:szCs w:val="24"/>
        </w:rPr>
        <w:t xml:space="preserve"> Puviani, P., Gonfiotti, B., Di Piazza, I., Martelli, D., </w:t>
      </w:r>
      <w:proofErr w:type="spellStart"/>
      <w:r w:rsidRPr="00F70AD2">
        <w:rPr>
          <w:rFonts w:ascii="Times New Roman" w:hAnsi="Times New Roman" w:cs="Times New Roman"/>
          <w:sz w:val="24"/>
          <w:szCs w:val="24"/>
        </w:rPr>
        <w:t>Ciurluini</w:t>
      </w:r>
      <w:proofErr w:type="spellEnd"/>
      <w:r w:rsidRPr="00F70AD2">
        <w:rPr>
          <w:rFonts w:ascii="Times New Roman" w:hAnsi="Times New Roman" w:cs="Times New Roman"/>
          <w:sz w:val="24"/>
          <w:szCs w:val="24"/>
        </w:rPr>
        <w:t xml:space="preserve">, C., Giannetti, F., Zanino, R., Tarantino, M., 2024. Analysis of the experimental tests performed at NACIE-UP facility through a novel CFX-RELAP5 codes coupling. </w:t>
      </w:r>
      <w:proofErr w:type="spellStart"/>
      <w:r w:rsidRPr="00F70AD2">
        <w:rPr>
          <w:rFonts w:ascii="Times New Roman" w:hAnsi="Times New Roman" w:cs="Times New Roman"/>
          <w:sz w:val="24"/>
          <w:szCs w:val="24"/>
        </w:rPr>
        <w:t>Nucl</w:t>
      </w:r>
      <w:proofErr w:type="spellEnd"/>
      <w:r w:rsidRPr="00F70AD2">
        <w:rPr>
          <w:rFonts w:ascii="Times New Roman" w:hAnsi="Times New Roman" w:cs="Times New Roman"/>
          <w:sz w:val="24"/>
          <w:szCs w:val="24"/>
        </w:rPr>
        <w:t>. Eng. Des. 429, 113676. https://doi.org/10.1016/j.nucengdes.2024.113676</w:t>
      </w:r>
    </w:p>
    <w:p w14:paraId="55040A45" w14:textId="77777777" w:rsidR="00F70AD2" w:rsidRPr="00F70AD2" w:rsidRDefault="00F70AD2" w:rsidP="00F70AD2">
      <w:pPr>
        <w:pStyle w:val="Bibliografia"/>
        <w:spacing w:line="360" w:lineRule="auto"/>
        <w:rPr>
          <w:rFonts w:ascii="Times New Roman" w:hAnsi="Times New Roman" w:cs="Times New Roman"/>
          <w:sz w:val="24"/>
          <w:szCs w:val="24"/>
        </w:rPr>
      </w:pPr>
      <w:r w:rsidRPr="00F70AD2">
        <w:rPr>
          <w:rFonts w:ascii="Times New Roman" w:hAnsi="Times New Roman" w:cs="Times New Roman"/>
          <w:sz w:val="24"/>
          <w:szCs w:val="24"/>
        </w:rPr>
        <w:t xml:space="preserve">Martelli, D., Forgione, N., Di Piazza, I., Agostini, P., Tarantino, M., Gaggini, P., Polazzi, G., 2013. NACIE-UP: </w:t>
      </w:r>
      <w:proofErr w:type="gramStart"/>
      <w:r w:rsidRPr="00F70AD2">
        <w:rPr>
          <w:rFonts w:ascii="Times New Roman" w:hAnsi="Times New Roman" w:cs="Times New Roman"/>
          <w:sz w:val="24"/>
          <w:szCs w:val="24"/>
        </w:rPr>
        <w:t>an</w:t>
      </w:r>
      <w:proofErr w:type="gramEnd"/>
      <w:r w:rsidRPr="00F70AD2">
        <w:rPr>
          <w:rFonts w:ascii="Times New Roman" w:hAnsi="Times New Roman" w:cs="Times New Roman"/>
          <w:sz w:val="24"/>
          <w:szCs w:val="24"/>
        </w:rPr>
        <w:t xml:space="preserve"> heavy liquid metal loop for mixed convection experiments with instrumented pin bundle.</w:t>
      </w:r>
    </w:p>
    <w:p w14:paraId="170ACB57" w14:textId="77777777" w:rsidR="00F70AD2" w:rsidRPr="00F70AD2" w:rsidRDefault="00F70AD2" w:rsidP="00F70AD2">
      <w:pPr>
        <w:pStyle w:val="Bibliografia"/>
        <w:spacing w:line="360" w:lineRule="auto"/>
        <w:rPr>
          <w:rFonts w:ascii="Times New Roman" w:hAnsi="Times New Roman" w:cs="Times New Roman"/>
          <w:sz w:val="24"/>
          <w:szCs w:val="24"/>
        </w:rPr>
      </w:pPr>
      <w:proofErr w:type="spellStart"/>
      <w:r w:rsidRPr="00F70AD2">
        <w:rPr>
          <w:rFonts w:ascii="Times New Roman" w:hAnsi="Times New Roman" w:cs="Times New Roman"/>
          <w:sz w:val="24"/>
          <w:szCs w:val="24"/>
        </w:rPr>
        <w:t>Pangukir</w:t>
      </w:r>
      <w:proofErr w:type="spellEnd"/>
      <w:r w:rsidRPr="00F70AD2">
        <w:rPr>
          <w:rFonts w:ascii="Times New Roman" w:hAnsi="Times New Roman" w:cs="Times New Roman"/>
          <w:sz w:val="24"/>
          <w:szCs w:val="24"/>
        </w:rPr>
        <w:t xml:space="preserve">, F.S.L., Hussain, M.M.M.D., Mathur, A., Stempniewicz, M.M., Roelofs, F., 2025. Multi-scale numerical simulation of NACIE-UP forced-to-natural circulation transition experiment for non-uniform heating. </w:t>
      </w:r>
      <w:proofErr w:type="spellStart"/>
      <w:r w:rsidRPr="00F70AD2">
        <w:rPr>
          <w:rFonts w:ascii="Times New Roman" w:hAnsi="Times New Roman" w:cs="Times New Roman"/>
          <w:sz w:val="24"/>
          <w:szCs w:val="24"/>
        </w:rPr>
        <w:t>Nucl</w:t>
      </w:r>
      <w:proofErr w:type="spellEnd"/>
      <w:r w:rsidRPr="00F70AD2">
        <w:rPr>
          <w:rFonts w:ascii="Times New Roman" w:hAnsi="Times New Roman" w:cs="Times New Roman"/>
          <w:sz w:val="24"/>
          <w:szCs w:val="24"/>
        </w:rPr>
        <w:t>. Eng. Des. 443, 114301. https://doi.org/10.1016/j.nucengdes.2025.114301</w:t>
      </w:r>
    </w:p>
    <w:p w14:paraId="14278D05" w14:textId="77777777" w:rsidR="00F70AD2" w:rsidRPr="00F70AD2" w:rsidRDefault="00F70AD2" w:rsidP="00F70AD2">
      <w:pPr>
        <w:pStyle w:val="Bibliografia"/>
        <w:spacing w:line="360" w:lineRule="auto"/>
        <w:rPr>
          <w:rFonts w:ascii="Times New Roman" w:hAnsi="Times New Roman" w:cs="Times New Roman"/>
          <w:sz w:val="24"/>
          <w:szCs w:val="24"/>
        </w:rPr>
      </w:pPr>
      <w:r w:rsidRPr="00F70AD2">
        <w:rPr>
          <w:rFonts w:ascii="Times New Roman" w:hAnsi="Times New Roman" w:cs="Times New Roman"/>
          <w:sz w:val="24"/>
          <w:szCs w:val="24"/>
        </w:rPr>
        <w:t xml:space="preserve">Pucciarelli, A., </w:t>
      </w:r>
      <w:proofErr w:type="spellStart"/>
      <w:r w:rsidRPr="00F70AD2">
        <w:rPr>
          <w:rFonts w:ascii="Times New Roman" w:hAnsi="Times New Roman" w:cs="Times New Roman"/>
          <w:sz w:val="24"/>
          <w:szCs w:val="24"/>
        </w:rPr>
        <w:t>Galleni</w:t>
      </w:r>
      <w:proofErr w:type="spellEnd"/>
      <w:r w:rsidRPr="00F70AD2">
        <w:rPr>
          <w:rFonts w:ascii="Times New Roman" w:hAnsi="Times New Roman" w:cs="Times New Roman"/>
          <w:sz w:val="24"/>
          <w:szCs w:val="24"/>
        </w:rPr>
        <w:t xml:space="preserve">, F., Moscardini, M., Martelli, D., Forgione, N., 2020. STH/CFD coupled calculations of postulated transients from mixed to natural circulation conditions in the NACIE-UP facility. </w:t>
      </w:r>
      <w:proofErr w:type="spellStart"/>
      <w:r w:rsidRPr="00F70AD2">
        <w:rPr>
          <w:rFonts w:ascii="Times New Roman" w:hAnsi="Times New Roman" w:cs="Times New Roman"/>
          <w:sz w:val="24"/>
          <w:szCs w:val="24"/>
        </w:rPr>
        <w:t>Nucl</w:t>
      </w:r>
      <w:proofErr w:type="spellEnd"/>
      <w:r w:rsidRPr="00F70AD2">
        <w:rPr>
          <w:rFonts w:ascii="Times New Roman" w:hAnsi="Times New Roman" w:cs="Times New Roman"/>
          <w:sz w:val="24"/>
          <w:szCs w:val="24"/>
        </w:rPr>
        <w:t>. Eng. Des. 370, 110913. https://doi.org/10.1016/j.nucengdes.2020.110913</w:t>
      </w:r>
    </w:p>
    <w:p w14:paraId="4C59A613" w14:textId="77777777" w:rsidR="00F70AD2" w:rsidRPr="00F70AD2" w:rsidRDefault="00F70AD2" w:rsidP="00F70AD2">
      <w:pPr>
        <w:pStyle w:val="Bibliografia"/>
        <w:spacing w:line="360" w:lineRule="auto"/>
        <w:rPr>
          <w:rFonts w:ascii="Times New Roman" w:hAnsi="Times New Roman" w:cs="Times New Roman"/>
          <w:sz w:val="24"/>
          <w:szCs w:val="24"/>
        </w:rPr>
      </w:pPr>
      <w:r w:rsidRPr="00F70AD2">
        <w:rPr>
          <w:rFonts w:ascii="Times New Roman" w:hAnsi="Times New Roman" w:cs="Times New Roman"/>
          <w:sz w:val="24"/>
          <w:szCs w:val="24"/>
        </w:rPr>
        <w:t xml:space="preserve">Stefanini, P., Pucciarelli, A., Halim, O., Forgione, N., Di Piazza, I., 2025. Validation of a coupled STH and low-fidelity CFD approach using experimental data from NACIE-UP test facility. </w:t>
      </w:r>
      <w:proofErr w:type="spellStart"/>
      <w:r w:rsidRPr="00F70AD2">
        <w:rPr>
          <w:rFonts w:ascii="Times New Roman" w:hAnsi="Times New Roman" w:cs="Times New Roman"/>
          <w:sz w:val="24"/>
          <w:szCs w:val="24"/>
        </w:rPr>
        <w:t>Nucl</w:t>
      </w:r>
      <w:proofErr w:type="spellEnd"/>
      <w:r w:rsidRPr="00F70AD2">
        <w:rPr>
          <w:rFonts w:ascii="Times New Roman" w:hAnsi="Times New Roman" w:cs="Times New Roman"/>
          <w:sz w:val="24"/>
          <w:szCs w:val="24"/>
        </w:rPr>
        <w:t>. Eng. Des. 444, 114353. https://doi.org/10.1016/j.nucengdes.2025.114353</w:t>
      </w:r>
    </w:p>
    <w:p w14:paraId="3869A900" w14:textId="569B303C" w:rsidR="00F70AD2" w:rsidRPr="00F70AD2" w:rsidRDefault="00F70AD2" w:rsidP="00F70AD2">
      <w:pPr>
        <w:rPr>
          <w:rFonts w:ascii="Times New Roman" w:hAnsi="Times New Roman" w:cs="Times New Roman"/>
          <w:sz w:val="32"/>
          <w:szCs w:val="32"/>
        </w:rPr>
      </w:pPr>
      <w:r>
        <w:rPr>
          <w:rFonts w:ascii="Times New Roman" w:hAnsi="Times New Roman" w:cs="Times New Roman"/>
          <w:sz w:val="32"/>
          <w:szCs w:val="32"/>
        </w:rPr>
        <w:fldChar w:fldCharType="end"/>
      </w:r>
    </w:p>
    <w:p w14:paraId="0134B04A" w14:textId="77777777" w:rsidR="00B421A2" w:rsidRPr="004F15B4" w:rsidRDefault="00B421A2" w:rsidP="004F15B4">
      <w:pPr>
        <w:spacing w:line="360" w:lineRule="auto"/>
        <w:jc w:val="both"/>
        <w:rPr>
          <w:rFonts w:ascii="Times New Roman" w:hAnsi="Times New Roman" w:cs="Times New Roman"/>
          <w:sz w:val="24"/>
          <w:szCs w:val="24"/>
        </w:rPr>
      </w:pPr>
    </w:p>
    <w:p w14:paraId="418806D4" w14:textId="77777777" w:rsidR="00474277" w:rsidRDefault="00474277" w:rsidP="00C919DC">
      <w:pPr>
        <w:spacing w:line="360" w:lineRule="auto"/>
        <w:jc w:val="both"/>
        <w:rPr>
          <w:rFonts w:ascii="Times New Roman" w:hAnsi="Times New Roman" w:cs="Times New Roman"/>
          <w:sz w:val="24"/>
          <w:szCs w:val="24"/>
        </w:rPr>
      </w:pPr>
    </w:p>
    <w:p w14:paraId="614B9232" w14:textId="77777777" w:rsidR="00474277" w:rsidRDefault="00474277" w:rsidP="00C919DC">
      <w:pPr>
        <w:spacing w:line="360" w:lineRule="auto"/>
        <w:jc w:val="both"/>
        <w:rPr>
          <w:rFonts w:ascii="Times New Roman" w:hAnsi="Times New Roman" w:cs="Times New Roman"/>
          <w:sz w:val="24"/>
          <w:szCs w:val="24"/>
        </w:rPr>
      </w:pPr>
    </w:p>
    <w:p w14:paraId="0499963C" w14:textId="583E18D5" w:rsidR="00C919DC" w:rsidRPr="00C919DC" w:rsidRDefault="00C919DC" w:rsidP="00C919D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D089187" w14:textId="3B118884" w:rsidR="00362206" w:rsidRPr="00362206" w:rsidRDefault="00B45EA4" w:rsidP="008D28C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sectPr w:rsidR="00362206" w:rsidRPr="003622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45C43"/>
    <w:multiLevelType w:val="hybridMultilevel"/>
    <w:tmpl w:val="9DB23B78"/>
    <w:lvl w:ilvl="0" w:tplc="08090001">
      <w:start w:val="1"/>
      <w:numFmt w:val="bullet"/>
      <w:lvlText w:val=""/>
      <w:lvlJc w:val="left"/>
      <w:pPr>
        <w:ind w:left="897" w:hanging="360"/>
      </w:pPr>
      <w:rPr>
        <w:rFonts w:ascii="Symbol" w:hAnsi="Symbol" w:hint="default"/>
      </w:rPr>
    </w:lvl>
    <w:lvl w:ilvl="1" w:tplc="08090003" w:tentative="1">
      <w:start w:val="1"/>
      <w:numFmt w:val="bullet"/>
      <w:lvlText w:val="o"/>
      <w:lvlJc w:val="left"/>
      <w:pPr>
        <w:ind w:left="1617" w:hanging="360"/>
      </w:pPr>
      <w:rPr>
        <w:rFonts w:ascii="Courier New" w:hAnsi="Courier New" w:cs="Courier New" w:hint="default"/>
      </w:rPr>
    </w:lvl>
    <w:lvl w:ilvl="2" w:tplc="08090005" w:tentative="1">
      <w:start w:val="1"/>
      <w:numFmt w:val="bullet"/>
      <w:lvlText w:val=""/>
      <w:lvlJc w:val="left"/>
      <w:pPr>
        <w:ind w:left="2337" w:hanging="360"/>
      </w:pPr>
      <w:rPr>
        <w:rFonts w:ascii="Wingdings" w:hAnsi="Wingdings" w:hint="default"/>
      </w:rPr>
    </w:lvl>
    <w:lvl w:ilvl="3" w:tplc="08090001" w:tentative="1">
      <w:start w:val="1"/>
      <w:numFmt w:val="bullet"/>
      <w:lvlText w:val=""/>
      <w:lvlJc w:val="left"/>
      <w:pPr>
        <w:ind w:left="3057" w:hanging="360"/>
      </w:pPr>
      <w:rPr>
        <w:rFonts w:ascii="Symbol" w:hAnsi="Symbol" w:hint="default"/>
      </w:rPr>
    </w:lvl>
    <w:lvl w:ilvl="4" w:tplc="08090003" w:tentative="1">
      <w:start w:val="1"/>
      <w:numFmt w:val="bullet"/>
      <w:lvlText w:val="o"/>
      <w:lvlJc w:val="left"/>
      <w:pPr>
        <w:ind w:left="3777" w:hanging="360"/>
      </w:pPr>
      <w:rPr>
        <w:rFonts w:ascii="Courier New" w:hAnsi="Courier New" w:cs="Courier New" w:hint="default"/>
      </w:rPr>
    </w:lvl>
    <w:lvl w:ilvl="5" w:tplc="08090005" w:tentative="1">
      <w:start w:val="1"/>
      <w:numFmt w:val="bullet"/>
      <w:lvlText w:val=""/>
      <w:lvlJc w:val="left"/>
      <w:pPr>
        <w:ind w:left="4497" w:hanging="360"/>
      </w:pPr>
      <w:rPr>
        <w:rFonts w:ascii="Wingdings" w:hAnsi="Wingdings" w:hint="default"/>
      </w:rPr>
    </w:lvl>
    <w:lvl w:ilvl="6" w:tplc="08090001" w:tentative="1">
      <w:start w:val="1"/>
      <w:numFmt w:val="bullet"/>
      <w:lvlText w:val=""/>
      <w:lvlJc w:val="left"/>
      <w:pPr>
        <w:ind w:left="5217" w:hanging="360"/>
      </w:pPr>
      <w:rPr>
        <w:rFonts w:ascii="Symbol" w:hAnsi="Symbol" w:hint="default"/>
      </w:rPr>
    </w:lvl>
    <w:lvl w:ilvl="7" w:tplc="08090003" w:tentative="1">
      <w:start w:val="1"/>
      <w:numFmt w:val="bullet"/>
      <w:lvlText w:val="o"/>
      <w:lvlJc w:val="left"/>
      <w:pPr>
        <w:ind w:left="5937" w:hanging="360"/>
      </w:pPr>
      <w:rPr>
        <w:rFonts w:ascii="Courier New" w:hAnsi="Courier New" w:cs="Courier New" w:hint="default"/>
      </w:rPr>
    </w:lvl>
    <w:lvl w:ilvl="8" w:tplc="08090005" w:tentative="1">
      <w:start w:val="1"/>
      <w:numFmt w:val="bullet"/>
      <w:lvlText w:val=""/>
      <w:lvlJc w:val="left"/>
      <w:pPr>
        <w:ind w:left="6657" w:hanging="360"/>
      </w:pPr>
      <w:rPr>
        <w:rFonts w:ascii="Wingdings" w:hAnsi="Wingdings" w:hint="default"/>
      </w:rPr>
    </w:lvl>
  </w:abstractNum>
  <w:abstractNum w:abstractNumId="1" w15:restartNumberingAfterBreak="0">
    <w:nsid w:val="168C367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4F308D"/>
    <w:multiLevelType w:val="multilevel"/>
    <w:tmpl w:val="913E9E1A"/>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DE74D41"/>
    <w:multiLevelType w:val="multilevel"/>
    <w:tmpl w:val="913E9E1A"/>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3B63265"/>
    <w:multiLevelType w:val="multilevel"/>
    <w:tmpl w:val="913E9E1A"/>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7594BD6"/>
    <w:multiLevelType w:val="multilevel"/>
    <w:tmpl w:val="34D8AD4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288F40CE"/>
    <w:multiLevelType w:val="hybridMultilevel"/>
    <w:tmpl w:val="9C10C2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B6649F"/>
    <w:multiLevelType w:val="multilevel"/>
    <w:tmpl w:val="913E9E1A"/>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12277BC"/>
    <w:multiLevelType w:val="multilevel"/>
    <w:tmpl w:val="913E9E1A"/>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84C596F"/>
    <w:multiLevelType w:val="multilevel"/>
    <w:tmpl w:val="913E9E1A"/>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B35052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ED5098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62E6884"/>
    <w:multiLevelType w:val="multilevel"/>
    <w:tmpl w:val="913E9E1A"/>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B1B67CB"/>
    <w:multiLevelType w:val="hybridMultilevel"/>
    <w:tmpl w:val="33DCE794"/>
    <w:lvl w:ilvl="0" w:tplc="BFFE01C6">
      <w:start w:val="1"/>
      <w:numFmt w:val="decimal"/>
      <w:lvlText w:val="%1."/>
      <w:lvlJc w:val="left"/>
      <w:pPr>
        <w:ind w:left="720" w:hanging="360"/>
      </w:pPr>
    </w:lvl>
    <w:lvl w:ilvl="1" w:tplc="7F4ABF04">
      <w:start w:val="1"/>
      <w:numFmt w:val="lowerLetter"/>
      <w:lvlText w:val="%2."/>
      <w:lvlJc w:val="left"/>
      <w:pPr>
        <w:ind w:left="1440" w:hanging="360"/>
      </w:pPr>
    </w:lvl>
    <w:lvl w:ilvl="2" w:tplc="B1046126">
      <w:start w:val="1"/>
      <w:numFmt w:val="lowerRoman"/>
      <w:lvlText w:val="%3."/>
      <w:lvlJc w:val="right"/>
      <w:pPr>
        <w:ind w:left="2160" w:hanging="180"/>
      </w:pPr>
    </w:lvl>
    <w:lvl w:ilvl="3" w:tplc="7BDE6690">
      <w:start w:val="1"/>
      <w:numFmt w:val="decimal"/>
      <w:lvlText w:val="%4."/>
      <w:lvlJc w:val="left"/>
      <w:pPr>
        <w:ind w:left="2880" w:hanging="360"/>
      </w:pPr>
    </w:lvl>
    <w:lvl w:ilvl="4" w:tplc="0D6C3CDC">
      <w:start w:val="1"/>
      <w:numFmt w:val="lowerLetter"/>
      <w:lvlText w:val="%5."/>
      <w:lvlJc w:val="left"/>
      <w:pPr>
        <w:ind w:left="3600" w:hanging="360"/>
      </w:pPr>
    </w:lvl>
    <w:lvl w:ilvl="5" w:tplc="10E20B52">
      <w:start w:val="1"/>
      <w:numFmt w:val="lowerRoman"/>
      <w:lvlText w:val="%6."/>
      <w:lvlJc w:val="right"/>
      <w:pPr>
        <w:ind w:left="4320" w:hanging="180"/>
      </w:pPr>
    </w:lvl>
    <w:lvl w:ilvl="6" w:tplc="A2FC3C8A">
      <w:start w:val="1"/>
      <w:numFmt w:val="decimal"/>
      <w:lvlText w:val="%7."/>
      <w:lvlJc w:val="left"/>
      <w:pPr>
        <w:ind w:left="5040" w:hanging="360"/>
      </w:pPr>
    </w:lvl>
    <w:lvl w:ilvl="7" w:tplc="F5A6747A">
      <w:start w:val="1"/>
      <w:numFmt w:val="lowerLetter"/>
      <w:lvlText w:val="%8."/>
      <w:lvlJc w:val="left"/>
      <w:pPr>
        <w:ind w:left="5760" w:hanging="360"/>
      </w:pPr>
    </w:lvl>
    <w:lvl w:ilvl="8" w:tplc="CCAC65BE">
      <w:start w:val="1"/>
      <w:numFmt w:val="lowerRoman"/>
      <w:lvlText w:val="%9."/>
      <w:lvlJc w:val="right"/>
      <w:pPr>
        <w:ind w:left="6480" w:hanging="180"/>
      </w:pPr>
    </w:lvl>
  </w:abstractNum>
  <w:abstractNum w:abstractNumId="14" w15:restartNumberingAfterBreak="0">
    <w:nsid w:val="5C6263C9"/>
    <w:multiLevelType w:val="multilevel"/>
    <w:tmpl w:val="913E9E1A"/>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69666F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D16976"/>
    <w:multiLevelType w:val="hybridMultilevel"/>
    <w:tmpl w:val="B492BD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1A04E52"/>
    <w:multiLevelType w:val="multilevel"/>
    <w:tmpl w:val="913E9E1A"/>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23970292">
    <w:abstractNumId w:val="16"/>
  </w:num>
  <w:num w:numId="2" w16cid:durableId="1157377011">
    <w:abstractNumId w:val="9"/>
  </w:num>
  <w:num w:numId="3" w16cid:durableId="1989553112">
    <w:abstractNumId w:val="6"/>
  </w:num>
  <w:num w:numId="4" w16cid:durableId="1012225001">
    <w:abstractNumId w:val="11"/>
  </w:num>
  <w:num w:numId="5" w16cid:durableId="1896702067">
    <w:abstractNumId w:val="5"/>
  </w:num>
  <w:num w:numId="6" w16cid:durableId="38214661">
    <w:abstractNumId w:val="13"/>
  </w:num>
  <w:num w:numId="7" w16cid:durableId="1973361404">
    <w:abstractNumId w:val="10"/>
  </w:num>
  <w:num w:numId="8" w16cid:durableId="223299111">
    <w:abstractNumId w:val="0"/>
  </w:num>
  <w:num w:numId="9" w16cid:durableId="371266526">
    <w:abstractNumId w:val="1"/>
  </w:num>
  <w:num w:numId="10" w16cid:durableId="1809204200">
    <w:abstractNumId w:val="15"/>
  </w:num>
  <w:num w:numId="11" w16cid:durableId="1918709235">
    <w:abstractNumId w:val="7"/>
  </w:num>
  <w:num w:numId="12" w16cid:durableId="1081637123">
    <w:abstractNumId w:val="8"/>
  </w:num>
  <w:num w:numId="13" w16cid:durableId="1605385205">
    <w:abstractNumId w:val="14"/>
  </w:num>
  <w:num w:numId="14" w16cid:durableId="192807531">
    <w:abstractNumId w:val="4"/>
  </w:num>
  <w:num w:numId="15" w16cid:durableId="184681428">
    <w:abstractNumId w:val="3"/>
  </w:num>
  <w:num w:numId="16" w16cid:durableId="1797093221">
    <w:abstractNumId w:val="12"/>
  </w:num>
  <w:num w:numId="17" w16cid:durableId="1986472121">
    <w:abstractNumId w:val="17"/>
  </w:num>
  <w:num w:numId="18" w16cid:durableId="1193417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9DD"/>
    <w:rsid w:val="00031161"/>
    <w:rsid w:val="0004111C"/>
    <w:rsid w:val="00053A95"/>
    <w:rsid w:val="00064DB5"/>
    <w:rsid w:val="000731D5"/>
    <w:rsid w:val="000A52C2"/>
    <w:rsid w:val="000B343E"/>
    <w:rsid w:val="000B64E1"/>
    <w:rsid w:val="000E5D19"/>
    <w:rsid w:val="000F781A"/>
    <w:rsid w:val="001244AE"/>
    <w:rsid w:val="0015491C"/>
    <w:rsid w:val="00164984"/>
    <w:rsid w:val="00180B3D"/>
    <w:rsid w:val="0018229C"/>
    <w:rsid w:val="001870CD"/>
    <w:rsid w:val="001908CB"/>
    <w:rsid w:val="0019448B"/>
    <w:rsid w:val="0019747A"/>
    <w:rsid w:val="001A4999"/>
    <w:rsid w:val="001C12E1"/>
    <w:rsid w:val="001D294C"/>
    <w:rsid w:val="001D7406"/>
    <w:rsid w:val="001F2E0E"/>
    <w:rsid w:val="00207CBC"/>
    <w:rsid w:val="00226DB5"/>
    <w:rsid w:val="00251D49"/>
    <w:rsid w:val="002C3734"/>
    <w:rsid w:val="002D431D"/>
    <w:rsid w:val="002D644F"/>
    <w:rsid w:val="002F5F1F"/>
    <w:rsid w:val="0030384B"/>
    <w:rsid w:val="003322BA"/>
    <w:rsid w:val="003324DD"/>
    <w:rsid w:val="00347D50"/>
    <w:rsid w:val="00362206"/>
    <w:rsid w:val="003677FB"/>
    <w:rsid w:val="003747BF"/>
    <w:rsid w:val="00383247"/>
    <w:rsid w:val="003A175C"/>
    <w:rsid w:val="003A5898"/>
    <w:rsid w:val="003A6BEB"/>
    <w:rsid w:val="003B181D"/>
    <w:rsid w:val="003D2C1B"/>
    <w:rsid w:val="003D37A6"/>
    <w:rsid w:val="003E4E10"/>
    <w:rsid w:val="00403BCB"/>
    <w:rsid w:val="0041527F"/>
    <w:rsid w:val="00420B36"/>
    <w:rsid w:val="00440875"/>
    <w:rsid w:val="0044570D"/>
    <w:rsid w:val="004527D8"/>
    <w:rsid w:val="00472835"/>
    <w:rsid w:val="00474277"/>
    <w:rsid w:val="00490DDD"/>
    <w:rsid w:val="004910EF"/>
    <w:rsid w:val="00497F55"/>
    <w:rsid w:val="004A0731"/>
    <w:rsid w:val="004B5731"/>
    <w:rsid w:val="004B7F41"/>
    <w:rsid w:val="004E02B5"/>
    <w:rsid w:val="004E06B6"/>
    <w:rsid w:val="004E553C"/>
    <w:rsid w:val="004F15B4"/>
    <w:rsid w:val="004F5CC3"/>
    <w:rsid w:val="0050358F"/>
    <w:rsid w:val="00503B24"/>
    <w:rsid w:val="00516B01"/>
    <w:rsid w:val="005211BA"/>
    <w:rsid w:val="005248B3"/>
    <w:rsid w:val="0052659B"/>
    <w:rsid w:val="005310C0"/>
    <w:rsid w:val="0053799D"/>
    <w:rsid w:val="00542319"/>
    <w:rsid w:val="00552BF5"/>
    <w:rsid w:val="005655AB"/>
    <w:rsid w:val="005851C8"/>
    <w:rsid w:val="005B7C9E"/>
    <w:rsid w:val="005C7B2F"/>
    <w:rsid w:val="006069DD"/>
    <w:rsid w:val="00610A3C"/>
    <w:rsid w:val="00646EE0"/>
    <w:rsid w:val="00654751"/>
    <w:rsid w:val="00662303"/>
    <w:rsid w:val="00671979"/>
    <w:rsid w:val="00692678"/>
    <w:rsid w:val="006D0D11"/>
    <w:rsid w:val="006D70FB"/>
    <w:rsid w:val="006E0EEA"/>
    <w:rsid w:val="007022EF"/>
    <w:rsid w:val="007050D0"/>
    <w:rsid w:val="007444C6"/>
    <w:rsid w:val="00755FB8"/>
    <w:rsid w:val="007A340F"/>
    <w:rsid w:val="007B1414"/>
    <w:rsid w:val="007B3164"/>
    <w:rsid w:val="007B795C"/>
    <w:rsid w:val="007C4599"/>
    <w:rsid w:val="007C560A"/>
    <w:rsid w:val="007D2778"/>
    <w:rsid w:val="007E5070"/>
    <w:rsid w:val="007F0B6B"/>
    <w:rsid w:val="007F2767"/>
    <w:rsid w:val="008253AB"/>
    <w:rsid w:val="0083172C"/>
    <w:rsid w:val="00850064"/>
    <w:rsid w:val="00875879"/>
    <w:rsid w:val="008A2B5A"/>
    <w:rsid w:val="008B3AD8"/>
    <w:rsid w:val="008C1E74"/>
    <w:rsid w:val="008C4C16"/>
    <w:rsid w:val="008D28CC"/>
    <w:rsid w:val="008E08B3"/>
    <w:rsid w:val="008F51BA"/>
    <w:rsid w:val="008F602E"/>
    <w:rsid w:val="00901D3D"/>
    <w:rsid w:val="00925AF7"/>
    <w:rsid w:val="00932BC4"/>
    <w:rsid w:val="00935C79"/>
    <w:rsid w:val="00945160"/>
    <w:rsid w:val="009771C7"/>
    <w:rsid w:val="0098312E"/>
    <w:rsid w:val="009873C7"/>
    <w:rsid w:val="009A3227"/>
    <w:rsid w:val="009B07A4"/>
    <w:rsid w:val="009B1F46"/>
    <w:rsid w:val="009D691A"/>
    <w:rsid w:val="009E3799"/>
    <w:rsid w:val="009E4C42"/>
    <w:rsid w:val="009E69B5"/>
    <w:rsid w:val="00A0010B"/>
    <w:rsid w:val="00A15BA9"/>
    <w:rsid w:val="00A20A9B"/>
    <w:rsid w:val="00A57A6F"/>
    <w:rsid w:val="00A87D8B"/>
    <w:rsid w:val="00AA2ABF"/>
    <w:rsid w:val="00AC2F4C"/>
    <w:rsid w:val="00AD7DD6"/>
    <w:rsid w:val="00AE0468"/>
    <w:rsid w:val="00AE4C53"/>
    <w:rsid w:val="00B34F0C"/>
    <w:rsid w:val="00B421A2"/>
    <w:rsid w:val="00B45EA4"/>
    <w:rsid w:val="00B610FA"/>
    <w:rsid w:val="00B66ED8"/>
    <w:rsid w:val="00B82958"/>
    <w:rsid w:val="00BA3649"/>
    <w:rsid w:val="00BA6CE8"/>
    <w:rsid w:val="00BA7DE6"/>
    <w:rsid w:val="00BC4A78"/>
    <w:rsid w:val="00BD1B5C"/>
    <w:rsid w:val="00BF1370"/>
    <w:rsid w:val="00BF2810"/>
    <w:rsid w:val="00C408C6"/>
    <w:rsid w:val="00C748A9"/>
    <w:rsid w:val="00C919DC"/>
    <w:rsid w:val="00C9389B"/>
    <w:rsid w:val="00CA3018"/>
    <w:rsid w:val="00CA4837"/>
    <w:rsid w:val="00CA63B9"/>
    <w:rsid w:val="00D06A1F"/>
    <w:rsid w:val="00D11554"/>
    <w:rsid w:val="00D20574"/>
    <w:rsid w:val="00D2274F"/>
    <w:rsid w:val="00D24A2D"/>
    <w:rsid w:val="00D70416"/>
    <w:rsid w:val="00D83132"/>
    <w:rsid w:val="00D84862"/>
    <w:rsid w:val="00D90A27"/>
    <w:rsid w:val="00DD4A0A"/>
    <w:rsid w:val="00DF7096"/>
    <w:rsid w:val="00DF71AA"/>
    <w:rsid w:val="00E4142F"/>
    <w:rsid w:val="00E77A74"/>
    <w:rsid w:val="00EC3FFA"/>
    <w:rsid w:val="00EC6147"/>
    <w:rsid w:val="00ED3F95"/>
    <w:rsid w:val="00ED66EB"/>
    <w:rsid w:val="00F12BAD"/>
    <w:rsid w:val="00F314F5"/>
    <w:rsid w:val="00F4096E"/>
    <w:rsid w:val="00F43358"/>
    <w:rsid w:val="00F450E2"/>
    <w:rsid w:val="00F57DC8"/>
    <w:rsid w:val="00F70AD2"/>
    <w:rsid w:val="00F766B2"/>
    <w:rsid w:val="00F918C0"/>
    <w:rsid w:val="00F930F7"/>
    <w:rsid w:val="00FA6B6B"/>
    <w:rsid w:val="00FC1C07"/>
    <w:rsid w:val="00FE0EDB"/>
    <w:rsid w:val="07B193B3"/>
    <w:rsid w:val="08743BF6"/>
    <w:rsid w:val="2DB5564F"/>
    <w:rsid w:val="79F9D93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B89C3"/>
  <w15:chartTrackingRefBased/>
  <w15:docId w15:val="{B020593B-E961-46EB-9447-E09CDCF9E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9389B"/>
  </w:style>
  <w:style w:type="paragraph" w:styleId="Titolo1">
    <w:name w:val="heading 1"/>
    <w:basedOn w:val="Normale"/>
    <w:next w:val="Normale"/>
    <w:link w:val="Titolo1Carattere"/>
    <w:uiPriority w:val="9"/>
    <w:qFormat/>
    <w:rsid w:val="00420B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20B36"/>
    <w:rPr>
      <w:rFonts w:asciiTheme="majorHAnsi" w:eastAsiaTheme="majorEastAsia" w:hAnsiTheme="majorHAnsi" w:cstheme="majorBidi"/>
      <w:color w:val="2F5496" w:themeColor="accent1" w:themeShade="BF"/>
      <w:sz w:val="32"/>
      <w:szCs w:val="32"/>
    </w:rPr>
  </w:style>
  <w:style w:type="paragraph" w:styleId="Titolosommario">
    <w:name w:val="TOC Heading"/>
    <w:basedOn w:val="Titolo1"/>
    <w:next w:val="Normale"/>
    <w:uiPriority w:val="39"/>
    <w:unhideWhenUsed/>
    <w:qFormat/>
    <w:rsid w:val="00420B36"/>
    <w:pPr>
      <w:outlineLvl w:val="9"/>
    </w:pPr>
    <w:rPr>
      <w:kern w:val="0"/>
      <w:lang w:val="en-US" w:eastAsia="en-US"/>
      <w14:ligatures w14:val="none"/>
    </w:rPr>
  </w:style>
  <w:style w:type="paragraph" w:styleId="Paragrafoelenco">
    <w:name w:val="List Paragraph"/>
    <w:basedOn w:val="Normale"/>
    <w:uiPriority w:val="34"/>
    <w:qFormat/>
    <w:rsid w:val="00DD4A0A"/>
    <w:pPr>
      <w:ind w:left="720"/>
      <w:contextualSpacing/>
    </w:pPr>
  </w:style>
  <w:style w:type="paragraph" w:styleId="Data">
    <w:name w:val="Date"/>
    <w:basedOn w:val="Normale"/>
    <w:next w:val="Normale"/>
    <w:link w:val="DataCarattere"/>
    <w:uiPriority w:val="99"/>
    <w:semiHidden/>
    <w:unhideWhenUsed/>
    <w:rsid w:val="007022EF"/>
  </w:style>
  <w:style w:type="character" w:customStyle="1" w:styleId="DataCarattere">
    <w:name w:val="Data Carattere"/>
    <w:basedOn w:val="Carpredefinitoparagrafo"/>
    <w:link w:val="Data"/>
    <w:uiPriority w:val="99"/>
    <w:semiHidden/>
    <w:rsid w:val="007022EF"/>
  </w:style>
  <w:style w:type="paragraph" w:styleId="Didascalia">
    <w:name w:val="caption"/>
    <w:basedOn w:val="Normale"/>
    <w:next w:val="Normale"/>
    <w:uiPriority w:val="35"/>
    <w:unhideWhenUsed/>
    <w:qFormat/>
    <w:rsid w:val="0019747A"/>
    <w:pPr>
      <w:spacing w:after="200" w:line="240" w:lineRule="auto"/>
    </w:pPr>
    <w:rPr>
      <w:i/>
      <w:iCs/>
      <w:color w:val="44546A" w:themeColor="text2"/>
      <w:sz w:val="18"/>
      <w:szCs w:val="18"/>
    </w:rPr>
  </w:style>
  <w:style w:type="paragraph" w:styleId="Revisione">
    <w:name w:val="Revision"/>
    <w:hidden/>
    <w:uiPriority w:val="99"/>
    <w:semiHidden/>
    <w:rsid w:val="007B795C"/>
    <w:pPr>
      <w:spacing w:after="0" w:line="240" w:lineRule="auto"/>
    </w:pPr>
  </w:style>
  <w:style w:type="character" w:styleId="Collegamentoipertestuale">
    <w:name w:val="Hyperlink"/>
    <w:basedOn w:val="Carpredefinitoparagrafo"/>
    <w:uiPriority w:val="99"/>
    <w:semiHidden/>
    <w:unhideWhenUsed/>
    <w:rsid w:val="00AD7DD6"/>
    <w:rPr>
      <w:color w:val="0000FF"/>
      <w:u w:val="single"/>
    </w:rPr>
  </w:style>
  <w:style w:type="table" w:styleId="Grigliatabella">
    <w:name w:val="Table Grid"/>
    <w:basedOn w:val="Tabellanorma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ellagriglia1chiara-colore1">
    <w:name w:val="Grid Table 1 Light Accent 1"/>
    <w:basedOn w:val="Tabellanormale"/>
    <w:uiPriority w:val="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Corpodeltesto3">
    <w:name w:val="Body Text 3"/>
    <w:basedOn w:val="Normale"/>
    <w:link w:val="Corpodeltesto3Carattere"/>
    <w:rsid w:val="007E5070"/>
    <w:pPr>
      <w:wordWrap w:val="0"/>
      <w:autoSpaceDE w:val="0"/>
      <w:autoSpaceDN w:val="0"/>
      <w:spacing w:after="0" w:line="240" w:lineRule="auto"/>
    </w:pPr>
    <w:rPr>
      <w:rFonts w:ascii="Times New Roman" w:eastAsia="Batang" w:hAnsi="Times New Roman" w:cs="Times New Roman"/>
      <w:sz w:val="24"/>
      <w:szCs w:val="24"/>
      <w:lang w:val="en-US" w:eastAsia="ko-KR"/>
      <w14:ligatures w14:val="none"/>
    </w:rPr>
  </w:style>
  <w:style w:type="character" w:customStyle="1" w:styleId="Corpodeltesto3Carattere">
    <w:name w:val="Corpo del testo 3 Carattere"/>
    <w:basedOn w:val="Carpredefinitoparagrafo"/>
    <w:link w:val="Corpodeltesto3"/>
    <w:rsid w:val="007E5070"/>
    <w:rPr>
      <w:rFonts w:ascii="Times New Roman" w:eastAsia="Batang" w:hAnsi="Times New Roman" w:cs="Times New Roman"/>
      <w:sz w:val="24"/>
      <w:szCs w:val="24"/>
      <w:lang w:val="en-US" w:eastAsia="ko-KR"/>
      <w14:ligatures w14:val="none"/>
    </w:rPr>
  </w:style>
  <w:style w:type="paragraph" w:styleId="NormaleWeb">
    <w:name w:val="Normal (Web)"/>
    <w:basedOn w:val="Normale"/>
    <w:rsid w:val="007E5070"/>
    <w:pPr>
      <w:spacing w:before="100" w:beforeAutospacing="1" w:after="100" w:afterAutospacing="1" w:line="280" w:lineRule="exact"/>
    </w:pPr>
    <w:rPr>
      <w:rFonts w:ascii="Batang" w:eastAsia="Batang" w:hAnsi="Batang" w:cs="Times New Roman"/>
      <w:color w:val="000000"/>
      <w:kern w:val="0"/>
      <w:sz w:val="24"/>
      <w:szCs w:val="24"/>
      <w:lang w:val="en-US" w:eastAsia="ko-KR"/>
      <w14:ligatures w14:val="none"/>
    </w:rPr>
  </w:style>
  <w:style w:type="character" w:styleId="Testosegnaposto">
    <w:name w:val="Placeholder Text"/>
    <w:basedOn w:val="Carpredefinitoparagrafo"/>
    <w:uiPriority w:val="99"/>
    <w:semiHidden/>
    <w:rsid w:val="00FC1C07"/>
    <w:rPr>
      <w:color w:val="666666"/>
    </w:rPr>
  </w:style>
  <w:style w:type="paragraph" w:styleId="Bibliografia">
    <w:name w:val="Bibliography"/>
    <w:basedOn w:val="Normale"/>
    <w:next w:val="Normale"/>
    <w:uiPriority w:val="37"/>
    <w:unhideWhenUsed/>
    <w:rsid w:val="00F70AD2"/>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numbering" Target="numbering.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webSettings" Target="webSettings.xml"/><Relationship Id="rId51" Type="http://schemas.openxmlformats.org/officeDocument/2006/relationships/image" Target="media/image43.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6BF2E2-073F-4EE8-9F08-357FB9BB1175}">
  <ds:schemaRefs>
    <ds:schemaRef ds:uri="http://schemas.openxmlformats.org/officeDocument/2006/bibliography"/>
  </ds:schemaRefs>
</ds:datastoreItem>
</file>

<file path=customXml/itemProps2.xml><?xml version="1.0" encoding="utf-8"?>
<ds:datastoreItem xmlns:ds="http://schemas.openxmlformats.org/officeDocument/2006/customXml" ds:itemID="{E86DC142-7B85-4B63-949B-050C7717C5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8F1C89-9701-4173-9D2E-EE464EB8114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673AC0-50DD-43B5-9C06-4E9EC19A84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25</Pages>
  <Words>10070</Words>
  <Characters>53979</Characters>
  <Application>Microsoft Office Word</Application>
  <DocSecurity>0</DocSecurity>
  <Lines>1124</Lines>
  <Paragraphs>353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Xiaoyue</dc:creator>
  <cp:keywords/>
  <dc:description/>
  <cp:lastModifiedBy>Andrea Pucciarelli</cp:lastModifiedBy>
  <cp:revision>6</cp:revision>
  <dcterms:created xsi:type="dcterms:W3CDTF">2026-02-10T10:12:00Z</dcterms:created>
  <dcterms:modified xsi:type="dcterms:W3CDTF">2026-02-12T14:19:00Z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y fmtid="{D5CDD505-2E9C-101B-9397-08002B2CF9AE}" pid="3" name="MSIP_Label_6bd9ddd1-4d20-43f6-abfa-fc3c07406f94_Enabled">
    <vt:lpwstr>true</vt:lpwstr>
  </property>
  <property fmtid="{D5CDD505-2E9C-101B-9397-08002B2CF9AE}" pid="4" name="MSIP_Label_6bd9ddd1-4d20-43f6-abfa-fc3c07406f94_SetDate">
    <vt:lpwstr>2026-02-05T09:26:06Z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92d22b21-9a1a-4738-a922-d80ba6980e9b</vt:lpwstr>
  </property>
  <property fmtid="{D5CDD505-2E9C-101B-9397-08002B2CF9AE}" pid="9" name="MSIP_Label_6bd9ddd1-4d20-43f6-abfa-fc3c07406f94_ContentBits">
    <vt:lpwstr>0</vt:lpwstr>
  </property>
  <property fmtid="{D5CDD505-2E9C-101B-9397-08002B2CF9AE}" pid="10" name="MSIP_Label_6bd9ddd1-4d20-43f6-abfa-fc3c07406f94_Tag">
    <vt:lpwstr>10, 3, 0, 1</vt:lpwstr>
  </property>
  <property fmtid="{D5CDD505-2E9C-101B-9397-08002B2CF9AE}" pid="11" name="ZOTERO_PREF_1">
    <vt:lpwstr>&lt;data data-version="3" zotero-version="8.0.2"&gt;&lt;session id="BMwu9uah"/&gt;&lt;style id="http://www.zotero.org/styles/elsevier-harvard" hasBibliography="1" bibliographyStyleHasBeenSet="1"/&gt;&lt;prefs&gt;&lt;pref name="fieldType" value="Field"/&gt;&lt;pref name="automaticJournalA</vt:lpwstr>
  </property>
  <property fmtid="{D5CDD505-2E9C-101B-9397-08002B2CF9AE}" pid="12" name="ZOTERO_PREF_2">
    <vt:lpwstr>bbreviations" value="true"/&gt;&lt;/prefs&gt;&lt;/data&gt;</vt:lpwstr>
  </property>
</Properties>
</file>