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BookTitle"/>
      </w:pPr>
      <w:r>
        <w:t xml:space="preserve">Gibson Mainframe Simulator</w:t>
      </w:r>
    </w:p>
    <w:p>
      <w:pPr>
        <w:pStyle w:val="BookSubtitle"/>
      </w:pPr>
      <w:r>
        <w:t xml:space="preserve">Capabilities Overview and Main Feature Reference</w:t>
      </w:r>
    </w:p>
    <w:p>
      <w:pPr>
        <w:pStyle w:val="Subtitle"/>
      </w:pPr>
      <w:r>
        <w:t xml:space="preserve">Edition 2026 - Complete V1</w:t>
      </w:r>
    </w:p>
    <w:p>
      <w:pPr>
        <w:pStyle w:val="Normal"/>
      </w:pPr>
      <w:r>
        <w:t xml:space="preserve">An independent, Python-based educational banking simulation built around a z/OS mainframe simulator</w:t>
      </w:r>
    </w:p>
    <w:p>
      <w:pPr>
        <w:pStyle w:val="Normal"/>
      </w:pPr>
      <w:r>
        <w:t xml:space="preserve">Document template: ntl2026.dotm (NTL Technical Manual Template 2026)</w:t>
      </w:r>
    </w:p>
    <w:p>
      <w:pPr>
        <w:pStyle w:val="WarningBoxTitle"/>
      </w:pPr>
      <w:r>
        <w:t xml:space="preserve">Independent educational software: no IBM affiliation</w:t>
      </w:r>
    </w:p>
    <w:p>
      <w:pPr>
        <w:pStyle w:val="NoteBoxBody"/>
      </w:pPr>
      <w:r>
        <w:t xml:space="preserve">Gibson is an independent training simulator. It is not produced by, associated with, endorsed by, or affiliated with IBM Corporation in any way. Product names such as z/OS, RACF, ACF2, CICS, Db2, IMS, z/VM, TPF, and related mainframe terms are the trademarks of their respective owners and are used here only nominatively, to describe the concepts and workflows the simulator reproduces for teaching. Gibson contains no IBM code and ships no proprietary IBM content.</w:t>
      </w:r>
    </w:p>
    <w:p>
      <w:r>
        <w:br w:type="page"/>
      </w:r>
    </w:p>
    <w:p>
      <w:pPr>
        <w:pStyle w:val="ChapterTitle"/>
      </w:pPr>
      <w:r>
        <w:t xml:space="preserve">What Gibson Is</w:t>
      </w:r>
    </w:p>
    <w:p>
      <w:pPr>
        <w:pStyle w:val="ChapterSubtitle"/>
      </w:pPr>
      <w:r>
        <w:t xml:space="preserve">A full educational banking simulation on a simulated mainframe</w:t>
      </w:r>
    </w:p>
    <w:p>
      <w:pPr>
        <w:pStyle w:val="ConceptHeading"/>
      </w:pPr>
      <w:r>
        <w:t xml:space="preserve">In one sentence</w:t>
      </w:r>
    </w:p>
    <w:p>
      <w:pPr>
        <w:pStyle w:val="Normal"/>
      </w:pPr>
      <w:r>
        <w:t xml:space="preserve">Gibson is a self-contained, Python-based educational banking simulation built around a z/OS mainframe simulator, giving learners a safe, realistic environment in which to practise coding, system administration, security testing, forensics, and threat intelligence against a running system rather than a slide deck.</w:t>
      </w:r>
    </w:p>
    <w:p>
      <w:pPr>
        <w:pStyle w:val="ConceptHeading"/>
      </w:pPr>
      <w:r>
        <w:t xml:space="preserve">The idea behind it</w:t>
      </w:r>
    </w:p>
    <w:p>
      <w:pPr>
        <w:pStyle w:val="Normal"/>
      </w:pPr>
      <w:r>
        <w:t xml:space="preserve">Real mainframes run the transaction backbone of banking, and hands-on access for learners is rare because a mistake on a production system is unforgiving. Gibson closes that gap. It stands up a faithful enough mainframe, complete with a VTAM logon, a TSO command environment, ISPF panels, CICS banking applications, Db2, JES batch, an OMVS UNIX shell, and a RACF or ACF2 security database, that a learner can work the full operational and security lifecycle end to end. Because it is a simulation, the cost of a mistake is a restart rather than an outage.</w:t>
      </w:r>
    </w:p>
    <w:p>
      <w:pPr>
        <w:pStyle w:val="Normal"/>
      </w:pPr>
      <w:r>
        <w:t xml:space="preserve">The banking context is deliberate. Two CICS banking applications, the CBSA core banking system and the deliberately vulnerable DVCA application, give the simulator a realistic business workload to protect and to attack. Customers, accounts, and balances behave the way a teller and an auditor would expect, so security exercises land against data that means something rather than against abstract test records.</w:t>
      </w:r>
    </w:p>
    <w:p>
      <w:pPr>
        <w:pStyle w:val="ConceptHeading"/>
      </w:pPr>
      <w:r>
        <w:t xml:space="preserve">Built in Python, connected over port 23</w:t>
      </w:r>
    </w:p>
    <w:p>
      <w:pPr>
        <w:pStyle w:val="Normal"/>
      </w:pPr>
      <w:r>
        <w:t xml:space="preserve">Gibson is written in Python, more than eighty thousand lines across twenty-two subsystems, and it presents a real network surface. Its native front end is a TN3270 and telnet listener on port 23, reachable from a standard 3270 emulator such as c3270 or x3270 for the full datastream experience, and from ordinary line clients such as telnet or netcat through a merged ASCII terminal path. A classroom selector is also available on port 2023 and a hardened listener on port 1023, but the defining fact for anyone connecting a tool is that Gibson speaks the mainframe terminal protocol on port 23 exactly as a learner would expect.</w:t>
      </w:r>
    </w:p>
    <w:p>
      <w:pPr>
        <w:pStyle w:val="Normal"/>
      </w:pPr>
      <w:r>
        <w:t xml:space="preserve">The network realism goes deeper than a login screen. Every service Gibson exposes responds the way a real z/OS system would. Service banners, nmap version detection, FTP feature extensions, and the mainframe enumeration scripts are matched to genuine z/OS service-detection signatures. The FTP listener, for example, fingerprints as IBM OS/390 ftpd V2R5, exactly as a z/OS Communications Server daemon does, so an enumeration lab produces the same evidence a learner would meet in the field.</w:t>
      </w:r>
    </w:p>
    <w:p>
      <w:pPr>
        <w:pStyle w:val="ConceptHeading"/>
      </w:pPr>
      <w:r>
        <w:t xml:space="preserve">Five things you practise</w:t>
      </w:r>
    </w:p>
    <w:p>
      <w:pPr>
        <w:pStyle w:val="Normal"/>
      </w:pPr>
      <w:r>
        <w:t xml:space="preserve">Gibson is organised around five practice domains, and every subsystem serves at least one of them.</w:t>
      </w:r>
    </w:p>
    <w:p>
      <w:pPr>
        <w:pStyle w:val="ListParagraph"/>
        <w:numPr>
          <w:ilvl w:val="0"/>
          <w:numId w:val="1"/>
        </w:numPr>
      </w:pPr>
      <w:r>
        <w:t xml:space="preserve">Coding: write and run REXX execs, COBOL programs, JCL and JECL, and HLASM against a working runtime, including a COBOL buffer-overflow teaching program.</w:t>
      </w:r>
    </w:p>
    <w:p>
      <w:pPr>
        <w:pStyle w:val="ListParagraph"/>
        <w:numPr>
          <w:ilvl w:val="0"/>
          <w:numId w:val="1"/>
        </w:numPr>
      </w:pPr>
      <w:r>
        <w:t xml:space="preserve">System administration: provision users, allocate datasets and VSAM clusters, submit and manage batch, operate the master console, and drive the online subsystems.</w:t>
      </w:r>
    </w:p>
    <w:p>
      <w:pPr>
        <w:pStyle w:val="ListParagraph"/>
        <w:numPr>
          <w:ilvl w:val="0"/>
          <w:numId w:val="1"/>
        </w:numPr>
      </w:pPr>
      <w:r>
        <w:t xml:space="preserve">Security testing: enumerate the network surface, exploit deliberate weaknesses in the vulnerable profile, escalate privilege, and reach the banking data, then prove the control that stops each step.</w:t>
      </w:r>
    </w:p>
    <w:p>
      <w:pPr>
        <w:pStyle w:val="ListParagraph"/>
        <w:numPr>
          <w:ilvl w:val="0"/>
          <w:numId w:val="1"/>
        </w:numPr>
      </w:pPr>
      <w:r>
        <w:t xml:space="preserve">Forensics: reconstruct incidents from SMF records, zSecure-style review, and the operator log, correlating evidence across subsystems into a timeline.</w:t>
      </w:r>
    </w:p>
    <w:p>
      <w:pPr>
        <w:pStyle w:val="ListParagraph"/>
        <w:numPr>
          <w:ilvl w:val="0"/>
          <w:numId w:val="1"/>
        </w:numPr>
      </w:pPr>
      <w:r>
        <w:t xml:space="preserve">Threat intelligence: run the SENTRY CTI platform, enrich activity with geolocation and indicators, and study modelled threat actors against the estate.</w:t>
      </w:r>
    </w:p>
    <w:p>
      <w:pPr>
        <w:pStyle w:val="ConceptHeading"/>
      </w:pPr>
      <w:r>
        <w:t xml:space="preserve">Realistic simulation between systems</w:t>
      </w:r>
    </w:p>
    <w:p>
      <w:pPr>
        <w:pStyle w:val="Normal"/>
      </w:pPr>
      <w:r>
        <w:t xml:space="preserve">The feature that makes Gibson a simulation rather than a collection of demos is that the subsystems are wired together the way a real installation is. A RACF change is visible to zSecure, raises a master-console alert, and writes an SMF record. An OMVS security tool feeds the same SMF, zSecure, and console streams. SMF in turn feeds the PLONK forensics console and the web dashboard. A CICS transaction, a Db2 access, and an FTP transfer each leave their own record types. This cross-system coherence is what lets a learner run an attack in one subsystem and detect it in another, which is the core discipline the platform teaches.</w:t>
      </w:r>
    </w:p>
    <w:p>
      <w:pPr>
        <w:pStyle w:val="ConceptHeading"/>
      </w:pPr>
      <w:r>
        <w:t xml:space="preserve">Secure and vulnerable, side by side</w:t>
      </w:r>
    </w:p>
    <w:p>
      <w:pPr>
        <w:pStyle w:val="Normal"/>
      </w:pPr>
      <w:r>
        <w:t xml:space="preserve">Gibson runs in one of two profiles. The vulnerable profile is the classroom default and preserves deliberate weaknesses so that attacks succeed and can be studied. The secure profile applies a CIS-aligned configuration, moving listeners, enabling transport protection, enforcing multi-factor authentication, protecting sensitive datasets with PROTECTALL, RACLISTing the sensitive resource classes, and disabling the plaintext training shortcuts. Because every security lab pairs an attack with its defender-side fix, a learner can run the same exercise against both profiles and see precisely which control breaks the chain.</w:t>
      </w:r>
    </w:p>
    <w:p>
      <w:r>
        <w:br w:type="page"/>
      </w:r>
    </w:p>
    <w:p>
      <w:pPr>
        <w:pStyle w:val="ChapterTitle"/>
      </w:pPr>
      <w:r>
        <w:t xml:space="preserve">Main Features</w:t>
      </w:r>
    </w:p>
    <w:p>
      <w:pPr>
        <w:pStyle w:val="ChapterSubtitle"/>
      </w:pPr>
      <w:r>
        <w:t xml:space="preserve">The major subsystems and what each one does</w:t>
      </w:r>
    </w:p>
    <w:p>
      <w:pPr>
        <w:pStyle w:val="Normal"/>
      </w:pPr>
      <w:r>
        <w:t xml:space="preserve">Every entry below is present in the Complete V1 package. Items are grouped by area; the two columns throughout are the feature and what it does.</w:t>
      </w:r>
    </w:p>
    <w:p>
      <w:pPr>
        <w:pStyle w:val="Heading2"/>
      </w:pPr>
      <w:r>
        <w:t xml:space="preserve">Access and terminals</w:t>
      </w:r>
    </w:p>
    <w:tbl>
      <w:tblPr>
        <w:tblStyle w:val="TableGrid"/>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0"/>
        <w:gridCol w:w="6756"/>
      </w:tblGrid>
      <w:tr>
        <w:tc>
          <w:tcPr>
            <w:tcW w:w="2820" w:type="dxa"/>
            <w:shd w:val="clear" w:color="auto" w:fill="1F497D"/>
            <w:tcMar>
              <w:top w:w="60" w:type="dxa"/>
              <w:left w:w="100" w:type="dxa"/>
              <w:bottom w:w="60" w:type="dxa"/>
              <w:right w:w="100" w:type="dxa"/>
            </w:tcMar>
          </w:tcPr>
          <w:p>
            <w:pPr>
              <w:spacing w:before="20" w:after="20"/>
            </w:pPr>
            <w:r>
              <w:rPr>
                <w:b/>
                <w:color w:val="FFFFFF"/>
              </w:rPr>
              <w:t xml:space="preserve">Feature</w:t>
            </w:r>
          </w:p>
        </w:tc>
        <w:tc>
          <w:tcPr>
            <w:tcW w:w="6756" w:type="dxa"/>
            <w:shd w:val="clear" w:color="auto" w:fill="1F497D"/>
            <w:tcMar>
              <w:top w:w="60" w:type="dxa"/>
              <w:left w:w="100" w:type="dxa"/>
              <w:bottom w:w="60" w:type="dxa"/>
              <w:right w:w="100" w:type="dxa"/>
            </w:tcMar>
          </w:tcPr>
          <w:p>
            <w:pPr>
              <w:spacing w:before="20" w:after="20"/>
            </w:pPr>
            <w:r>
              <w:rPr>
                <w:b/>
                <w:color w:val="FFFFFF"/>
              </w:rPr>
              <w:t xml:space="preserve">What it does</w:t>
            </w:r>
          </w:p>
        </w:tc>
      </w:tr>
      <w:tr>
        <w:tc>
          <w:tcPr>
            <w:tcW w:w="2820" w:type="dxa"/>
            <w:tcMar>
              <w:top w:w="60" w:type="dxa"/>
              <w:left w:w="100" w:type="dxa"/>
              <w:bottom w:w="60" w:type="dxa"/>
              <w:right w:w="100" w:type="dxa"/>
            </w:tcMar>
          </w:tcPr>
          <w:p>
            <w:pPr>
              <w:spacing w:before="20" w:after="20"/>
            </w:pPr>
            <w:r>
              <w:t xml:space="preserve">TN3270 / telnet on port 23</w:t>
            </w:r>
          </w:p>
        </w:tc>
        <w:tc>
          <w:tcPr>
            <w:tcW w:w="6756" w:type="dxa"/>
            <w:tcMar>
              <w:top w:w="60" w:type="dxa"/>
              <w:left w:w="100" w:type="dxa"/>
              <w:bottom w:w="60" w:type="dxa"/>
              <w:right w:w="100" w:type="dxa"/>
            </w:tcMar>
          </w:tcPr>
          <w:p>
            <w:pPr>
              <w:spacing w:before="20" w:after="20"/>
            </w:pPr>
            <w:r>
              <w:t xml:space="preserve">Native front end: VTAM USS banner, APPLID selection, and a full 3270 datastream to c3270 and x3270.</w:t>
            </w:r>
          </w:p>
        </w:tc>
      </w:tr>
      <w:tr>
        <w:tc>
          <w:tcPr>
            <w:tcW w:w="2820" w:type="dxa"/>
            <w:tcMar>
              <w:top w:w="60" w:type="dxa"/>
              <w:left w:w="100" w:type="dxa"/>
              <w:bottom w:w="60" w:type="dxa"/>
              <w:right w:w="100" w:type="dxa"/>
            </w:tcMar>
          </w:tcPr>
          <w:p>
            <w:pPr>
              <w:spacing w:before="20" w:after="20"/>
            </w:pPr>
            <w:r>
              <w:t xml:space="preserve">ASCII / netcat path</w:t>
            </w:r>
          </w:p>
        </w:tc>
        <w:tc>
          <w:tcPr>
            <w:tcW w:w="6756" w:type="dxa"/>
            <w:tcMar>
              <w:top w:w="60" w:type="dxa"/>
              <w:left w:w="100" w:type="dxa"/>
              <w:bottom w:w="60" w:type="dxa"/>
              <w:right w:w="100" w:type="dxa"/>
            </w:tcMar>
          </w:tcPr>
          <w:p>
            <w:pPr>
              <w:spacing w:before="20" w:after="20"/>
            </w:pPr>
            <w:r>
              <w:t xml:space="preserve">Merged TN3270 and ANSI terminal mode so non-3270 line clients such as telnet and netcat can drive the system.</w:t>
            </w:r>
          </w:p>
        </w:tc>
      </w:tr>
      <w:tr>
        <w:tc>
          <w:tcPr>
            <w:tcW w:w="2820" w:type="dxa"/>
            <w:tcMar>
              <w:top w:w="60" w:type="dxa"/>
              <w:left w:w="100" w:type="dxa"/>
              <w:bottom w:w="60" w:type="dxa"/>
              <w:right w:w="100" w:type="dxa"/>
            </w:tcMar>
          </w:tcPr>
          <w:p>
            <w:pPr>
              <w:spacing w:before="20" w:after="20"/>
            </w:pPr>
            <w:r>
              <w:t xml:space="preserve">Classroom and secure listeners</w:t>
            </w:r>
          </w:p>
        </w:tc>
        <w:tc>
          <w:tcPr>
            <w:tcW w:w="6756" w:type="dxa"/>
            <w:tcMar>
              <w:top w:w="60" w:type="dxa"/>
              <w:left w:w="100" w:type="dxa"/>
              <w:bottom w:w="60" w:type="dxa"/>
              <w:right w:w="100" w:type="dxa"/>
            </w:tcMar>
          </w:tcPr>
          <w:p>
            <w:pPr>
              <w:spacing w:before="20" w:after="20"/>
            </w:pPr>
            <w:r>
              <w:t xml:space="preserve">Vulnerable selector on 2023 and a hardened TLS listener on 1023, alongside the native port 23 front end.</w:t>
            </w:r>
          </w:p>
        </w:tc>
      </w:tr>
      <w:tr>
        <w:tc>
          <w:tcPr>
            <w:tcW w:w="2820" w:type="dxa"/>
            <w:tcMar>
              <w:top w:w="60" w:type="dxa"/>
              <w:left w:w="100" w:type="dxa"/>
              <w:bottom w:w="60" w:type="dxa"/>
              <w:right w:w="100" w:type="dxa"/>
            </w:tcMar>
          </w:tcPr>
          <w:p>
            <w:pPr>
              <w:spacing w:before="20" w:after="20"/>
            </w:pPr>
            <w:r>
              <w:t xml:space="preserve">TSO logon and re-logon</w:t>
            </w:r>
          </w:p>
        </w:tc>
        <w:tc>
          <w:tcPr>
            <w:tcW w:w="6756" w:type="dxa"/>
            <w:tcMar>
              <w:top w:w="60" w:type="dxa"/>
              <w:left w:w="100" w:type="dxa"/>
              <w:bottom w:w="60" w:type="dxa"/>
              <w:right w:w="100" w:type="dxa"/>
            </w:tcMar>
          </w:tcPr>
          <w:p>
            <w:pPr>
              <w:spacing w:before="20" w:after="20"/>
            </w:pPr>
            <w:r>
              <w:t xml:space="preserve">Userid and password logon with panel and PF-key handling; LOGON at READY switches identity without dropping the session.</w:t>
            </w:r>
          </w:p>
        </w:tc>
      </w:tr>
      <w:tr>
        <w:tc>
          <w:tcPr>
            <w:tcW w:w="2820" w:type="dxa"/>
            <w:tcMar>
              <w:top w:w="60" w:type="dxa"/>
              <w:left w:w="100" w:type="dxa"/>
              <w:bottom w:w="60" w:type="dxa"/>
              <w:right w:w="100" w:type="dxa"/>
            </w:tcMar>
          </w:tcPr>
          <w:p>
            <w:pPr>
              <w:spacing w:before="20" w:after="20"/>
            </w:pPr>
            <w:r>
              <w:t xml:space="preserve">Forced password change</w:t>
            </w:r>
          </w:p>
        </w:tc>
        <w:tc>
          <w:tcPr>
            <w:tcW w:w="6756" w:type="dxa"/>
            <w:tcMar>
              <w:top w:w="60" w:type="dxa"/>
              <w:left w:w="100" w:type="dxa"/>
              <w:bottom w:w="60" w:type="dxa"/>
              <w:right w:w="100" w:type="dxa"/>
            </w:tcMar>
          </w:tcPr>
          <w:p>
            <w:pPr>
              <w:spacing w:before="20" w:after="20"/>
            </w:pPr>
            <w:r>
              <w:t xml:space="preserve">Initial and expired password change enforced at logon.</w:t>
            </w:r>
          </w:p>
        </w:tc>
      </w:tr>
      <w:tr>
        <w:tc>
          <w:tcPr>
            <w:tcW w:w="2820" w:type="dxa"/>
            <w:tcMar>
              <w:top w:w="60" w:type="dxa"/>
              <w:left w:w="100" w:type="dxa"/>
              <w:bottom w:w="60" w:type="dxa"/>
              <w:right w:w="100" w:type="dxa"/>
            </w:tcMar>
          </w:tcPr>
          <w:p>
            <w:pPr>
              <w:spacing w:before="20" w:after="20"/>
            </w:pPr>
            <w:r>
              <w:t xml:space="preserve">Multi-factor authentication</w:t>
            </w:r>
          </w:p>
        </w:tc>
        <w:tc>
          <w:tcPr>
            <w:tcW w:w="6756" w:type="dxa"/>
            <w:tcMar>
              <w:top w:w="60" w:type="dxa"/>
              <w:left w:w="100" w:type="dxa"/>
              <w:bottom w:w="60" w:type="dxa"/>
              <w:right w:w="100" w:type="dxa"/>
            </w:tcMar>
          </w:tcPr>
          <w:p>
            <w:pPr>
              <w:spacing w:before="20" w:after="20"/>
            </w:pPr>
            <w:r>
              <w:t xml:space="preserve">PIN-plus-time token prompt and validation, with a global enable and an audited break-glass account.</w:t>
            </w:r>
          </w:p>
        </w:tc>
      </w:tr>
    </w:tbl>
    <w:p>
      <w:pPr>
        <w:spacing w:after="0"/>
      </w:pPr>
    </w:p>
    <w:p>
      <w:pPr>
        <w:pStyle w:val="Heading2"/>
      </w:pPr>
      <w:r>
        <w:t xml:space="preserve">TSO, ISPF, SDSF, and batch</w:t>
      </w:r>
    </w:p>
    <w:tbl>
      <w:tblPr>
        <w:tblStyle w:val="TableGrid"/>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0"/>
        <w:gridCol w:w="6756"/>
      </w:tblGrid>
      <w:tr>
        <w:tc>
          <w:tcPr>
            <w:tcW w:w="2820" w:type="dxa"/>
            <w:shd w:val="clear" w:color="auto" w:fill="1F497D"/>
            <w:tcMar>
              <w:top w:w="60" w:type="dxa"/>
              <w:left w:w="100" w:type="dxa"/>
              <w:bottom w:w="60" w:type="dxa"/>
              <w:right w:w="100" w:type="dxa"/>
            </w:tcMar>
          </w:tcPr>
          <w:p>
            <w:pPr>
              <w:spacing w:before="20" w:after="20"/>
            </w:pPr>
            <w:r>
              <w:rPr>
                <w:b/>
                <w:color w:val="FFFFFF"/>
              </w:rPr>
              <w:t xml:space="preserve">Feature</w:t>
            </w:r>
          </w:p>
        </w:tc>
        <w:tc>
          <w:tcPr>
            <w:tcW w:w="6756" w:type="dxa"/>
            <w:shd w:val="clear" w:color="auto" w:fill="1F497D"/>
            <w:tcMar>
              <w:top w:w="60" w:type="dxa"/>
              <w:left w:w="100" w:type="dxa"/>
              <w:bottom w:w="60" w:type="dxa"/>
              <w:right w:w="100" w:type="dxa"/>
            </w:tcMar>
          </w:tcPr>
          <w:p>
            <w:pPr>
              <w:spacing w:before="20" w:after="20"/>
            </w:pPr>
            <w:r>
              <w:rPr>
                <w:b/>
                <w:color w:val="FFFFFF"/>
              </w:rPr>
              <w:t xml:space="preserve">What it does</w:t>
            </w:r>
          </w:p>
        </w:tc>
      </w:tr>
      <w:tr>
        <w:tc>
          <w:tcPr>
            <w:tcW w:w="2820" w:type="dxa"/>
            <w:tcMar>
              <w:top w:w="60" w:type="dxa"/>
              <w:left w:w="100" w:type="dxa"/>
              <w:bottom w:w="60" w:type="dxa"/>
              <w:right w:w="100" w:type="dxa"/>
            </w:tcMar>
          </w:tcPr>
          <w:p>
            <w:pPr>
              <w:spacing w:before="20" w:after="20"/>
            </w:pPr>
            <w:r>
              <w:t xml:space="preserve">TSO READY environment</w:t>
            </w:r>
          </w:p>
        </w:tc>
        <w:tc>
          <w:tcPr>
            <w:tcW w:w="6756" w:type="dxa"/>
            <w:tcMar>
              <w:top w:w="60" w:type="dxa"/>
              <w:left w:w="100" w:type="dxa"/>
              <w:bottom w:w="60" w:type="dxa"/>
              <w:right w:w="100" w:type="dxa"/>
            </w:tcMar>
          </w:tcPr>
          <w:p>
            <w:pPr>
              <w:spacing w:before="20" w:after="20"/>
            </w:pPr>
            <w:r>
              <w:t xml:space="preserve">Command-processor context with autocomplete and help, plus dataset commands (ALLOCATE, LISTDS, LISTCAT, DELETE, RENAME) and inter-user SEND.</w:t>
            </w:r>
          </w:p>
        </w:tc>
      </w:tr>
      <w:tr>
        <w:tc>
          <w:tcPr>
            <w:tcW w:w="2820" w:type="dxa"/>
            <w:tcMar>
              <w:top w:w="60" w:type="dxa"/>
              <w:left w:w="100" w:type="dxa"/>
              <w:bottom w:w="60" w:type="dxa"/>
              <w:right w:w="100" w:type="dxa"/>
            </w:tcMar>
          </w:tcPr>
          <w:p>
            <w:pPr>
              <w:spacing w:before="20" w:after="20"/>
            </w:pPr>
            <w:r>
              <w:t xml:space="preserve">IDCAMS and VSAM</w:t>
            </w:r>
          </w:p>
        </w:tc>
        <w:tc>
          <w:tcPr>
            <w:tcW w:w="6756" w:type="dxa"/>
            <w:tcMar>
              <w:top w:w="60" w:type="dxa"/>
              <w:left w:w="100" w:type="dxa"/>
              <w:bottom w:w="60" w:type="dxa"/>
              <w:right w:w="100" w:type="dxa"/>
            </w:tcMar>
          </w:tcPr>
          <w:p>
            <w:pPr>
              <w:spacing w:before="20" w:after="20"/>
            </w:pPr>
            <w:r>
              <w:t xml:space="preserve">DEFINE CLUSTER, AIX, and PATH, associations, attributes, and LISTCAT ENTRIES for keyed datasets.</w:t>
            </w:r>
          </w:p>
        </w:tc>
      </w:tr>
      <w:tr>
        <w:tc>
          <w:tcPr>
            <w:tcW w:w="2820" w:type="dxa"/>
            <w:tcMar>
              <w:top w:w="60" w:type="dxa"/>
              <w:left w:w="100" w:type="dxa"/>
              <w:bottom w:w="60" w:type="dxa"/>
              <w:right w:w="100" w:type="dxa"/>
            </w:tcMar>
          </w:tcPr>
          <w:p>
            <w:pPr>
              <w:spacing w:before="20" w:after="20"/>
            </w:pPr>
            <w:r>
              <w:t xml:space="preserve">IND$FILE transfer</w:t>
            </w:r>
          </w:p>
        </w:tc>
        <w:tc>
          <w:tcPr>
            <w:tcW w:w="6756" w:type="dxa"/>
            <w:tcMar>
              <w:top w:w="60" w:type="dxa"/>
              <w:left w:w="100" w:type="dxa"/>
              <w:bottom w:w="60" w:type="dxa"/>
              <w:right w:w="100" w:type="dxa"/>
            </w:tcMar>
          </w:tcPr>
          <w:p>
            <w:pPr>
              <w:spacing w:before="20" w:after="20"/>
            </w:pPr>
            <w:r>
              <w:t xml:space="preserve">Native 3270 file transfer with ASCII, BINARY, and CRLF handling for text and binary round-trips.</w:t>
            </w:r>
          </w:p>
        </w:tc>
      </w:tr>
      <w:tr>
        <w:tc>
          <w:tcPr>
            <w:tcW w:w="2820" w:type="dxa"/>
            <w:tcMar>
              <w:top w:w="60" w:type="dxa"/>
              <w:left w:w="100" w:type="dxa"/>
              <w:bottom w:w="60" w:type="dxa"/>
              <w:right w:w="100" w:type="dxa"/>
            </w:tcMar>
          </w:tcPr>
          <w:p>
            <w:pPr>
              <w:spacing w:before="20" w:after="20"/>
            </w:pPr>
            <w:r>
              <w:t xml:space="preserve">ISPF and the editor</w:t>
            </w:r>
          </w:p>
        </w:tc>
        <w:tc>
          <w:tcPr>
            <w:tcW w:w="6756" w:type="dxa"/>
            <w:tcMar>
              <w:top w:w="60" w:type="dxa"/>
              <w:left w:w="100" w:type="dxa"/>
              <w:bottom w:w="60" w:type="dxa"/>
              <w:right w:w="100" w:type="dxa"/>
            </w:tcMar>
          </w:tcPr>
          <w:p>
            <w:pPr>
              <w:spacing w:before="20" w:after="20"/>
            </w:pPr>
            <w:r>
              <w:t xml:space="preserve">Primary-menu navigation, the DSLIST utility, and a full-screen editor with line and primary commands.</w:t>
            </w:r>
          </w:p>
        </w:tc>
      </w:tr>
      <w:tr>
        <w:tc>
          <w:tcPr>
            <w:tcW w:w="2820" w:type="dxa"/>
            <w:tcMar>
              <w:top w:w="60" w:type="dxa"/>
              <w:left w:w="100" w:type="dxa"/>
              <w:bottom w:w="60" w:type="dxa"/>
              <w:right w:w="100" w:type="dxa"/>
            </w:tcMar>
          </w:tcPr>
          <w:p>
            <w:pPr>
              <w:spacing w:before="20" w:after="20"/>
            </w:pPr>
            <w:r>
              <w:t xml:space="preserve">JES2, JCL, and JECL</w:t>
            </w:r>
          </w:p>
        </w:tc>
        <w:tc>
          <w:tcPr>
            <w:tcW w:w="6756" w:type="dxa"/>
            <w:tcMar>
              <w:top w:w="60" w:type="dxa"/>
              <w:left w:w="100" w:type="dxa"/>
              <w:bottom w:w="60" w:type="dxa"/>
              <w:right w:w="100" w:type="dxa"/>
            </w:tcMar>
          </w:tcPr>
          <w:p>
            <w:pPr>
              <w:spacing w:before="20" w:after="20"/>
            </w:pPr>
            <w:r>
              <w:t xml:space="preserve">Full submit-convert-execute-spool lifecycle, JECL acknowledgements, high-precision JCL-error detection, and a JES2 dollar-command surface.</w:t>
            </w:r>
          </w:p>
        </w:tc>
      </w:tr>
      <w:tr>
        <w:tc>
          <w:tcPr>
            <w:tcW w:w="2820" w:type="dxa"/>
            <w:tcMar>
              <w:top w:w="60" w:type="dxa"/>
              <w:left w:w="100" w:type="dxa"/>
              <w:bottom w:w="60" w:type="dxa"/>
              <w:right w:w="100" w:type="dxa"/>
            </w:tcMar>
          </w:tcPr>
          <w:p>
            <w:pPr>
              <w:spacing w:before="20" w:after="20"/>
            </w:pPr>
            <w:r>
              <w:t xml:space="preserve">SDSF</w:t>
            </w:r>
          </w:p>
        </w:tc>
        <w:tc>
          <w:tcPr>
            <w:tcW w:w="6756" w:type="dxa"/>
            <w:tcMar>
              <w:top w:w="60" w:type="dxa"/>
              <w:left w:w="100" w:type="dxa"/>
              <w:bottom w:w="60" w:type="dxa"/>
              <w:right w:w="100" w:type="dxa"/>
            </w:tcMar>
          </w:tcPr>
          <w:p>
            <w:pPr>
              <w:spacing w:before="20" w:after="20"/>
            </w:pPr>
            <w:r>
              <w:t xml:space="preserve">ST, DA, and spool displays, output browse, and job actions.</w:t>
            </w:r>
          </w:p>
        </w:tc>
      </w:tr>
      <w:tr>
        <w:tc>
          <w:tcPr>
            <w:tcW w:w="2820" w:type="dxa"/>
            <w:tcMar>
              <w:top w:w="60" w:type="dxa"/>
              <w:left w:w="100" w:type="dxa"/>
              <w:bottom w:w="60" w:type="dxa"/>
              <w:right w:w="100" w:type="dxa"/>
            </w:tcMar>
          </w:tcPr>
          <w:p>
            <w:pPr>
              <w:spacing w:before="20" w:after="20"/>
            </w:pPr>
            <w:r>
              <w:t xml:space="preserve">Abends and diagnostics</w:t>
            </w:r>
          </w:p>
        </w:tc>
        <w:tc>
          <w:tcPr>
            <w:tcW w:w="6756" w:type="dxa"/>
            <w:tcMar>
              <w:top w:w="60" w:type="dxa"/>
              <w:left w:w="100" w:type="dxa"/>
              <w:bottom w:w="60" w:type="dxa"/>
              <w:right w:w="100" w:type="dxa"/>
            </w:tcMar>
          </w:tcPr>
          <w:p>
            <w:pPr>
              <w:spacing w:before="20" w:after="20"/>
            </w:pPr>
            <w:r>
              <w:t xml:space="preserve">Authentic SYSUDUMP symptom dumps and repeatable force-abend demonstrations (S0C7, S806, S913, S0C4, S322, Bx37) with a teaching lab.</w:t>
            </w:r>
          </w:p>
        </w:tc>
      </w:tr>
    </w:tbl>
    <w:p>
      <w:pPr>
        <w:spacing w:after="0"/>
      </w:pPr>
    </w:p>
    <w:p>
      <w:pPr>
        <w:pStyle w:val="Heading2"/>
      </w:pPr>
      <w:r>
        <w:t xml:space="preserve">Security administration and forensics</w:t>
      </w:r>
    </w:p>
    <w:tbl>
      <w:tblPr>
        <w:tblStyle w:val="TableGrid"/>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0"/>
        <w:gridCol w:w="6756"/>
      </w:tblGrid>
      <w:tr>
        <w:tc>
          <w:tcPr>
            <w:tcW w:w="2820" w:type="dxa"/>
            <w:shd w:val="clear" w:color="auto" w:fill="1F497D"/>
            <w:tcMar>
              <w:top w:w="60" w:type="dxa"/>
              <w:left w:w="100" w:type="dxa"/>
              <w:bottom w:w="60" w:type="dxa"/>
              <w:right w:w="100" w:type="dxa"/>
            </w:tcMar>
          </w:tcPr>
          <w:p>
            <w:pPr>
              <w:spacing w:before="20" w:after="20"/>
            </w:pPr>
            <w:r>
              <w:rPr>
                <w:b/>
                <w:color w:val="FFFFFF"/>
              </w:rPr>
              <w:t xml:space="preserve">Feature</w:t>
            </w:r>
          </w:p>
        </w:tc>
        <w:tc>
          <w:tcPr>
            <w:tcW w:w="6756" w:type="dxa"/>
            <w:shd w:val="clear" w:color="auto" w:fill="1F497D"/>
            <w:tcMar>
              <w:top w:w="60" w:type="dxa"/>
              <w:left w:w="100" w:type="dxa"/>
              <w:bottom w:w="60" w:type="dxa"/>
              <w:right w:w="100" w:type="dxa"/>
            </w:tcMar>
          </w:tcPr>
          <w:p>
            <w:pPr>
              <w:spacing w:before="20" w:after="20"/>
            </w:pPr>
            <w:r>
              <w:rPr>
                <w:b/>
                <w:color w:val="FFFFFF"/>
              </w:rPr>
              <w:t xml:space="preserve">What it does</w:t>
            </w:r>
          </w:p>
        </w:tc>
      </w:tr>
      <w:tr>
        <w:tc>
          <w:tcPr>
            <w:tcW w:w="2820" w:type="dxa"/>
            <w:tcMar>
              <w:top w:w="60" w:type="dxa"/>
              <w:left w:w="100" w:type="dxa"/>
              <w:bottom w:w="60" w:type="dxa"/>
              <w:right w:w="100" w:type="dxa"/>
            </w:tcMar>
          </w:tcPr>
          <w:p>
            <w:pPr>
              <w:spacing w:before="20" w:after="20"/>
            </w:pPr>
            <w:r>
              <w:t xml:space="preserve">RACF administration</w:t>
            </w:r>
          </w:p>
        </w:tc>
        <w:tc>
          <w:tcPr>
            <w:tcW w:w="6756" w:type="dxa"/>
            <w:tcMar>
              <w:top w:w="60" w:type="dxa"/>
              <w:left w:w="100" w:type="dxa"/>
              <w:bottom w:w="60" w:type="dxa"/>
              <w:right w:w="100" w:type="dxa"/>
            </w:tcMar>
          </w:tcPr>
          <w:p>
            <w:pPr>
              <w:spacing w:before="20" w:after="20"/>
            </w:pPr>
            <w:r>
              <w:t xml:space="preserve">Users, groups, connects, dataset and general-resource profiles, PERMIT, SETROPTS, and a live SYS1.RACFDS database with legacy-DES hashing.</w:t>
            </w:r>
          </w:p>
        </w:tc>
      </w:tr>
      <w:tr>
        <w:tc>
          <w:tcPr>
            <w:tcW w:w="2820" w:type="dxa"/>
            <w:tcMar>
              <w:top w:w="60" w:type="dxa"/>
              <w:left w:w="100" w:type="dxa"/>
              <w:bottom w:w="60" w:type="dxa"/>
              <w:right w:w="100" w:type="dxa"/>
            </w:tcMar>
          </w:tcPr>
          <w:p>
            <w:pPr>
              <w:spacing w:before="20" w:after="20"/>
            </w:pPr>
            <w:r>
              <w:t xml:space="preserve">RACF audit and unload</w:t>
            </w:r>
          </w:p>
        </w:tc>
        <w:tc>
          <w:tcPr>
            <w:tcW w:w="6756" w:type="dxa"/>
            <w:tcMar>
              <w:top w:w="60" w:type="dxa"/>
              <w:left w:w="100" w:type="dxa"/>
              <w:bottom w:w="60" w:type="dxa"/>
              <w:right w:w="100" w:type="dxa"/>
            </w:tcMar>
          </w:tcPr>
          <w:p>
            <w:pPr>
              <w:spacing w:before="20" w:after="20"/>
            </w:pPr>
            <w:r>
              <w:t xml:space="preserve">IRRADU00 SMF type-80 audit unload and IRRDBU00 database unload parseable by RACFHound, pyracf, and mfpandas, with access lists and a realistic attack-path seed.</w:t>
            </w:r>
          </w:p>
        </w:tc>
      </w:tr>
      <w:tr>
        <w:tc>
          <w:tcPr>
            <w:tcW w:w="2820" w:type="dxa"/>
            <w:tcMar>
              <w:top w:w="60" w:type="dxa"/>
              <w:left w:w="100" w:type="dxa"/>
              <w:bottom w:w="60" w:type="dxa"/>
              <w:right w:w="100" w:type="dxa"/>
            </w:tcMar>
          </w:tcPr>
          <w:p>
            <w:pPr>
              <w:spacing w:before="20" w:after="20"/>
            </w:pPr>
            <w:r>
              <w:t xml:space="preserve">racf2john and John</w:t>
            </w:r>
          </w:p>
        </w:tc>
        <w:tc>
          <w:tcPr>
            <w:tcW w:w="6756" w:type="dxa"/>
            <w:tcMar>
              <w:top w:w="60" w:type="dxa"/>
              <w:left w:w="100" w:type="dxa"/>
              <w:bottom w:w="60" w:type="dxa"/>
              <w:right w:w="100" w:type="dxa"/>
            </w:tcMar>
          </w:tcPr>
          <w:p>
            <w:pPr>
              <w:spacing w:before="20" w:after="20"/>
            </w:pPr>
            <w:r>
              <w:t xml:space="preserve">Extract and crack RACF hashes from the OMVS lab to demonstrate weak-credential risk.</w:t>
            </w:r>
          </w:p>
        </w:tc>
      </w:tr>
      <w:tr>
        <w:tc>
          <w:tcPr>
            <w:tcW w:w="2820" w:type="dxa"/>
            <w:tcMar>
              <w:top w:w="60" w:type="dxa"/>
              <w:left w:w="100" w:type="dxa"/>
              <w:bottom w:w="60" w:type="dxa"/>
              <w:right w:w="100" w:type="dxa"/>
            </w:tcMar>
          </w:tcPr>
          <w:p>
            <w:pPr>
              <w:spacing w:before="20" w:after="20"/>
            </w:pPr>
            <w:r>
              <w:t xml:space="preserve">ACF2 security model</w:t>
            </w:r>
          </w:p>
        </w:tc>
        <w:tc>
          <w:tcPr>
            <w:tcW w:w="6756" w:type="dxa"/>
            <w:tcMar>
              <w:top w:w="60" w:type="dxa"/>
              <w:left w:w="100" w:type="dxa"/>
              <w:bottom w:w="60" w:type="dxa"/>
              <w:right w:w="100" w:type="dxa"/>
            </w:tcMar>
          </w:tcPr>
          <w:p>
            <w:pPr>
              <w:spacing w:before="20" w:after="20"/>
            </w:pPr>
            <w:r>
              <w:t xml:space="preserve">A full alternative security manager (about two thousand lines): logonids, rule sets, GSO, operating modes, and reports.</w:t>
            </w:r>
          </w:p>
        </w:tc>
      </w:tr>
      <w:tr>
        <w:tc>
          <w:tcPr>
            <w:tcW w:w="2820" w:type="dxa"/>
            <w:tcMar>
              <w:top w:w="60" w:type="dxa"/>
              <w:left w:w="100" w:type="dxa"/>
              <w:bottom w:w="60" w:type="dxa"/>
              <w:right w:w="100" w:type="dxa"/>
            </w:tcMar>
          </w:tcPr>
          <w:p>
            <w:pPr>
              <w:spacing w:before="20" w:after="20"/>
            </w:pPr>
            <w:r>
              <w:t xml:space="preserve">SMF engine</w:t>
            </w:r>
          </w:p>
        </w:tc>
        <w:tc>
          <w:tcPr>
            <w:tcW w:w="6756" w:type="dxa"/>
            <w:tcMar>
              <w:top w:w="60" w:type="dxa"/>
              <w:left w:w="100" w:type="dxa"/>
              <w:bottom w:w="60" w:type="dxa"/>
              <w:right w:w="100" w:type="dxa"/>
            </w:tcMar>
          </w:tcPr>
          <w:p>
            <w:pPr>
              <w:spacing w:before="20" w:after="20"/>
            </w:pPr>
            <w:r>
              <w:t xml:space="preserve">Record types 30, 80, 110, and PassTicket, a MANX log stream, and selectable recording modes.</w:t>
            </w:r>
          </w:p>
        </w:tc>
      </w:tr>
      <w:tr>
        <w:tc>
          <w:tcPr>
            <w:tcW w:w="2820" w:type="dxa"/>
            <w:tcMar>
              <w:top w:w="60" w:type="dxa"/>
              <w:left w:w="100" w:type="dxa"/>
              <w:bottom w:w="60" w:type="dxa"/>
              <w:right w:w="100" w:type="dxa"/>
            </w:tcMar>
          </w:tcPr>
          <w:p>
            <w:pPr>
              <w:spacing w:before="20" w:after="20"/>
            </w:pPr>
            <w:r>
              <w:t xml:space="preserve">zSecure-style review</w:t>
            </w:r>
          </w:p>
        </w:tc>
        <w:tc>
          <w:tcPr>
            <w:tcW w:w="6756" w:type="dxa"/>
            <w:tcMar>
              <w:top w:w="60" w:type="dxa"/>
              <w:left w:w="100" w:type="dxa"/>
              <w:bottom w:w="60" w:type="dxa"/>
              <w:right w:w="100" w:type="dxa"/>
            </w:tcMar>
          </w:tcPr>
          <w:p>
            <w:pPr>
              <w:spacing w:before="20" w:after="20"/>
            </w:pPr>
            <w:r>
              <w:t xml:space="preserve">EVENTS, RARE, and SUMMARY over SMF and audit data, RACFDS and hash review, transfer and exfiltration review, and a compliance baseline with drift detection.</w:t>
            </w:r>
          </w:p>
        </w:tc>
      </w:tr>
      <w:tr>
        <w:tc>
          <w:tcPr>
            <w:tcW w:w="2820" w:type="dxa"/>
            <w:tcMar>
              <w:top w:w="60" w:type="dxa"/>
              <w:left w:w="100" w:type="dxa"/>
              <w:bottom w:w="60" w:type="dxa"/>
              <w:right w:w="100" w:type="dxa"/>
            </w:tcMar>
          </w:tcPr>
          <w:p>
            <w:pPr>
              <w:spacing w:before="20" w:after="20"/>
            </w:pPr>
            <w:r>
              <w:t xml:space="preserve">Master console and operations</w:t>
            </w:r>
          </w:p>
        </w:tc>
        <w:tc>
          <w:tcPr>
            <w:tcW w:w="6756" w:type="dxa"/>
            <w:tcMar>
              <w:top w:w="60" w:type="dxa"/>
              <w:left w:w="100" w:type="dxa"/>
              <w:bottom w:w="60" w:type="dxa"/>
              <w:right w:w="100" w:type="dxa"/>
            </w:tcMar>
          </w:tcPr>
          <w:p>
            <w:pPr>
              <w:spacing w:before="20" w:after="20"/>
            </w:pPr>
            <w:r>
              <w:t xml:space="preserve">MVS display commands (D IPLINFO, PARMLIB, PROG APF), WLM and RMF views, the HZSPRINT health checker, GRS contention, OPERLOG, WTOR replies, and RACFDS alerting.</w:t>
            </w:r>
          </w:p>
        </w:tc>
      </w:tr>
    </w:tbl>
    <w:p>
      <w:pPr>
        <w:spacing w:after="0"/>
      </w:pPr>
    </w:p>
    <w:p>
      <w:pPr>
        <w:pStyle w:val="Heading2"/>
      </w:pPr>
      <w:r>
        <w:t xml:space="preserve">Applications and databases</w:t>
      </w:r>
    </w:p>
    <w:tbl>
      <w:tblPr>
        <w:tblStyle w:val="TableGrid"/>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0"/>
        <w:gridCol w:w="6756"/>
      </w:tblGrid>
      <w:tr>
        <w:tc>
          <w:tcPr>
            <w:tcW w:w="2820" w:type="dxa"/>
            <w:shd w:val="clear" w:color="auto" w:fill="1F497D"/>
            <w:tcMar>
              <w:top w:w="60" w:type="dxa"/>
              <w:left w:w="100" w:type="dxa"/>
              <w:bottom w:w="60" w:type="dxa"/>
              <w:right w:w="100" w:type="dxa"/>
            </w:tcMar>
          </w:tcPr>
          <w:p>
            <w:pPr>
              <w:spacing w:before="20" w:after="20"/>
            </w:pPr>
            <w:r>
              <w:rPr>
                <w:b/>
                <w:color w:val="FFFFFF"/>
              </w:rPr>
              <w:t xml:space="preserve">Feature</w:t>
            </w:r>
          </w:p>
        </w:tc>
        <w:tc>
          <w:tcPr>
            <w:tcW w:w="6756" w:type="dxa"/>
            <w:shd w:val="clear" w:color="auto" w:fill="1F497D"/>
            <w:tcMar>
              <w:top w:w="60" w:type="dxa"/>
              <w:left w:w="100" w:type="dxa"/>
              <w:bottom w:w="60" w:type="dxa"/>
              <w:right w:w="100" w:type="dxa"/>
            </w:tcMar>
          </w:tcPr>
          <w:p>
            <w:pPr>
              <w:spacing w:before="20" w:after="20"/>
            </w:pPr>
            <w:r>
              <w:rPr>
                <w:b/>
                <w:color w:val="FFFFFF"/>
              </w:rPr>
              <w:t xml:space="preserve">What it does</w:t>
            </w:r>
          </w:p>
        </w:tc>
      </w:tr>
      <w:tr>
        <w:tc>
          <w:tcPr>
            <w:tcW w:w="2820" w:type="dxa"/>
            <w:tcMar>
              <w:top w:w="60" w:type="dxa"/>
              <w:left w:w="100" w:type="dxa"/>
              <w:bottom w:w="60" w:type="dxa"/>
              <w:right w:w="100" w:type="dxa"/>
            </w:tcMar>
          </w:tcPr>
          <w:p>
            <w:pPr>
              <w:spacing w:before="20" w:after="20"/>
            </w:pPr>
            <w:r>
              <w:t xml:space="preserve">CICS</w:t>
            </w:r>
          </w:p>
        </w:tc>
        <w:tc>
          <w:tcPr>
            <w:tcW w:w="6756" w:type="dxa"/>
            <w:tcMar>
              <w:top w:w="60" w:type="dxa"/>
              <w:left w:w="100" w:type="dxa"/>
              <w:bottom w:w="60" w:type="dxa"/>
              <w:right w:w="100" w:type="dxa"/>
            </w:tcMar>
          </w:tcPr>
          <w:p>
            <w:pPr>
              <w:spacing w:before="20" w:after="20"/>
            </w:pPr>
            <w:r>
              <w:t xml:space="preserve">CESN and CESF sign-on, CEMT, CECI, and CEDA administration, the CBSA core banking application, and the deliberately vulnerable DVCA application.</w:t>
            </w:r>
          </w:p>
        </w:tc>
      </w:tr>
      <w:tr>
        <w:tc>
          <w:tcPr>
            <w:tcW w:w="2820" w:type="dxa"/>
            <w:tcMar>
              <w:top w:w="60" w:type="dxa"/>
              <w:left w:w="100" w:type="dxa"/>
              <w:bottom w:w="60" w:type="dxa"/>
              <w:right w:w="100" w:type="dxa"/>
            </w:tcMar>
          </w:tcPr>
          <w:p>
            <w:pPr>
              <w:spacing w:before="20" w:after="20"/>
            </w:pPr>
            <w:r>
              <w:t xml:space="preserve">CICS overflow lab</w:t>
            </w:r>
          </w:p>
        </w:tc>
        <w:tc>
          <w:tcPr>
            <w:tcW w:w="6756" w:type="dxa"/>
            <w:tcMar>
              <w:top w:w="60" w:type="dxa"/>
              <w:left w:w="100" w:type="dxa"/>
              <w:bottom w:w="60" w:type="dxa"/>
              <w:right w:w="100" w:type="dxa"/>
            </w:tcMar>
          </w:tcPr>
          <w:p>
            <w:pPr>
              <w:spacing w:before="20" w:after="20"/>
            </w:pPr>
            <w:r>
              <w:t xml:space="preserve">A buffer-overflow path that produces an authentic ASRA and S0C4 abend, with secure-fix guidance.</w:t>
            </w:r>
          </w:p>
        </w:tc>
      </w:tr>
      <w:tr>
        <w:tc>
          <w:tcPr>
            <w:tcW w:w="2820" w:type="dxa"/>
            <w:tcMar>
              <w:top w:w="60" w:type="dxa"/>
              <w:left w:w="100" w:type="dxa"/>
              <w:bottom w:w="60" w:type="dxa"/>
              <w:right w:w="100" w:type="dxa"/>
            </w:tcMar>
          </w:tcPr>
          <w:p>
            <w:pPr>
              <w:spacing w:before="20" w:after="20"/>
            </w:pPr>
            <w:r>
              <w:t xml:space="preserve">Db2</w:t>
            </w:r>
          </w:p>
        </w:tc>
        <w:tc>
          <w:tcPr>
            <w:tcW w:w="6756" w:type="dxa"/>
            <w:tcMar>
              <w:top w:w="60" w:type="dxa"/>
              <w:left w:w="100" w:type="dxa"/>
              <w:bottom w:w="60" w:type="dxa"/>
              <w:right w:w="100" w:type="dxa"/>
            </w:tcMar>
          </w:tcPr>
          <w:p>
            <w:pPr>
              <w:spacing w:before="20" w:after="20"/>
            </w:pPr>
            <w:r>
              <w:t xml:space="preserve">SPUFI and SQL, the catalog, DDF and DRDA, and a db2connect client.</w:t>
            </w:r>
          </w:p>
        </w:tc>
      </w:tr>
      <w:tr>
        <w:tc>
          <w:tcPr>
            <w:tcW w:w="2820" w:type="dxa"/>
            <w:tcMar>
              <w:top w:w="60" w:type="dxa"/>
              <w:left w:w="100" w:type="dxa"/>
              <w:bottom w:w="60" w:type="dxa"/>
              <w:right w:w="100" w:type="dxa"/>
            </w:tcMar>
          </w:tcPr>
          <w:p>
            <w:pPr>
              <w:spacing w:before="20" w:after="20"/>
            </w:pPr>
            <w:r>
              <w:t xml:space="preserve">IMS</w:t>
            </w:r>
          </w:p>
        </w:tc>
        <w:tc>
          <w:tcPr>
            <w:tcW w:w="6756" w:type="dxa"/>
            <w:tcMar>
              <w:top w:w="60" w:type="dxa"/>
              <w:left w:w="100" w:type="dxa"/>
              <w:bottom w:w="60" w:type="dxa"/>
              <w:right w:w="100" w:type="dxa"/>
            </w:tcMar>
          </w:tcPr>
          <w:p>
            <w:pPr>
              <w:spacing w:before="20" w:after="20"/>
            </w:pPr>
            <w:r>
              <w:t xml:space="preserve">A hierarchical database and transaction environment.</w:t>
            </w:r>
          </w:p>
        </w:tc>
      </w:tr>
      <w:tr>
        <w:tc>
          <w:tcPr>
            <w:tcW w:w="2820" w:type="dxa"/>
            <w:tcMar>
              <w:top w:w="60" w:type="dxa"/>
              <w:left w:w="100" w:type="dxa"/>
              <w:bottom w:w="60" w:type="dxa"/>
              <w:right w:w="100" w:type="dxa"/>
            </w:tcMar>
          </w:tcPr>
          <w:p>
            <w:pPr>
              <w:spacing w:before="20" w:after="20"/>
            </w:pPr>
            <w:r>
              <w:t xml:space="preserve">z/VM</w:t>
            </w:r>
          </w:p>
        </w:tc>
        <w:tc>
          <w:tcPr>
            <w:tcW w:w="6756" w:type="dxa"/>
            <w:tcMar>
              <w:top w:w="60" w:type="dxa"/>
              <w:left w:w="100" w:type="dxa"/>
              <w:bottom w:w="60" w:type="dxa"/>
              <w:right w:w="100" w:type="dxa"/>
            </w:tcMar>
          </w:tcPr>
          <w:p>
            <w:pPr>
              <w:spacing w:before="20" w:after="20"/>
            </w:pPr>
            <w:r>
              <w:t xml:space="preserve">A CP command environment.</w:t>
            </w:r>
          </w:p>
        </w:tc>
      </w:tr>
      <w:tr>
        <w:tc>
          <w:tcPr>
            <w:tcW w:w="2820" w:type="dxa"/>
            <w:tcMar>
              <w:top w:w="60" w:type="dxa"/>
              <w:left w:w="100" w:type="dxa"/>
              <w:bottom w:w="60" w:type="dxa"/>
              <w:right w:w="100" w:type="dxa"/>
            </w:tcMar>
          </w:tcPr>
          <w:p>
            <w:pPr>
              <w:spacing w:before="20" w:after="20"/>
            </w:pPr>
            <w:r>
              <w:t xml:space="preserve">zTPF</w:t>
            </w:r>
          </w:p>
        </w:tc>
        <w:tc>
          <w:tcPr>
            <w:tcW w:w="6756" w:type="dxa"/>
            <w:tcMar>
              <w:top w:w="60" w:type="dxa"/>
              <w:left w:w="100" w:type="dxa"/>
              <w:bottom w:w="60" w:type="dxa"/>
              <w:right w:w="100" w:type="dxa"/>
            </w:tcMar>
          </w:tcPr>
          <w:p>
            <w:pPr>
              <w:spacing w:before="20" w:after="20"/>
            </w:pPr>
            <w:r>
              <w:t xml:space="preserve">A high-volume transaction-processing model.</w:t>
            </w:r>
          </w:p>
        </w:tc>
      </w:tr>
      <w:tr>
        <w:tc>
          <w:tcPr>
            <w:tcW w:w="2820" w:type="dxa"/>
            <w:tcMar>
              <w:top w:w="60" w:type="dxa"/>
              <w:left w:w="100" w:type="dxa"/>
              <w:bottom w:w="60" w:type="dxa"/>
              <w:right w:w="100" w:type="dxa"/>
            </w:tcMar>
          </w:tcPr>
          <w:p>
            <w:pPr>
              <w:spacing w:before="20" w:after="20"/>
            </w:pPr>
            <w:r>
              <w:t xml:space="preserve">COBOL banking source</w:t>
            </w:r>
          </w:p>
        </w:tc>
        <w:tc>
          <w:tcPr>
            <w:tcW w:w="6756" w:type="dxa"/>
            <w:tcMar>
              <w:top w:w="60" w:type="dxa"/>
              <w:left w:w="100" w:type="dxa"/>
              <w:bottom w:w="60" w:type="dxa"/>
              <w:right w:w="100" w:type="dxa"/>
            </w:tcMar>
          </w:tcPr>
          <w:p>
            <w:pPr>
              <w:spacing w:before="20" w:after="20"/>
            </w:pPr>
            <w:r>
              <w:t xml:space="preserve">Real COBOL banking programs (account and customer enquiry, create, and delete) behind the CBSA application.</w:t>
            </w:r>
          </w:p>
        </w:tc>
      </w:tr>
    </w:tbl>
    <w:p>
      <w:pPr>
        <w:spacing w:after="0"/>
      </w:pPr>
    </w:p>
    <w:p>
      <w:pPr>
        <w:pStyle w:val="Heading2"/>
      </w:pPr>
      <w:r>
        <w:t xml:space="preserve">Connectivity, network, and API</w:t>
      </w:r>
    </w:p>
    <w:tbl>
      <w:tblPr>
        <w:tblStyle w:val="TableGrid"/>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0"/>
        <w:gridCol w:w="6756"/>
      </w:tblGrid>
      <w:tr>
        <w:tc>
          <w:tcPr>
            <w:tcW w:w="2820" w:type="dxa"/>
            <w:shd w:val="clear" w:color="auto" w:fill="1F497D"/>
            <w:tcMar>
              <w:top w:w="60" w:type="dxa"/>
              <w:left w:w="100" w:type="dxa"/>
              <w:bottom w:w="60" w:type="dxa"/>
              <w:right w:w="100" w:type="dxa"/>
            </w:tcMar>
          </w:tcPr>
          <w:p>
            <w:pPr>
              <w:spacing w:before="20" w:after="20"/>
            </w:pPr>
            <w:r>
              <w:rPr>
                <w:b/>
                <w:color w:val="FFFFFF"/>
              </w:rPr>
              <w:t xml:space="preserve">Feature</w:t>
            </w:r>
          </w:p>
        </w:tc>
        <w:tc>
          <w:tcPr>
            <w:tcW w:w="6756" w:type="dxa"/>
            <w:shd w:val="clear" w:color="auto" w:fill="1F497D"/>
            <w:tcMar>
              <w:top w:w="60" w:type="dxa"/>
              <w:left w:w="100" w:type="dxa"/>
              <w:bottom w:w="60" w:type="dxa"/>
              <w:right w:w="100" w:type="dxa"/>
            </w:tcMar>
          </w:tcPr>
          <w:p>
            <w:pPr>
              <w:spacing w:before="20" w:after="20"/>
            </w:pPr>
            <w:r>
              <w:rPr>
                <w:b/>
                <w:color w:val="FFFFFF"/>
              </w:rPr>
              <w:t xml:space="preserve">What it does</w:t>
            </w:r>
          </w:p>
        </w:tc>
      </w:tr>
      <w:tr>
        <w:tc>
          <w:tcPr>
            <w:tcW w:w="2820" w:type="dxa"/>
            <w:tcMar>
              <w:top w:w="60" w:type="dxa"/>
              <w:left w:w="100" w:type="dxa"/>
              <w:bottom w:w="60" w:type="dxa"/>
              <w:right w:w="100" w:type="dxa"/>
            </w:tcMar>
          </w:tcPr>
          <w:p>
            <w:pPr>
              <w:spacing w:before="20" w:after="20"/>
            </w:pPr>
            <w:r>
              <w:t xml:space="preserve">FTP upload and download</w:t>
            </w:r>
          </w:p>
        </w:tc>
        <w:tc>
          <w:tcPr>
            <w:tcW w:w="6756" w:type="dxa"/>
            <w:tcMar>
              <w:top w:w="60" w:type="dxa"/>
              <w:left w:w="100" w:type="dxa"/>
              <w:bottom w:w="60" w:type="dxa"/>
              <w:right w:w="100" w:type="dxa"/>
            </w:tcMar>
          </w:tcPr>
          <w:p>
            <w:pPr>
              <w:spacing w:before="20" w:after="20"/>
            </w:pPr>
            <w:r>
              <w:t xml:space="preserve">Anonymous and secure modes with a JES anonymous path; the listener fingerprints as IBM OS/390 ftpd V2R5 and supports FEAT extensions.</w:t>
            </w:r>
          </w:p>
        </w:tc>
      </w:tr>
      <w:tr>
        <w:tc>
          <w:tcPr>
            <w:tcW w:w="2820" w:type="dxa"/>
            <w:tcMar>
              <w:top w:w="60" w:type="dxa"/>
              <w:left w:w="100" w:type="dxa"/>
              <w:bottom w:w="60" w:type="dxa"/>
              <w:right w:w="100" w:type="dxa"/>
            </w:tcMar>
          </w:tcPr>
          <w:p>
            <w:pPr>
              <w:spacing w:before="20" w:after="20"/>
            </w:pPr>
            <w:r>
              <w:t xml:space="preserve">NJE networking</w:t>
            </w:r>
          </w:p>
        </w:tc>
        <w:tc>
          <w:tcPr>
            <w:tcW w:w="6756" w:type="dxa"/>
            <w:tcMar>
              <w:top w:w="60" w:type="dxa"/>
              <w:left w:w="100" w:type="dxa"/>
              <w:bottom w:w="60" w:type="dxa"/>
              <w:right w:w="100" w:type="dxa"/>
            </w:tcMar>
          </w:tcPr>
          <w:p>
            <w:pPr>
              <w:spacing w:before="20" w:after="20"/>
            </w:pPr>
            <w:r>
              <w:t xml:space="preserve">Multi-node Network Job Entry across the GIBSON, HAL, and ORAC nodes over port 175 and TLS 2252.</w:t>
            </w:r>
          </w:p>
        </w:tc>
      </w:tr>
      <w:tr>
        <w:tc>
          <w:tcPr>
            <w:tcW w:w="2820" w:type="dxa"/>
            <w:tcMar>
              <w:top w:w="60" w:type="dxa"/>
              <w:left w:w="100" w:type="dxa"/>
              <w:bottom w:w="60" w:type="dxa"/>
              <w:right w:w="100" w:type="dxa"/>
            </w:tcMar>
          </w:tcPr>
          <w:p>
            <w:pPr>
              <w:spacing w:before="20" w:after="20"/>
            </w:pPr>
            <w:r>
              <w:t xml:space="preserve">REST API and web</w:t>
            </w:r>
          </w:p>
        </w:tc>
        <w:tc>
          <w:tcPr>
            <w:tcW w:w="6756" w:type="dxa"/>
            <w:tcMar>
              <w:top w:w="60" w:type="dxa"/>
              <w:left w:w="100" w:type="dxa"/>
              <w:bottom w:w="60" w:type="dxa"/>
              <w:right w:w="100" w:type="dxa"/>
            </w:tcMar>
          </w:tcPr>
          <w:p>
            <w:pPr>
              <w:spacing w:before="20" w:after="20"/>
            </w:pPr>
            <w:r>
              <w:t xml:space="preserve">A CBSA REST interface, a browser web terminal, the welcome services, and a zOS Connect style gateway.</w:t>
            </w:r>
          </w:p>
        </w:tc>
      </w:tr>
      <w:tr>
        <w:tc>
          <w:tcPr>
            <w:tcW w:w="2820" w:type="dxa"/>
            <w:tcMar>
              <w:top w:w="60" w:type="dxa"/>
              <w:left w:w="100" w:type="dxa"/>
              <w:bottom w:w="60" w:type="dxa"/>
              <w:right w:w="100" w:type="dxa"/>
            </w:tcMar>
          </w:tcPr>
          <w:p>
            <w:pPr>
              <w:spacing w:before="20" w:after="20"/>
            </w:pPr>
            <w:r>
              <w:t xml:space="preserve">API security</w:t>
            </w:r>
          </w:p>
        </w:tc>
        <w:tc>
          <w:tcPr>
            <w:tcW w:w="6756" w:type="dxa"/>
            <w:tcMar>
              <w:top w:w="60" w:type="dxa"/>
              <w:left w:w="100" w:type="dxa"/>
              <w:bottom w:w="60" w:type="dxa"/>
              <w:right w:w="100" w:type="dxa"/>
            </w:tcMar>
          </w:tcPr>
          <w:p>
            <w:pPr>
              <w:spacing w:before="20" w:after="20"/>
            </w:pPr>
            <w:r>
              <w:t xml:space="preserve">Authentication on the API surface and an API-first threat actor (ScrAPI Bear) for the CTI platform, with behaviour that differs between the secure and vulnerable profiles.</w:t>
            </w:r>
          </w:p>
        </w:tc>
      </w:tr>
      <w:tr>
        <w:tc>
          <w:tcPr>
            <w:tcW w:w="2820" w:type="dxa"/>
            <w:tcMar>
              <w:top w:w="60" w:type="dxa"/>
              <w:left w:w="100" w:type="dxa"/>
              <w:bottom w:w="60" w:type="dxa"/>
              <w:right w:w="100" w:type="dxa"/>
            </w:tcMar>
          </w:tcPr>
          <w:p>
            <w:pPr>
              <w:spacing w:before="20" w:after="20"/>
            </w:pPr>
            <w:r>
              <w:t xml:space="preserve">Web dashboard</w:t>
            </w:r>
          </w:p>
        </w:tc>
        <w:tc>
          <w:tcPr>
            <w:tcW w:w="6756" w:type="dxa"/>
            <w:tcMar>
              <w:top w:w="60" w:type="dxa"/>
              <w:left w:w="100" w:type="dxa"/>
              <w:bottom w:w="60" w:type="dxa"/>
              <w:right w:w="100" w:type="dxa"/>
            </w:tcMar>
          </w:tcPr>
          <w:p>
            <w:pPr>
              <w:spacing w:before="20" w:after="20"/>
            </w:pPr>
            <w:r>
              <w:t xml:space="preserve">A live operations view: service health, a geolocation map, and the SENTRY CTI pages.</w:t>
            </w:r>
          </w:p>
        </w:tc>
      </w:tr>
      <w:tr>
        <w:tc>
          <w:tcPr>
            <w:tcW w:w="2820" w:type="dxa"/>
            <w:tcMar>
              <w:top w:w="60" w:type="dxa"/>
              <w:left w:w="100" w:type="dxa"/>
              <w:bottom w:w="60" w:type="dxa"/>
              <w:right w:w="100" w:type="dxa"/>
            </w:tcMar>
          </w:tcPr>
          <w:p>
            <w:pPr>
              <w:spacing w:before="20" w:after="20"/>
            </w:pPr>
            <w:r>
              <w:t xml:space="preserve">Network fingerprints and nmap</w:t>
            </w:r>
          </w:p>
        </w:tc>
        <w:tc>
          <w:tcPr>
            <w:tcW w:w="6756" w:type="dxa"/>
            <w:tcMar>
              <w:top w:w="60" w:type="dxa"/>
              <w:left w:w="100" w:type="dxa"/>
              <w:bottom w:w="60" w:type="dxa"/>
              <w:right w:w="100" w:type="dxa"/>
            </w:tcMar>
          </w:tcPr>
          <w:p>
            <w:pPr>
              <w:spacing w:before="20" w:after="20"/>
            </w:pPr>
            <w:r>
              <w:t xml:space="preserve">Listening services reproduce genuine z/OS responses: banners, version detection, FTP FEAT, and enumeration scripts (tn3270-screen, vtam-enum, tso-enum and brute, cics-enum, nje-node-brute).</w:t>
            </w:r>
          </w:p>
        </w:tc>
      </w:tr>
    </w:tbl>
    <w:p>
      <w:pPr>
        <w:spacing w:after="0"/>
      </w:pPr>
    </w:p>
    <w:p>
      <w:pPr>
        <w:pStyle w:val="Heading2"/>
      </w:pPr>
      <w:r>
        <w:t xml:space="preserve">Threat intelligence: the SENTRY CTI platform</w:t>
      </w:r>
    </w:p>
    <w:tbl>
      <w:tblPr>
        <w:tblStyle w:val="TableGrid"/>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0"/>
        <w:gridCol w:w="6756"/>
      </w:tblGrid>
      <w:tr>
        <w:tc>
          <w:tcPr>
            <w:tcW w:w="2820" w:type="dxa"/>
            <w:shd w:val="clear" w:color="auto" w:fill="1F497D"/>
            <w:tcMar>
              <w:top w:w="60" w:type="dxa"/>
              <w:left w:w="100" w:type="dxa"/>
              <w:bottom w:w="60" w:type="dxa"/>
              <w:right w:w="100" w:type="dxa"/>
            </w:tcMar>
          </w:tcPr>
          <w:p>
            <w:pPr>
              <w:spacing w:before="20" w:after="20"/>
            </w:pPr>
            <w:r>
              <w:rPr>
                <w:b/>
                <w:color w:val="FFFFFF"/>
              </w:rPr>
              <w:t xml:space="preserve">Feature</w:t>
            </w:r>
          </w:p>
        </w:tc>
        <w:tc>
          <w:tcPr>
            <w:tcW w:w="6756" w:type="dxa"/>
            <w:shd w:val="clear" w:color="auto" w:fill="1F497D"/>
            <w:tcMar>
              <w:top w:w="60" w:type="dxa"/>
              <w:left w:w="100" w:type="dxa"/>
              <w:bottom w:w="60" w:type="dxa"/>
              <w:right w:w="100" w:type="dxa"/>
            </w:tcMar>
          </w:tcPr>
          <w:p>
            <w:pPr>
              <w:spacing w:before="20" w:after="20"/>
            </w:pPr>
            <w:r>
              <w:rPr>
                <w:b/>
                <w:color w:val="FFFFFF"/>
              </w:rPr>
              <w:t xml:space="preserve">What it does</w:t>
            </w:r>
          </w:p>
        </w:tc>
      </w:tr>
      <w:tr>
        <w:tc>
          <w:tcPr>
            <w:tcW w:w="2820" w:type="dxa"/>
            <w:tcMar>
              <w:top w:w="60" w:type="dxa"/>
              <w:left w:w="100" w:type="dxa"/>
              <w:bottom w:w="60" w:type="dxa"/>
              <w:right w:w="100" w:type="dxa"/>
            </w:tcMar>
          </w:tcPr>
          <w:p>
            <w:pPr>
              <w:spacing w:before="20" w:after="20"/>
            </w:pPr>
            <w:r>
              <w:t xml:space="preserve">CTI RSS feeds</w:t>
            </w:r>
          </w:p>
        </w:tc>
        <w:tc>
          <w:tcPr>
            <w:tcW w:w="6756" w:type="dxa"/>
            <w:tcMar>
              <w:top w:w="60" w:type="dxa"/>
              <w:left w:w="100" w:type="dxa"/>
              <w:bottom w:w="60" w:type="dxa"/>
              <w:right w:w="100" w:type="dxa"/>
            </w:tcMar>
          </w:tcPr>
          <w:p>
            <w:pPr>
              <w:spacing w:before="20" w:after="20"/>
            </w:pPr>
            <w:r>
              <w:t xml:space="preserve">Ingests threat-intelligence RSS feeds into an indicator store with a matcher for correlation against activity.</w:t>
            </w:r>
          </w:p>
        </w:tc>
      </w:tr>
      <w:tr>
        <w:tc>
          <w:tcPr>
            <w:tcW w:w="2820" w:type="dxa"/>
            <w:tcMar>
              <w:top w:w="60" w:type="dxa"/>
              <w:left w:w="100" w:type="dxa"/>
              <w:bottom w:w="60" w:type="dxa"/>
              <w:right w:w="100" w:type="dxa"/>
            </w:tcMar>
          </w:tcPr>
          <w:p>
            <w:pPr>
              <w:spacing w:before="20" w:after="20"/>
            </w:pPr>
            <w:r>
              <w:t xml:space="preserve">Geolocation</w:t>
            </w:r>
          </w:p>
        </w:tc>
        <w:tc>
          <w:tcPr>
            <w:tcW w:w="6756" w:type="dxa"/>
            <w:tcMar>
              <w:top w:w="60" w:type="dxa"/>
              <w:left w:w="100" w:type="dxa"/>
              <w:bottom w:w="60" w:type="dxa"/>
              <w:right w:w="100" w:type="dxa"/>
            </w:tcMar>
          </w:tcPr>
          <w:p>
            <w:pPr>
              <w:spacing w:before="20" w:after="20"/>
            </w:pPr>
            <w:r>
              <w:t xml:space="preserve">Classifies connection sources and places them on the dashboard map, using offline classroom fixtures for stable, testable demonstrations.</w:t>
            </w:r>
          </w:p>
        </w:tc>
      </w:tr>
      <w:tr>
        <w:tc>
          <w:tcPr>
            <w:tcW w:w="2820" w:type="dxa"/>
            <w:tcMar>
              <w:top w:w="60" w:type="dxa"/>
              <w:left w:w="100" w:type="dxa"/>
              <w:bottom w:w="60" w:type="dxa"/>
              <w:right w:w="100" w:type="dxa"/>
            </w:tcMar>
          </w:tcPr>
          <w:p>
            <w:pPr>
              <w:spacing w:before="20" w:after="20"/>
            </w:pPr>
            <w:r>
              <w:t xml:space="preserve">Heavy Metal Spider (HMS)</w:t>
            </w:r>
          </w:p>
        </w:tc>
        <w:tc>
          <w:tcPr>
            <w:tcW w:w="6756" w:type="dxa"/>
            <w:tcMar>
              <w:top w:w="60" w:type="dxa"/>
              <w:left w:w="100" w:type="dxa"/>
              <w:bottom w:w="60" w:type="dxa"/>
              <w:right w:w="100" w:type="dxa"/>
            </w:tcMar>
          </w:tcPr>
          <w:p>
            <w:pPr>
              <w:spacing w:before="20" w:after="20"/>
            </w:pPr>
            <w:r>
              <w:t xml:space="preserve">An intrusion-detection and intruder-simulation engine that drives network, 3270, and FTP activity into the audit stream.</w:t>
            </w:r>
          </w:p>
        </w:tc>
      </w:tr>
      <w:tr>
        <w:tc>
          <w:tcPr>
            <w:tcW w:w="2820" w:type="dxa"/>
            <w:tcMar>
              <w:top w:w="60" w:type="dxa"/>
              <w:left w:w="100" w:type="dxa"/>
              <w:bottom w:w="60" w:type="dxa"/>
              <w:right w:w="100" w:type="dxa"/>
            </w:tcMar>
          </w:tcPr>
          <w:p>
            <w:pPr>
              <w:spacing w:before="20" w:after="20"/>
            </w:pPr>
            <w:r>
              <w:t xml:space="preserve">PLONK forensics console</w:t>
            </w:r>
          </w:p>
        </w:tc>
        <w:tc>
          <w:tcPr>
            <w:tcW w:w="6756" w:type="dxa"/>
            <w:tcMar>
              <w:top w:w="60" w:type="dxa"/>
              <w:left w:w="100" w:type="dxa"/>
              <w:bottom w:w="60" w:type="dxa"/>
              <w:right w:w="100" w:type="dxa"/>
            </w:tcMar>
          </w:tcPr>
          <w:p>
            <w:pPr>
              <w:spacing w:before="20" w:after="20"/>
            </w:pPr>
            <w:r>
              <w:t xml:space="preserve">A search console that correlates three evidence sources (SMF, audit, and network) in a workflow modelled on a modern forensics tool.</w:t>
            </w:r>
          </w:p>
        </w:tc>
      </w:tr>
      <w:tr>
        <w:tc>
          <w:tcPr>
            <w:tcW w:w="2820" w:type="dxa"/>
            <w:tcMar>
              <w:top w:w="60" w:type="dxa"/>
              <w:left w:w="100" w:type="dxa"/>
              <w:bottom w:w="60" w:type="dxa"/>
              <w:right w:w="100" w:type="dxa"/>
            </w:tcMar>
          </w:tcPr>
          <w:p>
            <w:pPr>
              <w:spacing w:before="20" w:after="20"/>
            </w:pPr>
            <w:r>
              <w:t xml:space="preserve">ScrAPI Bear</w:t>
            </w:r>
          </w:p>
        </w:tc>
        <w:tc>
          <w:tcPr>
            <w:tcW w:w="6756" w:type="dxa"/>
            <w:tcMar>
              <w:top w:w="60" w:type="dxa"/>
              <w:left w:w="100" w:type="dxa"/>
              <w:bottom w:w="60" w:type="dxa"/>
              <w:right w:w="100" w:type="dxa"/>
            </w:tcMar>
          </w:tcPr>
          <w:p>
            <w:pPr>
              <w:spacing w:before="20" w:after="20"/>
            </w:pPr>
            <w:r>
              <w:t xml:space="preserve">An API-first modelled threat actor for the SENTRY platform, the API-layer counterpart to the network intruder.</w:t>
            </w:r>
          </w:p>
        </w:tc>
      </w:tr>
    </w:tbl>
    <w:p>
      <w:pPr>
        <w:spacing w:after="0"/>
      </w:pPr>
    </w:p>
    <w:p>
      <w:pPr>
        <w:pStyle w:val="Heading2"/>
      </w:pPr>
      <w:r>
        <w:t xml:space="preserve">Languages and interpreters</w:t>
      </w:r>
    </w:p>
    <w:tbl>
      <w:tblPr>
        <w:tblStyle w:val="TableGrid"/>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0"/>
        <w:gridCol w:w="6756"/>
      </w:tblGrid>
      <w:tr>
        <w:tc>
          <w:tcPr>
            <w:tcW w:w="2820" w:type="dxa"/>
            <w:shd w:val="clear" w:color="auto" w:fill="1F497D"/>
            <w:tcMar>
              <w:top w:w="60" w:type="dxa"/>
              <w:left w:w="100" w:type="dxa"/>
              <w:bottom w:w="60" w:type="dxa"/>
              <w:right w:w="100" w:type="dxa"/>
            </w:tcMar>
          </w:tcPr>
          <w:p>
            <w:pPr>
              <w:spacing w:before="20" w:after="20"/>
            </w:pPr>
            <w:r>
              <w:rPr>
                <w:b/>
                <w:color w:val="FFFFFF"/>
              </w:rPr>
              <w:t xml:space="preserve">Feature</w:t>
            </w:r>
          </w:p>
        </w:tc>
        <w:tc>
          <w:tcPr>
            <w:tcW w:w="6756" w:type="dxa"/>
            <w:shd w:val="clear" w:color="auto" w:fill="1F497D"/>
            <w:tcMar>
              <w:top w:w="60" w:type="dxa"/>
              <w:left w:w="100" w:type="dxa"/>
              <w:bottom w:w="60" w:type="dxa"/>
              <w:right w:w="100" w:type="dxa"/>
            </w:tcMar>
          </w:tcPr>
          <w:p>
            <w:pPr>
              <w:spacing w:before="20" w:after="20"/>
            </w:pPr>
            <w:r>
              <w:rPr>
                <w:b/>
                <w:color w:val="FFFFFF"/>
              </w:rPr>
              <w:t xml:space="preserve">What it does</w:t>
            </w:r>
          </w:p>
        </w:tc>
      </w:tr>
      <w:tr>
        <w:tc>
          <w:tcPr>
            <w:tcW w:w="2820" w:type="dxa"/>
            <w:tcMar>
              <w:top w:w="60" w:type="dxa"/>
              <w:left w:w="100" w:type="dxa"/>
              <w:bottom w:w="60" w:type="dxa"/>
              <w:right w:w="100" w:type="dxa"/>
            </w:tcMar>
          </w:tcPr>
          <w:p>
            <w:pPr>
              <w:spacing w:before="20" w:after="20"/>
            </w:pPr>
            <w:r>
              <w:t xml:space="preserve">REXX</w:t>
            </w:r>
          </w:p>
        </w:tc>
        <w:tc>
          <w:tcPr>
            <w:tcW w:w="6756" w:type="dxa"/>
            <w:tcMar>
              <w:top w:w="60" w:type="dxa"/>
              <w:left w:w="100" w:type="dxa"/>
              <w:bottom w:w="60" w:type="dxa"/>
              <w:right w:w="100" w:type="dxa"/>
            </w:tcMar>
          </w:tcPr>
          <w:p>
            <w:pPr>
              <w:spacing w:before="20" w:after="20"/>
            </w:pPr>
            <w:r>
              <w:t xml:space="preserve">The deepest runtime (about two thousand two hundred lines) for interactive and operational automation.</w:t>
            </w:r>
          </w:p>
        </w:tc>
      </w:tr>
      <w:tr>
        <w:tc>
          <w:tcPr>
            <w:tcW w:w="2820" w:type="dxa"/>
            <w:tcMar>
              <w:top w:w="60" w:type="dxa"/>
              <w:left w:w="100" w:type="dxa"/>
              <w:bottom w:w="60" w:type="dxa"/>
              <w:right w:w="100" w:type="dxa"/>
            </w:tcMar>
          </w:tcPr>
          <w:p>
            <w:pPr>
              <w:spacing w:before="20" w:after="20"/>
            </w:pPr>
            <w:r>
              <w:t xml:space="preserve">COBOL</w:t>
            </w:r>
          </w:p>
        </w:tc>
        <w:tc>
          <w:tcPr>
            <w:tcW w:w="6756" w:type="dxa"/>
            <w:tcMar>
              <w:top w:w="60" w:type="dxa"/>
              <w:left w:w="100" w:type="dxa"/>
              <w:bottom w:w="60" w:type="dxa"/>
              <w:right w:w="100" w:type="dxa"/>
            </w:tcMar>
          </w:tcPr>
          <w:p>
            <w:pPr>
              <w:spacing w:before="20" w:after="20"/>
            </w:pPr>
            <w:r>
              <w:t xml:space="preserve">A COBOL execution model (about one thousand five hundred lines) including the buffer-overflow teaching program and the banking programs.</w:t>
            </w:r>
          </w:p>
        </w:tc>
      </w:tr>
      <w:tr>
        <w:tc>
          <w:tcPr>
            <w:tcW w:w="2820" w:type="dxa"/>
            <w:tcMar>
              <w:top w:w="60" w:type="dxa"/>
              <w:left w:w="100" w:type="dxa"/>
              <w:bottom w:w="60" w:type="dxa"/>
              <w:right w:w="100" w:type="dxa"/>
            </w:tcMar>
          </w:tcPr>
          <w:p>
            <w:pPr>
              <w:spacing w:before="20" w:after="20"/>
            </w:pPr>
            <w:r>
              <w:t xml:space="preserve">JCL and JECL</w:t>
            </w:r>
          </w:p>
        </w:tc>
        <w:tc>
          <w:tcPr>
            <w:tcW w:w="6756" w:type="dxa"/>
            <w:tcMar>
              <w:top w:w="60" w:type="dxa"/>
              <w:left w:w="100" w:type="dxa"/>
              <w:bottom w:w="60" w:type="dxa"/>
              <w:right w:w="100" w:type="dxa"/>
            </w:tcMar>
          </w:tcPr>
          <w:p>
            <w:pPr>
              <w:spacing w:before="20" w:after="20"/>
            </w:pPr>
            <w:r>
              <w:t xml:space="preserve">A job-control interpreter (about seven hundred fifty lines) with the converter and JECL handling behind the JES lifecycle.</w:t>
            </w:r>
          </w:p>
        </w:tc>
      </w:tr>
      <w:tr>
        <w:tc>
          <w:tcPr>
            <w:tcW w:w="2820" w:type="dxa"/>
            <w:tcMar>
              <w:top w:w="60" w:type="dxa"/>
              <w:left w:w="100" w:type="dxa"/>
              <w:bottom w:w="60" w:type="dxa"/>
              <w:right w:w="100" w:type="dxa"/>
            </w:tcMar>
          </w:tcPr>
          <w:p>
            <w:pPr>
              <w:spacing w:before="20" w:after="20"/>
            </w:pPr>
            <w:r>
              <w:t xml:space="preserve">HLASM</w:t>
            </w:r>
          </w:p>
        </w:tc>
        <w:tc>
          <w:tcPr>
            <w:tcW w:w="6756" w:type="dxa"/>
            <w:tcMar>
              <w:top w:w="60" w:type="dxa"/>
              <w:left w:w="100" w:type="dxa"/>
              <w:bottom w:w="60" w:type="dxa"/>
              <w:right w:w="100" w:type="dxa"/>
            </w:tcMar>
          </w:tcPr>
          <w:p>
            <w:pPr>
              <w:spacing w:before="20" w:after="20"/>
            </w:pPr>
            <w:r>
              <w:t xml:space="preserve">A High Level Assembler model (about seven hundred lines) underneath the language stack.</w:t>
            </w:r>
          </w:p>
        </w:tc>
      </w:tr>
    </w:tbl>
    <w:p>
      <w:pPr>
        <w:spacing w:after="0"/>
      </w:pPr>
    </w:p>
    <w:p>
      <w:pPr>
        <w:pStyle w:val="Heading2"/>
      </w:pPr>
      <w:r>
        <w:t xml:space="preserve">Modes, realism, and training</w:t>
      </w:r>
    </w:p>
    <w:tbl>
      <w:tblPr>
        <w:tblStyle w:val="TableGrid"/>
        <w:tblW w:w="95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0"/>
        <w:gridCol w:w="6756"/>
      </w:tblGrid>
      <w:tr>
        <w:tc>
          <w:tcPr>
            <w:tcW w:w="2820" w:type="dxa"/>
            <w:shd w:val="clear" w:color="auto" w:fill="1F497D"/>
            <w:tcMar>
              <w:top w:w="60" w:type="dxa"/>
              <w:left w:w="100" w:type="dxa"/>
              <w:bottom w:w="60" w:type="dxa"/>
              <w:right w:w="100" w:type="dxa"/>
            </w:tcMar>
          </w:tcPr>
          <w:p>
            <w:pPr>
              <w:spacing w:before="20" w:after="20"/>
            </w:pPr>
            <w:r>
              <w:rPr>
                <w:b/>
                <w:color w:val="FFFFFF"/>
              </w:rPr>
              <w:t xml:space="preserve">Feature</w:t>
            </w:r>
          </w:p>
        </w:tc>
        <w:tc>
          <w:tcPr>
            <w:tcW w:w="6756" w:type="dxa"/>
            <w:shd w:val="clear" w:color="auto" w:fill="1F497D"/>
            <w:tcMar>
              <w:top w:w="60" w:type="dxa"/>
              <w:left w:w="100" w:type="dxa"/>
              <w:bottom w:w="60" w:type="dxa"/>
              <w:right w:w="100" w:type="dxa"/>
            </w:tcMar>
          </w:tcPr>
          <w:p>
            <w:pPr>
              <w:spacing w:before="20" w:after="20"/>
            </w:pPr>
            <w:r>
              <w:rPr>
                <w:b/>
                <w:color w:val="FFFFFF"/>
              </w:rPr>
              <w:t xml:space="preserve">What it does</w:t>
            </w:r>
          </w:p>
        </w:tc>
      </w:tr>
      <w:tr>
        <w:tc>
          <w:tcPr>
            <w:tcW w:w="2820" w:type="dxa"/>
            <w:tcMar>
              <w:top w:w="60" w:type="dxa"/>
              <w:left w:w="100" w:type="dxa"/>
              <w:bottom w:w="60" w:type="dxa"/>
              <w:right w:w="100" w:type="dxa"/>
            </w:tcMar>
          </w:tcPr>
          <w:p>
            <w:pPr>
              <w:spacing w:before="20" w:after="20"/>
            </w:pPr>
            <w:r>
              <w:t xml:space="preserve">Secure vs vulnerable mode</w:t>
            </w:r>
          </w:p>
        </w:tc>
        <w:tc>
          <w:tcPr>
            <w:tcW w:w="6756" w:type="dxa"/>
            <w:tcMar>
              <w:top w:w="60" w:type="dxa"/>
              <w:left w:w="100" w:type="dxa"/>
              <w:bottom w:w="60" w:type="dxa"/>
              <w:right w:w="100" w:type="dxa"/>
            </w:tcMar>
          </w:tcPr>
          <w:p>
            <w:pPr>
              <w:spacing w:before="20" w:after="20"/>
            </w:pPr>
            <w:r>
              <w:t xml:space="preserve">Toggles deliberate weaknesses on or off; the secure profile maps to CIS controls (PROTECTALL FAIL, AT-TLS for FTP, OPERCMDS and FACILITY RACLISTed, password history).</w:t>
            </w:r>
          </w:p>
        </w:tc>
      </w:tr>
      <w:tr>
        <w:tc>
          <w:tcPr>
            <w:tcW w:w="2820" w:type="dxa"/>
            <w:tcMar>
              <w:top w:w="60" w:type="dxa"/>
              <w:left w:w="100" w:type="dxa"/>
              <w:bottom w:w="60" w:type="dxa"/>
              <w:right w:w="100" w:type="dxa"/>
            </w:tcMar>
          </w:tcPr>
          <w:p>
            <w:pPr>
              <w:spacing w:before="20" w:after="20"/>
            </w:pPr>
            <w:r>
              <w:t xml:space="preserve">Blue-team remediation</w:t>
            </w:r>
          </w:p>
        </w:tc>
        <w:tc>
          <w:tcPr>
            <w:tcW w:w="6756" w:type="dxa"/>
            <w:tcMar>
              <w:top w:w="60" w:type="dxa"/>
              <w:left w:w="100" w:type="dxa"/>
              <w:bottom w:w="60" w:type="dxa"/>
              <w:right w:w="100" w:type="dxa"/>
            </w:tcMar>
          </w:tcPr>
          <w:p>
            <w:pPr>
              <w:spacing w:before="20" w:after="20"/>
            </w:pPr>
            <w:r>
              <w:t xml:space="preserve">Every security lab pairs an attack with its defender-side fix so both sides are practised.</w:t>
            </w:r>
          </w:p>
        </w:tc>
      </w:tr>
      <w:tr>
        <w:tc>
          <w:tcPr>
            <w:tcW w:w="2820" w:type="dxa"/>
            <w:tcMar>
              <w:top w:w="60" w:type="dxa"/>
              <w:left w:w="100" w:type="dxa"/>
              <w:bottom w:w="60" w:type="dxa"/>
              <w:right w:w="100" w:type="dxa"/>
            </w:tcMar>
          </w:tcPr>
          <w:p>
            <w:pPr>
              <w:spacing w:before="20" w:after="20"/>
            </w:pPr>
            <w:r>
              <w:t xml:space="preserve">CTF mode</w:t>
            </w:r>
          </w:p>
        </w:tc>
        <w:tc>
          <w:tcPr>
            <w:tcW w:w="6756" w:type="dxa"/>
            <w:tcMar>
              <w:top w:w="60" w:type="dxa"/>
              <w:left w:w="100" w:type="dxa"/>
              <w:bottom w:w="60" w:type="dxa"/>
              <w:right w:w="100" w:type="dxa"/>
            </w:tcMar>
          </w:tcPr>
          <w:p>
            <w:pPr>
              <w:spacing w:before="20" w:after="20"/>
            </w:pPr>
            <w:r>
              <w:t xml:space="preserve">A capture-the-flag challenge mode with seeded flags.</w:t>
            </w:r>
          </w:p>
        </w:tc>
      </w:tr>
      <w:tr>
        <w:tc>
          <w:tcPr>
            <w:tcW w:w="2820" w:type="dxa"/>
            <w:tcMar>
              <w:top w:w="60" w:type="dxa"/>
              <w:left w:w="100" w:type="dxa"/>
              <w:bottom w:w="60" w:type="dxa"/>
              <w:right w:w="100" w:type="dxa"/>
            </w:tcMar>
          </w:tcPr>
          <w:p>
            <w:pPr>
              <w:spacing w:before="20" w:after="20"/>
            </w:pPr>
            <w:r>
              <w:t xml:space="preserve">Inter-system coherence</w:t>
            </w:r>
          </w:p>
        </w:tc>
        <w:tc>
          <w:tcPr>
            <w:tcW w:w="6756" w:type="dxa"/>
            <w:tcMar>
              <w:top w:w="60" w:type="dxa"/>
              <w:left w:w="100" w:type="dxa"/>
              <w:bottom w:w="60" w:type="dxa"/>
              <w:right w:w="100" w:type="dxa"/>
            </w:tcMar>
          </w:tcPr>
          <w:p>
            <w:pPr>
              <w:spacing w:before="20" w:after="20"/>
            </w:pPr>
            <w:r>
              <w:t xml:space="preserve">Actions propagate across subsystems: a RACF change reaches zSecure, the console, and SMF; OMVS tools feed the same streams; SMF feeds PLONK and the dashboard.</w:t>
            </w:r>
          </w:p>
        </w:tc>
      </w:tr>
      <w:tr>
        <w:tc>
          <w:tcPr>
            <w:tcW w:w="2820" w:type="dxa"/>
            <w:tcMar>
              <w:top w:w="60" w:type="dxa"/>
              <w:left w:w="100" w:type="dxa"/>
              <w:bottom w:w="60" w:type="dxa"/>
              <w:right w:w="100" w:type="dxa"/>
            </w:tcMar>
          </w:tcPr>
          <w:p>
            <w:pPr>
              <w:spacing w:before="20" w:after="20"/>
            </w:pPr>
            <w:r>
              <w:t xml:space="preserve">Network realism</w:t>
            </w:r>
          </w:p>
        </w:tc>
        <w:tc>
          <w:tcPr>
            <w:tcW w:w="6756" w:type="dxa"/>
            <w:tcMar>
              <w:top w:w="60" w:type="dxa"/>
              <w:left w:w="100" w:type="dxa"/>
              <w:bottom w:w="60" w:type="dxa"/>
              <w:right w:w="100" w:type="dxa"/>
            </w:tcMar>
          </w:tcPr>
          <w:p>
            <w:pPr>
              <w:spacing w:before="20" w:after="20"/>
            </w:pPr>
            <w:r>
              <w:t xml:space="preserve">Service responses, banners, and enumeration signatures match genuine z/OS behaviour so evidence looks real.</w:t>
            </w:r>
          </w:p>
        </w:tc>
      </w:tr>
    </w:tbl>
    <w:p>
      <w:pPr>
        <w:spacing w:after="0"/>
      </w:pPr>
    </w:p>
    <w:p>
      <w:pPr>
        <w:pStyle w:val="Normal"/>
      </w:pPr>
    </w:p>
    <w:p>
      <w:pPr>
        <w:pStyle w:val="ImportantTitle"/>
      </w:pPr>
      <w:r>
        <w:t xml:space="preserve">How to go deeper</w:t>
      </w:r>
    </w:p>
    <w:p>
      <w:pPr>
        <w:pStyle w:val="NoteBoxBody"/>
      </w:pPr>
      <w:r>
        <w:t xml:space="preserve">This overview is a map, not a manual. The companion Gibson Mainframe Simulator Technical Training and Lab Manual turns each of these subsystems into a hands-on, validated lab with objectives, expected output, and an instructor answer key.</w:t>
      </w:r>
    </w:p>
    <w:sectPr w:rsidR="00FC693F" w:rsidRPr="0006063C" w:rsidSect="00034616">
      <w:headerReference w:type="default" r:id="rId9"/>
      <w:footerReference w:type="default" r:id="rId10"/>
      <w:pgSz w:w="12240" w:h="15840"/>
      <w:pgMar w:top="1080" w:right="1224" w:bottom="1080" w:left="1224" w:header="504" w:footer="504" w:gutter="21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right"/>
    </w:pPr>
    <w:r>
      <w:t>NTL Technical Manual Template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2355B"/>
      <w:sz w:val="3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E3A5F"/>
      <w:sz w:val="26"/>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Aptos Display" w:hAnsi="Aptos Display"/>
      <w:b/>
      <w:bCs/>
      <w:i/>
      <w:iCs/>
      <w:color w:val="334155"/>
      <w:sz w:val="23"/>
    </w:rPr>
  </w:style>
  <w:style w:type="paragraph" w:styleId="Heading5">
    <w:name w:val="heading 5"/>
    <w:basedOn w:val="Normal"/>
    <w:next w:val="Normal"/>
    <w:link w:val="Heading5Char"/>
    <w:uiPriority w:val="9"/>
    <w:semiHidden/>
    <w:unhideWhenUsed/>
    <w:qFormat/>
    <w:rsid w:val="00FC693F"/>
    <w:pPr>
      <w:keepNext/>
      <w:keepLines/>
      <w:spacing w:before="140" w:after="60"/>
      <w:outlineLvl w:val="4"/>
    </w:pPr>
    <w:rPr>
      <w:rFonts w:asciiTheme="majorHAnsi" w:eastAsiaTheme="majorEastAsia" w:hAnsiTheme="majorHAnsi" w:cstheme="majorBidi" w:ascii="Aptos Display" w:hAnsi="Aptos Display"/>
      <w:b/>
      <w:color w:val="475569"/>
      <w:sz w:val="21"/>
    </w:rPr>
  </w:style>
  <w:style w:type="paragraph" w:styleId="Heading6">
    <w:name w:val="heading 6"/>
    <w:basedOn w:val="Normal"/>
    <w:next w:val="Normal"/>
    <w:link w:val="Heading6Char"/>
    <w:uiPriority w:val="9"/>
    <w:semiHidden/>
    <w:unhideWhenUsed/>
    <w:qFormat/>
    <w:rsid w:val="00FC693F"/>
    <w:pPr>
      <w:keepNext/>
      <w:keepLines/>
      <w:spacing w:before="120" w:after="40"/>
      <w:outlineLvl w:val="5"/>
    </w:pPr>
    <w:rPr>
      <w:rFonts w:asciiTheme="majorHAnsi" w:eastAsiaTheme="majorEastAsia" w:hAnsiTheme="majorHAnsi" w:cstheme="majorBidi" w:ascii="Aptos Display" w:hAnsi="Aptos Display"/>
      <w:b/>
      <w:i/>
      <w:iCs/>
      <w:color w:val="64748B"/>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rFonts w:ascii="Aptos" w:hAnsi="Aptos"/>
      <w:b w:val="0"/>
      <w:i/>
      <w:iCs/>
      <w:color w:val="0F172A"/>
      <w:sz w:val="19"/>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HalfTitle">
    <w:name w:val="Book Half Title"/>
    <w:basedOn w:val="Normal"/>
    <w:pPr>
      <w:widowControl/>
      <w:spacing w:before="480" w:after="480"/>
      <w:ind w:left="0" w:firstLine="0"/>
      <w:jc w:val="center"/>
    </w:pPr>
    <w:rPr>
      <w:rFonts w:ascii="Aptos" w:hAnsi="Aptos"/>
      <w:b w:val="0"/>
      <w:i w:val="0"/>
      <w:color w:val="0F172A"/>
      <w:sz w:val="48"/>
    </w:rPr>
  </w:style>
  <w:style w:type="paragraph" w:customStyle="1" w:styleId="BookTitle">
    <w:name w:val="Book Title"/>
    <w:basedOn w:val="Normal"/>
    <w:pPr>
      <w:widowControl/>
      <w:spacing w:before="840" w:after="240"/>
      <w:ind w:left="0" w:firstLine="0"/>
      <w:jc w:val="center"/>
    </w:pPr>
    <w:rPr>
      <w:rFonts w:ascii="Aptos" w:hAnsi="Aptos"/>
      <w:b/>
      <w:i w:val="0"/>
      <w:color w:val="0B1F33"/>
      <w:sz w:val="64"/>
    </w:rPr>
  </w:style>
  <w:style w:type="paragraph" w:customStyle="1" w:styleId="BookSubtitle">
    <w:name w:val="Book Subtitle"/>
    <w:basedOn w:val="Normal"/>
    <w:pPr>
      <w:widowControl/>
      <w:spacing w:before="0" w:after="360"/>
      <w:ind w:left="0" w:firstLine="0"/>
      <w:jc w:val="center"/>
    </w:pPr>
    <w:rPr>
      <w:rFonts w:ascii="Aptos" w:hAnsi="Aptos"/>
      <w:b w:val="0"/>
      <w:i w:val="0"/>
      <w:color w:val="475569"/>
      <w:sz w:val="32"/>
    </w:rPr>
  </w:style>
  <w:style w:type="paragraph" w:customStyle="1" w:styleId="BookEdition">
    <w:name w:val="Book Edition"/>
    <w:basedOn w:val="Normal"/>
    <w:pPr>
      <w:widowControl/>
      <w:spacing w:before="0" w:after="120"/>
      <w:ind w:left="0" w:firstLine="0"/>
      <w:jc w:val="center"/>
    </w:pPr>
    <w:rPr>
      <w:rFonts w:ascii="Aptos" w:hAnsi="Aptos"/>
      <w:b w:val="0"/>
      <w:i w:val="0"/>
      <w:color w:val="64748B"/>
      <w:sz w:val="22"/>
    </w:rPr>
  </w:style>
  <w:style w:type="paragraph" w:customStyle="1" w:styleId="BookVersion">
    <w:name w:val="Book Version"/>
    <w:basedOn w:val="Normal"/>
    <w:pPr>
      <w:widowControl/>
      <w:spacing w:before="0" w:after="120"/>
      <w:ind w:left="0" w:firstLine="0"/>
      <w:jc w:val="center"/>
    </w:pPr>
    <w:rPr>
      <w:rFonts w:ascii="Aptos" w:hAnsi="Aptos"/>
      <w:b w:val="0"/>
      <w:i w:val="0"/>
      <w:color w:val="64748B"/>
      <w:sz w:val="20"/>
    </w:rPr>
  </w:style>
  <w:style w:type="paragraph" w:customStyle="1" w:styleId="BookAuthor">
    <w:name w:val="Book Author"/>
    <w:basedOn w:val="Normal"/>
    <w:pPr>
      <w:widowControl/>
      <w:spacing w:before="480" w:after="120"/>
      <w:ind w:left="0" w:firstLine="0"/>
      <w:jc w:val="center"/>
    </w:pPr>
    <w:rPr>
      <w:rFonts w:ascii="Aptos" w:hAnsi="Aptos"/>
      <w:b w:val="0"/>
      <w:i w:val="0"/>
      <w:color w:val="334155"/>
      <w:sz w:val="24"/>
    </w:rPr>
  </w:style>
  <w:style w:type="paragraph" w:customStyle="1" w:styleId="BookPublisher">
    <w:name w:val="Book Publisher"/>
    <w:basedOn w:val="Normal"/>
    <w:pPr>
      <w:widowControl/>
      <w:spacing w:before="120" w:after="120"/>
      <w:ind w:left="0" w:firstLine="0"/>
      <w:jc w:val="center"/>
    </w:pPr>
    <w:rPr>
      <w:rFonts w:ascii="Aptos" w:hAnsi="Aptos"/>
      <w:b w:val="0"/>
      <w:i w:val="0"/>
      <w:color w:val="64748B"/>
      <w:sz w:val="20"/>
    </w:rPr>
  </w:style>
  <w:style w:type="paragraph" w:customStyle="1" w:styleId="CopyrightHeading">
    <w:name w:val="Copyright Heading"/>
    <w:basedOn w:val="Normal"/>
    <w:pPr>
      <w:widowControl/>
      <w:spacing w:before="120" w:after="120"/>
      <w:ind w:left="0" w:firstLine="0"/>
    </w:pPr>
    <w:rPr>
      <w:rFonts w:ascii="Aptos" w:hAnsi="Aptos"/>
      <w:b/>
      <w:i w:val="0"/>
      <w:color w:val="0F172A"/>
      <w:sz w:val="24"/>
    </w:rPr>
  </w:style>
  <w:style w:type="paragraph" w:customStyle="1" w:styleId="CopyrightBody">
    <w:name w:val="Copyright Body"/>
    <w:basedOn w:val="Normal"/>
    <w:pPr>
      <w:widowControl/>
      <w:spacing w:before="0" w:after="80"/>
      <w:ind w:left="0" w:firstLine="0"/>
    </w:pPr>
    <w:rPr>
      <w:rFonts w:ascii="Aptos" w:hAnsi="Aptos"/>
      <w:b w:val="0"/>
      <w:i w:val="0"/>
      <w:color w:val="475569"/>
      <w:sz w:val="17"/>
    </w:rPr>
  </w:style>
  <w:style w:type="paragraph" w:customStyle="1" w:styleId="Dedication">
    <w:name w:val="Dedication"/>
    <w:basedOn w:val="Normal"/>
    <w:pPr>
      <w:widowControl/>
      <w:spacing w:before="960" w:after="240"/>
      <w:ind w:left="0" w:firstLine="0"/>
      <w:jc w:val="center"/>
    </w:pPr>
    <w:rPr>
      <w:rFonts w:ascii="Aptos" w:hAnsi="Aptos"/>
      <w:b w:val="0"/>
      <w:i/>
      <w:color w:val="475569"/>
      <w:sz w:val="22"/>
    </w:rPr>
  </w:style>
  <w:style w:type="paragraph" w:customStyle="1" w:styleId="AcknowledgmentsTitle">
    <w:name w:val="Acknowledgments Title"/>
    <w:basedOn w:val="Normal"/>
    <w:pPr>
      <w:widowControl/>
      <w:spacing w:before="360" w:after="160"/>
      <w:ind w:left="0" w:firstLine="0"/>
    </w:pPr>
    <w:rPr>
      <w:rFonts w:ascii="Aptos" w:hAnsi="Aptos"/>
      <w:b/>
      <w:i w:val="0"/>
      <w:color w:val="0F172A"/>
      <w:sz w:val="40"/>
    </w:rPr>
  </w:style>
  <w:style w:type="paragraph" w:customStyle="1" w:styleId="AcknowledgmentsBody">
    <w:name w:val="Acknowledgments Body"/>
    <w:basedOn w:val="Normal"/>
    <w:pPr>
      <w:widowControl/>
      <w:spacing w:before="0" w:after="120"/>
      <w:ind w:left="0" w:firstLine="0"/>
    </w:pPr>
    <w:rPr>
      <w:rFonts w:ascii="Aptos" w:hAnsi="Aptos"/>
      <w:b w:val="0"/>
      <w:i w:val="0"/>
      <w:color w:val="1F2937"/>
      <w:sz w:val="21"/>
    </w:rPr>
  </w:style>
  <w:style w:type="paragraph" w:customStyle="1" w:styleId="ForewordTitle">
    <w:name w:val="Foreword Title"/>
    <w:basedOn w:val="Normal"/>
    <w:pPr>
      <w:widowControl/>
      <w:spacing w:before="360" w:after="160"/>
      <w:ind w:left="0" w:firstLine="0"/>
    </w:pPr>
    <w:rPr>
      <w:rFonts w:ascii="Aptos" w:hAnsi="Aptos"/>
      <w:b/>
      <w:i w:val="0"/>
      <w:color w:val="0F172A"/>
      <w:sz w:val="40"/>
    </w:rPr>
  </w:style>
  <w:style w:type="paragraph" w:customStyle="1" w:styleId="ForewordBody">
    <w:name w:val="Foreword Body"/>
    <w:basedOn w:val="Normal"/>
    <w:pPr>
      <w:widowControl/>
      <w:spacing w:before="0" w:after="120"/>
      <w:ind w:left="0" w:firstLine="0"/>
    </w:pPr>
    <w:rPr>
      <w:rFonts w:ascii="Aptos" w:hAnsi="Aptos"/>
      <w:b w:val="0"/>
      <w:i w:val="0"/>
      <w:color w:val="1F2937"/>
      <w:sz w:val="21"/>
    </w:rPr>
  </w:style>
  <w:style w:type="paragraph" w:customStyle="1" w:styleId="PrefaceTitle">
    <w:name w:val="Preface Title"/>
    <w:basedOn w:val="Normal"/>
    <w:pPr>
      <w:widowControl/>
      <w:spacing w:before="360" w:after="160"/>
      <w:ind w:left="0" w:firstLine="0"/>
    </w:pPr>
    <w:rPr>
      <w:rFonts w:ascii="Aptos" w:hAnsi="Aptos"/>
      <w:b/>
      <w:i w:val="0"/>
      <w:color w:val="0F172A"/>
      <w:sz w:val="40"/>
    </w:rPr>
  </w:style>
  <w:style w:type="paragraph" w:customStyle="1" w:styleId="PrefaceBody">
    <w:name w:val="Preface Body"/>
    <w:basedOn w:val="Normal"/>
    <w:pPr>
      <w:widowControl/>
      <w:spacing w:before="0" w:after="120"/>
      <w:ind w:left="0" w:firstLine="0"/>
    </w:pPr>
    <w:rPr>
      <w:rFonts w:ascii="Aptos" w:hAnsi="Aptos"/>
      <w:b w:val="0"/>
      <w:i w:val="0"/>
      <w:color w:val="1F2937"/>
      <w:sz w:val="21"/>
    </w:rPr>
  </w:style>
  <w:style w:type="paragraph" w:customStyle="1" w:styleId="IntroductionTitle">
    <w:name w:val="Introduction Title"/>
    <w:basedOn w:val="Normal"/>
    <w:pPr>
      <w:widowControl/>
      <w:spacing w:before="360" w:after="160"/>
      <w:ind w:left="0" w:firstLine="0"/>
    </w:pPr>
    <w:rPr>
      <w:rFonts w:ascii="Aptos" w:hAnsi="Aptos"/>
      <w:b/>
      <w:i w:val="0"/>
      <w:color w:val="0F172A"/>
      <w:sz w:val="40"/>
    </w:rPr>
  </w:style>
  <w:style w:type="paragraph" w:customStyle="1" w:styleId="IntroductionBody">
    <w:name w:val="Introduction Body"/>
    <w:basedOn w:val="Normal"/>
    <w:pPr>
      <w:widowControl/>
      <w:spacing w:before="0" w:after="120"/>
      <w:ind w:left="0" w:firstLine="0"/>
    </w:pPr>
    <w:rPr>
      <w:rFonts w:ascii="Aptos" w:hAnsi="Aptos"/>
      <w:b w:val="0"/>
      <w:i w:val="0"/>
      <w:color w:val="1F2937"/>
      <w:sz w:val="21"/>
    </w:rPr>
  </w:style>
  <w:style w:type="paragraph" w:customStyle="1" w:styleId="AbouttheAuthorTitle">
    <w:name w:val="About the Author Title"/>
    <w:basedOn w:val="Normal"/>
    <w:pPr>
      <w:widowControl/>
      <w:spacing w:before="360" w:after="160"/>
      <w:ind w:left="0" w:firstLine="0"/>
    </w:pPr>
    <w:rPr>
      <w:rFonts w:ascii="Aptos" w:hAnsi="Aptos"/>
      <w:b/>
      <w:i w:val="0"/>
      <w:color w:val="0F172A"/>
      <w:sz w:val="36"/>
    </w:rPr>
  </w:style>
  <w:style w:type="paragraph" w:customStyle="1" w:styleId="AbouttheAuthorBody">
    <w:name w:val="About the Author Body"/>
    <w:basedOn w:val="Normal"/>
    <w:pPr>
      <w:widowControl/>
      <w:spacing w:before="0" w:after="120"/>
      <w:ind w:left="0" w:firstLine="0"/>
    </w:pPr>
    <w:rPr>
      <w:rFonts w:ascii="Aptos" w:hAnsi="Aptos"/>
      <w:b w:val="0"/>
      <w:i w:val="0"/>
      <w:color w:val="1F2937"/>
      <w:sz w:val="20"/>
    </w:rPr>
  </w:style>
  <w:style w:type="paragraph" w:customStyle="1" w:styleId="AbouttheReviewersTitle">
    <w:name w:val="About the Reviewers Title"/>
    <w:basedOn w:val="Normal"/>
    <w:pPr>
      <w:widowControl/>
      <w:spacing w:before="360" w:after="160"/>
      <w:ind w:left="0" w:firstLine="0"/>
    </w:pPr>
    <w:rPr>
      <w:rFonts w:ascii="Aptos" w:hAnsi="Aptos"/>
      <w:b/>
      <w:i w:val="0"/>
      <w:color w:val="0F172A"/>
      <w:sz w:val="36"/>
    </w:rPr>
  </w:style>
  <w:style w:type="paragraph" w:customStyle="1" w:styleId="AbouttheReviewersBody">
    <w:name w:val="About the Reviewers Body"/>
    <w:basedOn w:val="Normal"/>
    <w:pPr>
      <w:widowControl/>
      <w:spacing w:before="0" w:after="120"/>
      <w:ind w:left="0" w:firstLine="0"/>
    </w:pPr>
    <w:rPr>
      <w:rFonts w:ascii="Aptos" w:hAnsi="Aptos"/>
      <w:b w:val="0"/>
      <w:i w:val="0"/>
      <w:color w:val="1F2937"/>
      <w:sz w:val="20"/>
    </w:rPr>
  </w:style>
  <w:style w:type="paragraph" w:customStyle="1" w:styleId="PartNumber">
    <w:name w:val="Part Number"/>
    <w:basedOn w:val="Normal"/>
    <w:pPr>
      <w:keepNext/>
      <w:widowControl/>
      <w:spacing w:before="480" w:after="40"/>
      <w:ind w:left="0" w:firstLine="0"/>
      <w:jc w:val="center"/>
    </w:pPr>
    <w:rPr>
      <w:rFonts w:ascii="Aptos Display" w:hAnsi="Aptos Display"/>
      <w:b/>
      <w:i w:val="0"/>
      <w:color w:val="2563EB"/>
      <w:sz w:val="28"/>
    </w:rPr>
  </w:style>
  <w:style w:type="paragraph" w:customStyle="1" w:styleId="PartTitle">
    <w:name w:val="Part Title"/>
    <w:basedOn w:val="Normal"/>
    <w:pPr>
      <w:keepNext/>
      <w:widowControl/>
      <w:spacing w:before="0" w:after="360"/>
      <w:ind w:left="0" w:firstLine="0"/>
      <w:jc w:val="center"/>
    </w:pPr>
    <w:rPr>
      <w:rFonts w:ascii="Aptos Display" w:hAnsi="Aptos Display"/>
      <w:b/>
      <w:i w:val="0"/>
      <w:color w:val="0F172A"/>
      <w:sz w:val="56"/>
    </w:rPr>
  </w:style>
  <w:style w:type="paragraph" w:customStyle="1" w:styleId="PartSubtitle">
    <w:name w:val="Part Subtitle"/>
    <w:basedOn w:val="Normal"/>
    <w:pPr>
      <w:keepNext/>
      <w:widowControl/>
      <w:spacing w:before="0" w:after="360"/>
      <w:ind w:left="0" w:firstLine="0"/>
      <w:jc w:val="center"/>
    </w:pPr>
    <w:rPr>
      <w:rFonts w:ascii="Aptos Display" w:hAnsi="Aptos Display"/>
      <w:b w:val="0"/>
      <w:i w:val="0"/>
      <w:color w:val="475569"/>
      <w:sz w:val="28"/>
    </w:rPr>
  </w:style>
  <w:style w:type="paragraph" w:customStyle="1" w:styleId="PartIntro">
    <w:name w:val="Part Intro"/>
    <w:basedOn w:val="Normal"/>
    <w:pPr>
      <w:keepNext/>
      <w:widowControl/>
      <w:spacing w:before="120" w:after="160"/>
      <w:ind w:left="480" w:firstLine="0"/>
    </w:pPr>
    <w:rPr>
      <w:rFonts w:ascii="Aptos Display" w:hAnsi="Aptos Display"/>
      <w:b w:val="0"/>
      <w:i w:val="0"/>
      <w:color w:val="334155"/>
      <w:sz w:val="22"/>
    </w:rPr>
  </w:style>
  <w:style w:type="paragraph" w:customStyle="1" w:styleId="ChapterNumber">
    <w:name w:val="Chapter Number"/>
    <w:basedOn w:val="Normal"/>
    <w:pPr>
      <w:keepNext/>
      <w:widowControl/>
      <w:spacing w:before="480" w:after="80"/>
      <w:ind w:left="0" w:firstLine="0"/>
    </w:pPr>
    <w:rPr>
      <w:rFonts w:ascii="Aptos Display" w:hAnsi="Aptos Display"/>
      <w:b/>
      <w:i w:val="0"/>
      <w:color w:val="2563EB"/>
      <w:sz w:val="22"/>
    </w:rPr>
  </w:style>
  <w:style w:type="paragraph" w:customStyle="1" w:styleId="ChapterTitle">
    <w:name w:val="Chapter Title"/>
    <w:basedOn w:val="Normal"/>
    <w:pPr>
      <w:keepNext/>
      <w:widowControl/>
      <w:spacing w:before="0" w:after="240"/>
      <w:ind w:left="0" w:firstLine="0"/>
    </w:pPr>
    <w:rPr>
      <w:rFonts w:ascii="Aptos Display" w:hAnsi="Aptos Display"/>
      <w:b/>
      <w:i w:val="0"/>
      <w:color w:val="0F172A"/>
      <w:sz w:val="60"/>
    </w:rPr>
  </w:style>
  <w:style w:type="paragraph" w:customStyle="1" w:styleId="ChapterSubtitle">
    <w:name w:val="Chapter Subtitle"/>
    <w:basedOn w:val="Normal"/>
    <w:pPr>
      <w:keepNext/>
      <w:widowControl/>
      <w:spacing w:before="0" w:after="240"/>
      <w:ind w:left="0" w:firstLine="0"/>
    </w:pPr>
    <w:rPr>
      <w:rFonts w:ascii="Aptos Display" w:hAnsi="Aptos Display"/>
      <w:b w:val="0"/>
      <w:i w:val="0"/>
      <w:color w:val="475569"/>
      <w:sz w:val="28"/>
    </w:rPr>
  </w:style>
  <w:style w:type="paragraph" w:customStyle="1" w:styleId="ChapterIntro">
    <w:name w:val="Chapter Intro"/>
    <w:basedOn w:val="Normal"/>
    <w:pPr>
      <w:keepNext/>
      <w:widowControl/>
      <w:spacing w:before="120" w:after="240"/>
      <w:ind w:left="0" w:firstLine="0"/>
    </w:pPr>
    <w:rPr>
      <w:rFonts w:ascii="Aptos Display" w:hAnsi="Aptos Display"/>
      <w:b w:val="0"/>
      <w:i w:val="0"/>
      <w:color w:val="334155"/>
      <w:sz w:val="23"/>
    </w:rPr>
  </w:style>
  <w:style w:type="paragraph" w:customStyle="1" w:styleId="ChapterObjectives">
    <w:name w:val="Chapter Objectives"/>
    <w:basedOn w:val="Normal"/>
    <w:pPr>
      <w:keepNext/>
      <w:widowControl/>
      <w:spacing w:before="80" w:after="160"/>
      <w:ind w:left="200" w:firstLine="0"/>
    </w:pPr>
    <w:rPr>
      <w:rFonts w:ascii="Aptos Display" w:hAnsi="Aptos Display"/>
      <w:b w:val="0"/>
      <w:i w:val="0"/>
      <w:color w:val="0F172A"/>
      <w:sz w:val="20"/>
    </w:rPr>
  </w:style>
  <w:style w:type="paragraph" w:customStyle="1" w:styleId="ChapterSummary">
    <w:name w:val="Chapter Summary"/>
    <w:basedOn w:val="Normal"/>
    <w:pPr>
      <w:keepNext/>
      <w:widowControl/>
      <w:spacing w:before="160" w:after="160"/>
      <w:ind w:left="200" w:firstLine="0"/>
    </w:pPr>
    <w:rPr>
      <w:rFonts w:ascii="Aptos Display" w:hAnsi="Aptos Display"/>
      <w:b w:val="0"/>
      <w:i w:val="0"/>
      <w:color w:val="1F2937"/>
      <w:sz w:val="21"/>
    </w:rPr>
  </w:style>
  <w:style w:type="paragraph" w:customStyle="1" w:styleId="AppendixNumber">
    <w:name w:val="Appendix Number"/>
    <w:basedOn w:val="Normal"/>
    <w:pPr>
      <w:keepNext/>
      <w:widowControl/>
      <w:spacing w:before="480" w:after="80"/>
      <w:ind w:left="0" w:firstLine="0"/>
    </w:pPr>
    <w:rPr>
      <w:rFonts w:ascii="Aptos Display" w:hAnsi="Aptos Display"/>
      <w:b/>
      <w:i w:val="0"/>
      <w:color w:val="2563EB"/>
      <w:sz w:val="22"/>
    </w:rPr>
  </w:style>
  <w:style w:type="paragraph" w:customStyle="1" w:styleId="AppendixTitle">
    <w:name w:val="Appendix Title"/>
    <w:basedOn w:val="Normal"/>
    <w:pPr>
      <w:keepNext/>
      <w:widowControl/>
      <w:spacing w:before="0" w:after="240"/>
      <w:ind w:left="0" w:firstLine="0"/>
    </w:pPr>
    <w:rPr>
      <w:rFonts w:ascii="Aptos Display" w:hAnsi="Aptos Display"/>
      <w:b/>
      <w:i w:val="0"/>
      <w:color w:val="0F172A"/>
      <w:sz w:val="48"/>
    </w:rPr>
  </w:style>
  <w:style w:type="paragraph" w:customStyle="1" w:styleId="AppendixIntro">
    <w:name w:val="Appendix Intro"/>
    <w:basedOn w:val="Normal"/>
    <w:pPr>
      <w:keepNext/>
      <w:widowControl/>
      <w:spacing w:before="120" w:after="240"/>
      <w:ind w:left="0" w:firstLine="0"/>
    </w:pPr>
    <w:rPr>
      <w:rFonts w:ascii="Aptos Display" w:hAnsi="Aptos Display"/>
      <w:b w:val="0"/>
      <w:i w:val="0"/>
      <w:color w:val="334155"/>
      <w:sz w:val="22"/>
    </w:rPr>
  </w:style>
  <w:style w:type="paragraph" w:customStyle="1" w:styleId="BackMatterTitle">
    <w:name w:val="Back Matter Title"/>
    <w:basedOn w:val="Normal"/>
    <w:pPr>
      <w:keepNext/>
      <w:widowControl/>
      <w:spacing w:before="360" w:after="160"/>
      <w:ind w:left="0" w:firstLine="0"/>
    </w:pPr>
    <w:rPr>
      <w:rFonts w:ascii="Aptos Display" w:hAnsi="Aptos Display"/>
      <w:b/>
      <w:i w:val="0"/>
      <w:color w:val="0F172A"/>
      <w:sz w:val="44"/>
    </w:rPr>
  </w:style>
  <w:style w:type="paragraph" w:customStyle="1" w:styleId="ProcedureHeading">
    <w:name w:val="Procedure Heading"/>
    <w:basedOn w:val="Heading3"/>
    <w:pPr>
      <w:keepNext/>
      <w:widowControl/>
      <w:spacing w:before="200" w:after="100"/>
      <w:ind w:left="0" w:firstLine="0"/>
    </w:pPr>
    <w:rPr>
      <w:rFonts w:ascii="Aptos Display" w:hAnsi="Aptos Display"/>
      <w:b/>
      <w:i w:val="0"/>
      <w:color w:val="12355B"/>
      <w:sz w:val="24"/>
    </w:rPr>
  </w:style>
  <w:style w:type="paragraph" w:customStyle="1" w:styleId="ConceptHeading">
    <w:name w:val="Concept Heading"/>
    <w:basedOn w:val="Heading3"/>
    <w:pPr>
      <w:keepNext/>
      <w:widowControl/>
      <w:spacing w:before="200" w:after="100"/>
      <w:ind w:left="0" w:firstLine="0"/>
    </w:pPr>
    <w:rPr>
      <w:rFonts w:ascii="Aptos Display" w:hAnsi="Aptos Display"/>
      <w:b/>
      <w:i w:val="0"/>
      <w:color w:val="12355B"/>
      <w:sz w:val="24"/>
    </w:rPr>
  </w:style>
  <w:style w:type="paragraph" w:customStyle="1" w:styleId="ReferenceHeading">
    <w:name w:val="Reference Heading"/>
    <w:basedOn w:val="Heading3"/>
    <w:pPr>
      <w:keepNext/>
      <w:widowControl/>
      <w:spacing w:before="200" w:after="100"/>
      <w:ind w:left="0" w:firstLine="0"/>
    </w:pPr>
    <w:rPr>
      <w:rFonts w:ascii="Aptos Display" w:hAnsi="Aptos Display"/>
      <w:b/>
      <w:i w:val="0"/>
      <w:color w:val="12355B"/>
      <w:sz w:val="24"/>
    </w:rPr>
  </w:style>
  <w:style w:type="paragraph" w:customStyle="1" w:styleId="LabHeading">
    <w:name w:val="Lab Heading"/>
    <w:basedOn w:val="Heading3"/>
    <w:pPr>
      <w:keepNext/>
      <w:widowControl/>
      <w:spacing w:before="200" w:after="100"/>
      <w:ind w:left="0" w:firstLine="0"/>
    </w:pPr>
    <w:rPr>
      <w:rFonts w:ascii="Aptos Display" w:hAnsi="Aptos Display"/>
      <w:b/>
      <w:i w:val="0"/>
      <w:color w:val="12355B"/>
      <w:sz w:val="24"/>
    </w:rPr>
  </w:style>
  <w:style w:type="paragraph" w:customStyle="1" w:styleId="TroubleshootingHeading">
    <w:name w:val="Troubleshooting Heading"/>
    <w:basedOn w:val="Heading3"/>
    <w:pPr>
      <w:keepNext/>
      <w:widowControl/>
      <w:spacing w:before="200" w:after="100"/>
      <w:ind w:left="0" w:firstLine="0"/>
    </w:pPr>
    <w:rPr>
      <w:rFonts w:ascii="Aptos Display" w:hAnsi="Aptos Display"/>
      <w:b/>
      <w:i w:val="0"/>
      <w:color w:val="12355B"/>
      <w:sz w:val="24"/>
    </w:rPr>
  </w:style>
  <w:style w:type="paragraph" w:customStyle="1" w:styleId="SecurityHeading">
    <w:name w:val="Security Heading"/>
    <w:basedOn w:val="Heading3"/>
    <w:pPr>
      <w:keepNext/>
      <w:widowControl/>
      <w:spacing w:before="200" w:after="100"/>
      <w:ind w:left="0" w:firstLine="0"/>
    </w:pPr>
    <w:rPr>
      <w:rFonts w:ascii="Aptos Display" w:hAnsi="Aptos Display"/>
      <w:b/>
      <w:i w:val="0"/>
      <w:color w:val="12355B"/>
      <w:sz w:val="24"/>
    </w:rPr>
  </w:style>
  <w:style w:type="paragraph" w:customStyle="1" w:styleId="Body">
    <w:name w:val="Body"/>
    <w:basedOn w:val="Normal"/>
    <w:pPr>
      <w:widowControl/>
      <w:spacing w:before="0" w:after="120"/>
      <w:ind w:left="0" w:firstLine="0"/>
    </w:pPr>
    <w:rPr>
      <w:rFonts w:ascii="Aptos" w:hAnsi="Aptos"/>
      <w:b w:val="0"/>
      <w:i w:val="0"/>
      <w:color w:val="1F2937"/>
      <w:sz w:val="21"/>
    </w:rPr>
  </w:style>
  <w:style w:type="paragraph" w:customStyle="1" w:styleId="BodyFirst">
    <w:name w:val="Body First"/>
    <w:basedOn w:val="Normal"/>
    <w:pPr>
      <w:widowControl/>
      <w:spacing w:before="0" w:after="120"/>
      <w:ind w:left="0" w:firstLine="0"/>
    </w:pPr>
    <w:rPr>
      <w:rFonts w:ascii="Aptos" w:hAnsi="Aptos"/>
      <w:b w:val="0"/>
      <w:i w:val="0"/>
      <w:color w:val="1F2937"/>
      <w:sz w:val="21"/>
    </w:rPr>
  </w:style>
  <w:style w:type="paragraph" w:customStyle="1" w:styleId="BodyNoIndent">
    <w:name w:val="Body No Indent"/>
    <w:basedOn w:val="Normal"/>
    <w:pPr>
      <w:widowControl/>
      <w:spacing w:before="0" w:after="120"/>
      <w:ind w:left="0" w:firstLine="0"/>
    </w:pPr>
    <w:rPr>
      <w:rFonts w:ascii="Aptos" w:hAnsi="Aptos"/>
      <w:b w:val="0"/>
      <w:i w:val="0"/>
      <w:color w:val="1F2937"/>
      <w:sz w:val="21"/>
    </w:rPr>
  </w:style>
  <w:style w:type="paragraph" w:customStyle="1" w:styleId="BodyContinued">
    <w:name w:val="Body Continued"/>
    <w:basedOn w:val="Normal"/>
    <w:pPr>
      <w:widowControl/>
      <w:spacing w:before="0" w:after="60"/>
      <w:ind w:left="0" w:firstLine="0"/>
    </w:pPr>
    <w:rPr>
      <w:rFonts w:ascii="Aptos" w:hAnsi="Aptos"/>
      <w:b w:val="0"/>
      <w:i w:val="0"/>
      <w:color w:val="1F2937"/>
      <w:sz w:val="21"/>
    </w:rPr>
  </w:style>
  <w:style w:type="paragraph" w:customStyle="1" w:styleId="BodyCompact">
    <w:name w:val="Body Compact"/>
    <w:basedOn w:val="Normal"/>
    <w:pPr>
      <w:widowControl/>
      <w:spacing w:before="0" w:after="60"/>
      <w:ind w:left="0" w:firstLine="0"/>
    </w:pPr>
    <w:rPr>
      <w:rFonts w:ascii="Aptos" w:hAnsi="Aptos"/>
      <w:b w:val="0"/>
      <w:i w:val="0"/>
      <w:color w:val="1F2937"/>
      <w:sz w:val="19"/>
    </w:rPr>
  </w:style>
  <w:style w:type="paragraph" w:customStyle="1" w:styleId="BodyTechnical">
    <w:name w:val="Body Technical"/>
    <w:basedOn w:val="Normal"/>
    <w:pPr>
      <w:widowControl/>
      <w:spacing w:before="0" w:after="120"/>
      <w:ind w:left="0" w:firstLine="0"/>
    </w:pPr>
    <w:rPr>
      <w:rFonts w:ascii="Aptos" w:hAnsi="Aptos"/>
      <w:b w:val="0"/>
      <w:i w:val="0"/>
      <w:color w:val="111827"/>
      <w:sz w:val="20"/>
    </w:rPr>
  </w:style>
  <w:style w:type="paragraph" w:customStyle="1" w:styleId="BodySmall">
    <w:name w:val="Body Small"/>
    <w:basedOn w:val="Normal"/>
    <w:pPr>
      <w:widowControl/>
      <w:spacing w:before="0" w:after="60"/>
      <w:ind w:left="0" w:firstLine="0"/>
    </w:pPr>
    <w:rPr>
      <w:rFonts w:ascii="Aptos" w:hAnsi="Aptos"/>
      <w:b w:val="0"/>
      <w:i w:val="0"/>
      <w:color w:val="475569"/>
      <w:sz w:val="17"/>
    </w:rPr>
  </w:style>
  <w:style w:type="paragraph" w:customStyle="1" w:styleId="BodyCentered">
    <w:name w:val="Body Centered"/>
    <w:basedOn w:val="Normal"/>
    <w:pPr>
      <w:widowControl/>
      <w:spacing w:before="0" w:after="120"/>
      <w:ind w:left="0" w:firstLine="0"/>
      <w:jc w:val="center"/>
    </w:pPr>
    <w:rPr>
      <w:rFonts w:ascii="Aptos" w:hAnsi="Aptos"/>
      <w:b w:val="0"/>
      <w:i w:val="0"/>
      <w:color w:val="1F2937"/>
      <w:sz w:val="20"/>
    </w:rPr>
  </w:style>
  <w:style w:type="paragraph" w:customStyle="1" w:styleId="BodyAfterHeading">
    <w:name w:val="Body After Heading"/>
    <w:basedOn w:val="Normal"/>
    <w:pPr>
      <w:widowControl/>
      <w:spacing w:before="0" w:after="120"/>
      <w:ind w:left="0" w:firstLine="0"/>
    </w:pPr>
    <w:rPr>
      <w:rFonts w:ascii="Aptos" w:hAnsi="Aptos"/>
      <w:b w:val="0"/>
      <w:i w:val="0"/>
      <w:color w:val="1F2937"/>
      <w:sz w:val="21"/>
    </w:rPr>
  </w:style>
  <w:style w:type="paragraph" w:customStyle="1" w:styleId="BodyBeforeList">
    <w:name w:val="Body Before List"/>
    <w:basedOn w:val="Normal"/>
    <w:pPr>
      <w:widowControl/>
      <w:spacing w:before="0" w:after="40"/>
      <w:ind w:left="0" w:firstLine="0"/>
    </w:pPr>
    <w:rPr>
      <w:rFonts w:ascii="Aptos" w:hAnsi="Aptos"/>
      <w:b w:val="0"/>
      <w:i w:val="0"/>
      <w:color w:val="1F2937"/>
      <w:sz w:val="21"/>
    </w:rPr>
  </w:style>
  <w:style w:type="paragraph" w:customStyle="1" w:styleId="BodyAfterList">
    <w:name w:val="Body After List"/>
    <w:basedOn w:val="Normal"/>
    <w:pPr>
      <w:widowControl/>
      <w:spacing w:before="80" w:after="160"/>
      <w:ind w:left="0" w:firstLine="0"/>
    </w:pPr>
    <w:rPr>
      <w:rFonts w:ascii="Aptos" w:hAnsi="Aptos"/>
      <w:b w:val="0"/>
      <w:i w:val="0"/>
      <w:color w:val="1F2937"/>
      <w:sz w:val="21"/>
    </w:rPr>
  </w:style>
  <w:style w:type="paragraph" w:customStyle="1" w:styleId="BulletList">
    <w:name w:val="Bullet List"/>
    <w:basedOn w:val="Normal"/>
    <w:pPr>
      <w:widowControl/>
      <w:spacing w:before="0" w:after="60"/>
      <w:ind w:left="360" w:hanging="240"/>
    </w:pPr>
    <w:rPr>
      <w:rFonts w:ascii="Aptos" w:hAnsi="Aptos"/>
      <w:b w:val="0"/>
      <w:i w:val="0"/>
      <w:color w:val="1F2937"/>
      <w:sz w:val="21"/>
    </w:rPr>
  </w:style>
  <w:style w:type="paragraph" w:customStyle="1" w:styleId="BulletList2">
    <w:name w:val="Bullet List 2"/>
    <w:basedOn w:val="Normal"/>
    <w:pPr>
      <w:widowControl/>
      <w:spacing w:before="0" w:after="60"/>
      <w:ind w:left="720" w:hanging="240"/>
    </w:pPr>
    <w:rPr>
      <w:rFonts w:ascii="Aptos" w:hAnsi="Aptos"/>
      <w:b w:val="0"/>
      <w:i w:val="0"/>
      <w:color w:val="1F2937"/>
      <w:sz w:val="20"/>
    </w:rPr>
  </w:style>
  <w:style w:type="paragraph" w:customStyle="1" w:styleId="BulletList3">
    <w:name w:val="Bullet List 3"/>
    <w:basedOn w:val="Normal"/>
    <w:pPr>
      <w:widowControl/>
      <w:spacing w:before="0" w:after="60"/>
      <w:ind w:left="1080" w:hanging="240"/>
    </w:pPr>
    <w:rPr>
      <w:rFonts w:ascii="Aptos" w:hAnsi="Aptos"/>
      <w:b w:val="0"/>
      <w:i w:val="0"/>
      <w:color w:val="1F2937"/>
      <w:sz w:val="19"/>
    </w:rPr>
  </w:style>
  <w:style w:type="paragraph" w:customStyle="1" w:styleId="NumberedList">
    <w:name w:val="Numbered List"/>
    <w:basedOn w:val="Normal"/>
    <w:pPr>
      <w:widowControl/>
      <w:spacing w:before="0" w:after="60"/>
      <w:ind w:left="360" w:hanging="240"/>
    </w:pPr>
    <w:rPr>
      <w:rFonts w:ascii="Aptos" w:hAnsi="Aptos"/>
      <w:b w:val="0"/>
      <w:i w:val="0"/>
      <w:color w:val="1F2937"/>
      <w:sz w:val="21"/>
    </w:rPr>
  </w:style>
  <w:style w:type="paragraph" w:customStyle="1" w:styleId="NumberedList2">
    <w:name w:val="Numbered List 2"/>
    <w:basedOn w:val="Normal"/>
    <w:pPr>
      <w:widowControl/>
      <w:spacing w:before="0" w:after="60"/>
      <w:ind w:left="720" w:hanging="240"/>
    </w:pPr>
    <w:rPr>
      <w:rFonts w:ascii="Aptos" w:hAnsi="Aptos"/>
      <w:b w:val="0"/>
      <w:i w:val="0"/>
      <w:color w:val="1F2937"/>
      <w:sz w:val="20"/>
    </w:rPr>
  </w:style>
  <w:style w:type="paragraph" w:customStyle="1" w:styleId="NumberedList3">
    <w:name w:val="Numbered List 3"/>
    <w:basedOn w:val="Normal"/>
    <w:pPr>
      <w:widowControl/>
      <w:spacing w:before="0" w:after="60"/>
      <w:ind w:left="1080" w:hanging="240"/>
    </w:pPr>
    <w:rPr>
      <w:rFonts w:ascii="Aptos" w:hAnsi="Aptos"/>
      <w:b w:val="0"/>
      <w:i w:val="0"/>
      <w:color w:val="1F2937"/>
      <w:sz w:val="19"/>
    </w:rPr>
  </w:style>
  <w:style w:type="paragraph" w:customStyle="1" w:styleId="ProcedureStep">
    <w:name w:val="Procedure Step"/>
    <w:basedOn w:val="Normal"/>
    <w:pPr>
      <w:widowControl/>
      <w:spacing w:before="0" w:after="60"/>
      <w:ind w:left="400" w:hanging="280"/>
    </w:pPr>
    <w:rPr>
      <w:rFonts w:ascii="Aptos" w:hAnsi="Aptos"/>
      <w:b w:val="0"/>
      <w:i w:val="0"/>
      <w:color w:val="1F2937"/>
      <w:sz w:val="21"/>
    </w:rPr>
  </w:style>
  <w:style w:type="paragraph" w:customStyle="1" w:styleId="ProcedureSubstep">
    <w:name w:val="Procedure Substep"/>
    <w:basedOn w:val="Normal"/>
    <w:pPr>
      <w:widowControl/>
      <w:spacing w:before="0" w:after="60"/>
      <w:ind w:left="760" w:hanging="280"/>
    </w:pPr>
    <w:rPr>
      <w:rFonts w:ascii="Aptos" w:hAnsi="Aptos"/>
      <w:b w:val="0"/>
      <w:i w:val="0"/>
      <w:color w:val="1F2937"/>
      <w:sz w:val="20"/>
    </w:rPr>
  </w:style>
  <w:style w:type="paragraph" w:customStyle="1" w:styleId="Checklist">
    <w:name w:val="Checklist"/>
    <w:basedOn w:val="Normal"/>
    <w:pPr>
      <w:widowControl/>
      <w:spacing w:before="0" w:after="60"/>
      <w:ind w:left="360" w:hanging="240"/>
    </w:pPr>
    <w:rPr>
      <w:rFonts w:ascii="Aptos" w:hAnsi="Aptos"/>
      <w:b w:val="0"/>
      <w:i w:val="0"/>
      <w:color w:val="1F2937"/>
      <w:sz w:val="21"/>
    </w:rPr>
  </w:style>
  <w:style w:type="paragraph" w:customStyle="1" w:styleId="ChecklistComplete">
    <w:name w:val="Checklist Complete"/>
    <w:basedOn w:val="Normal"/>
    <w:pPr>
      <w:widowControl/>
      <w:spacing w:before="0" w:after="60"/>
      <w:ind w:left="360" w:hanging="240"/>
    </w:pPr>
    <w:rPr>
      <w:rFonts w:ascii="Aptos" w:hAnsi="Aptos"/>
      <w:b w:val="0"/>
      <w:i w:val="0"/>
      <w:color w:val="1F2937"/>
      <w:sz w:val="21"/>
    </w:rPr>
  </w:style>
  <w:style w:type="paragraph" w:customStyle="1" w:styleId="ChecklistWarning">
    <w:name w:val="Checklist Warning"/>
    <w:basedOn w:val="Normal"/>
    <w:pPr>
      <w:widowControl/>
      <w:spacing w:before="0" w:after="60"/>
      <w:ind w:left="360" w:hanging="240"/>
    </w:pPr>
    <w:rPr>
      <w:rFonts w:ascii="Aptos" w:hAnsi="Aptos"/>
      <w:b w:val="0"/>
      <w:i w:val="0"/>
      <w:color w:val="1F2937"/>
      <w:sz w:val="21"/>
    </w:rPr>
  </w:style>
  <w:style w:type="paragraph" w:customStyle="1" w:styleId="ExerciseList">
    <w:name w:val="Exercise List"/>
    <w:basedOn w:val="Normal"/>
    <w:pPr>
      <w:widowControl/>
      <w:spacing w:before="0" w:after="60"/>
      <w:ind w:left="360" w:hanging="240"/>
    </w:pPr>
    <w:rPr>
      <w:rFonts w:ascii="Aptos" w:hAnsi="Aptos"/>
      <w:b w:val="0"/>
      <w:i w:val="0"/>
      <w:color w:val="1F2937"/>
      <w:sz w:val="21"/>
    </w:rPr>
  </w:style>
  <w:style w:type="paragraph" w:customStyle="1" w:styleId="ReviewQuestionList">
    <w:name w:val="Review Question List"/>
    <w:basedOn w:val="Normal"/>
    <w:pPr>
      <w:widowControl/>
      <w:spacing w:before="0" w:after="60"/>
      <w:ind w:left="360" w:hanging="240"/>
    </w:pPr>
    <w:rPr>
      <w:rFonts w:ascii="Aptos" w:hAnsi="Aptos"/>
      <w:b w:val="0"/>
      <w:i w:val="0"/>
      <w:color w:val="1F2937"/>
      <w:sz w:val="21"/>
    </w:rPr>
  </w:style>
  <w:style w:type="paragraph" w:customStyle="1" w:styleId="CodeBlock">
    <w:name w:val="Code Block"/>
    <w:basedOn w:val="Normal"/>
    <w:pPr>
      <w:widowControl/>
      <w:spacing w:before="60" w:after="100"/>
      <w:ind w:left="160" w:firstLine="0"/>
    </w:pPr>
    <w:rPr>
      <w:rFonts w:ascii="Consolas" w:hAnsi="Consolas"/>
      <w:b w:val="0"/>
      <w:i w:val="0"/>
      <w:color w:val="0F172A"/>
      <w:sz w:val="18"/>
    </w:rPr>
  </w:style>
  <w:style w:type="paragraph" w:customStyle="1" w:styleId="CodeWide">
    <w:name w:val="Code Wide"/>
    <w:basedOn w:val="Normal"/>
    <w:pPr>
      <w:widowControl/>
      <w:spacing w:before="60" w:after="100"/>
      <w:ind w:left="160" w:firstLine="0"/>
    </w:pPr>
    <w:rPr>
      <w:rFonts w:ascii="Consolas" w:hAnsi="Consolas"/>
      <w:b w:val="0"/>
      <w:i w:val="0"/>
      <w:color w:val="0F172A"/>
      <w:sz w:val="16"/>
    </w:rPr>
  </w:style>
  <w:style w:type="paragraph" w:customStyle="1" w:styleId="CommandInput">
    <w:name w:val="Command Input"/>
    <w:basedOn w:val="Normal"/>
    <w:pPr>
      <w:widowControl/>
      <w:spacing w:before="60" w:after="100"/>
      <w:ind w:left="160" w:firstLine="0"/>
    </w:pPr>
    <w:rPr>
      <w:rFonts w:ascii="Consolas" w:hAnsi="Consolas"/>
      <w:b w:val="0"/>
      <w:i w:val="0"/>
      <w:color w:val="065F46"/>
      <w:sz w:val="18"/>
    </w:rPr>
  </w:style>
  <w:style w:type="paragraph" w:customStyle="1" w:styleId="TerminalOutput">
    <w:name w:val="Terminal Output"/>
    <w:basedOn w:val="Normal"/>
    <w:pPr>
      <w:widowControl/>
      <w:spacing w:before="60" w:after="100"/>
      <w:ind w:left="160" w:firstLine="0"/>
    </w:pPr>
    <w:rPr>
      <w:rFonts w:ascii="Consolas" w:hAnsi="Consolas"/>
      <w:b w:val="0"/>
      <w:i w:val="0"/>
      <w:color w:val="334155"/>
      <w:sz w:val="18"/>
    </w:rPr>
  </w:style>
  <w:style w:type="paragraph" w:customStyle="1" w:styleId="ConfigFile">
    <w:name w:val="Config File"/>
    <w:basedOn w:val="Normal"/>
    <w:pPr>
      <w:widowControl/>
      <w:spacing w:before="60" w:after="100"/>
      <w:ind w:left="160" w:firstLine="0"/>
    </w:pPr>
    <w:rPr>
      <w:rFonts w:ascii="Consolas" w:hAnsi="Consolas"/>
      <w:b w:val="0"/>
      <w:i w:val="0"/>
      <w:color w:val="111827"/>
      <w:sz w:val="18"/>
    </w:rPr>
  </w:style>
  <w:style w:type="paragraph" w:customStyle="1" w:styleId="JSONBlock">
    <w:name w:val="JSON Block"/>
    <w:basedOn w:val="Normal"/>
    <w:pPr>
      <w:widowControl/>
      <w:spacing w:before="60" w:after="100"/>
      <w:ind w:left="160" w:firstLine="0"/>
    </w:pPr>
    <w:rPr>
      <w:rFonts w:ascii="Consolas" w:hAnsi="Consolas"/>
      <w:b w:val="0"/>
      <w:i w:val="0"/>
      <w:color w:val="111827"/>
      <w:sz w:val="18"/>
    </w:rPr>
  </w:style>
  <w:style w:type="paragraph" w:customStyle="1" w:styleId="YAMLBlock">
    <w:name w:val="YAML Block"/>
    <w:basedOn w:val="Normal"/>
    <w:pPr>
      <w:widowControl/>
      <w:spacing w:before="60" w:after="100"/>
      <w:ind w:left="160" w:firstLine="0"/>
    </w:pPr>
    <w:rPr>
      <w:rFonts w:ascii="Consolas" w:hAnsi="Consolas"/>
      <w:b w:val="0"/>
      <w:i w:val="0"/>
      <w:color w:val="111827"/>
      <w:sz w:val="18"/>
    </w:rPr>
  </w:style>
  <w:style w:type="paragraph" w:customStyle="1" w:styleId="XMLBlock">
    <w:name w:val="XML Block"/>
    <w:basedOn w:val="Normal"/>
    <w:pPr>
      <w:widowControl/>
      <w:spacing w:before="60" w:after="100"/>
      <w:ind w:left="160" w:firstLine="0"/>
    </w:pPr>
    <w:rPr>
      <w:rFonts w:ascii="Consolas" w:hAnsi="Consolas"/>
      <w:b w:val="0"/>
      <w:i w:val="0"/>
      <w:color w:val="111827"/>
      <w:sz w:val="18"/>
    </w:rPr>
  </w:style>
  <w:style w:type="paragraph" w:customStyle="1" w:styleId="SQLBlock">
    <w:name w:val="SQL Block"/>
    <w:basedOn w:val="Normal"/>
    <w:pPr>
      <w:widowControl/>
      <w:spacing w:before="60" w:after="100"/>
      <w:ind w:left="160" w:firstLine="0"/>
    </w:pPr>
    <w:rPr>
      <w:rFonts w:ascii="Consolas" w:hAnsi="Consolas"/>
      <w:b w:val="0"/>
      <w:i w:val="0"/>
      <w:color w:val="111827"/>
      <w:sz w:val="18"/>
    </w:rPr>
  </w:style>
  <w:style w:type="paragraph" w:customStyle="1" w:styleId="PythonBlock">
    <w:name w:val="Python Block"/>
    <w:basedOn w:val="Normal"/>
    <w:pPr>
      <w:widowControl/>
      <w:spacing w:before="60" w:after="100"/>
      <w:ind w:left="160" w:firstLine="0"/>
    </w:pPr>
    <w:rPr>
      <w:rFonts w:ascii="Consolas" w:hAnsi="Consolas"/>
      <w:b w:val="0"/>
      <w:i w:val="0"/>
      <w:color w:val="111827"/>
      <w:sz w:val="18"/>
    </w:rPr>
  </w:style>
  <w:style w:type="paragraph" w:customStyle="1" w:styleId="ShellBlock">
    <w:name w:val="Shell Block"/>
    <w:basedOn w:val="Normal"/>
    <w:pPr>
      <w:widowControl/>
      <w:spacing w:before="60" w:after="100"/>
      <w:ind w:left="160" w:firstLine="0"/>
    </w:pPr>
    <w:rPr>
      <w:rFonts w:ascii="Consolas" w:hAnsi="Consolas"/>
      <w:b w:val="0"/>
      <w:i w:val="0"/>
      <w:color w:val="111827"/>
      <w:sz w:val="18"/>
    </w:rPr>
  </w:style>
  <w:style w:type="paragraph" w:customStyle="1" w:styleId="PowerShellBlock">
    <w:name w:val="PowerShell Block"/>
    <w:basedOn w:val="Normal"/>
    <w:pPr>
      <w:widowControl/>
      <w:spacing w:before="60" w:after="100"/>
      <w:ind w:left="160" w:firstLine="0"/>
    </w:pPr>
    <w:rPr>
      <w:rFonts w:ascii="Consolas" w:hAnsi="Consolas"/>
      <w:b w:val="0"/>
      <w:i w:val="0"/>
      <w:color w:val="111827"/>
      <w:sz w:val="18"/>
    </w:rPr>
  </w:style>
  <w:style w:type="paragraph" w:customStyle="1" w:styleId="JCLBlock">
    <w:name w:val="JCL Block"/>
    <w:basedOn w:val="Normal"/>
    <w:pPr>
      <w:widowControl/>
      <w:spacing w:before="60" w:after="100"/>
      <w:ind w:left="160" w:firstLine="0"/>
    </w:pPr>
    <w:rPr>
      <w:rFonts w:ascii="Consolas" w:hAnsi="Consolas"/>
      <w:b w:val="0"/>
      <w:i w:val="0"/>
      <w:color w:val="111827"/>
      <w:sz w:val="18"/>
    </w:rPr>
  </w:style>
  <w:style w:type="paragraph" w:customStyle="1" w:styleId="REXXBlock">
    <w:name w:val="REXX Block"/>
    <w:basedOn w:val="Normal"/>
    <w:pPr>
      <w:widowControl/>
      <w:spacing w:before="60" w:after="100"/>
      <w:ind w:left="160" w:firstLine="0"/>
    </w:pPr>
    <w:rPr>
      <w:rFonts w:ascii="Consolas" w:hAnsi="Consolas"/>
      <w:b w:val="0"/>
      <w:i w:val="0"/>
      <w:color w:val="111827"/>
      <w:sz w:val="18"/>
    </w:rPr>
  </w:style>
  <w:style w:type="paragraph" w:customStyle="1" w:styleId="MainframeConsoleBlock">
    <w:name w:val="Mainframe Console Block"/>
    <w:basedOn w:val="Normal"/>
    <w:pPr>
      <w:widowControl/>
      <w:spacing w:before="60" w:after="100"/>
      <w:ind w:left="160" w:firstLine="0"/>
    </w:pPr>
    <w:rPr>
      <w:rFonts w:ascii="Consolas" w:hAnsi="Consolas"/>
      <w:b w:val="0"/>
      <w:i w:val="0"/>
      <w:color w:val="064E3B"/>
      <w:sz w:val="18"/>
    </w:rPr>
  </w:style>
  <w:style w:type="paragraph" w:customStyle="1" w:styleId="TSOCommandBlock">
    <w:name w:val="TSO Command Block"/>
    <w:basedOn w:val="Normal"/>
    <w:pPr>
      <w:widowControl/>
      <w:spacing w:before="60" w:after="100"/>
      <w:ind w:left="160" w:firstLine="0"/>
    </w:pPr>
    <w:rPr>
      <w:rFonts w:ascii="Consolas" w:hAnsi="Consolas"/>
      <w:b w:val="0"/>
      <w:i w:val="0"/>
      <w:color w:val="064E3B"/>
      <w:sz w:val="18"/>
    </w:rPr>
  </w:style>
  <w:style w:type="paragraph" w:customStyle="1" w:styleId="ISPFPanelBlock">
    <w:name w:val="ISPF Panel Block"/>
    <w:basedOn w:val="Normal"/>
    <w:pPr>
      <w:widowControl/>
      <w:spacing w:before="60" w:after="100"/>
      <w:ind w:left="160" w:firstLine="0"/>
    </w:pPr>
    <w:rPr>
      <w:rFonts w:ascii="Consolas" w:hAnsi="Consolas"/>
      <w:b w:val="0"/>
      <w:i w:val="0"/>
      <w:color w:val="0F172A"/>
      <w:sz w:val="18"/>
    </w:rPr>
  </w:style>
  <w:style w:type="paragraph" w:customStyle="1" w:styleId="ErrorOutput">
    <w:name w:val="Error Output"/>
    <w:basedOn w:val="Normal"/>
    <w:pPr>
      <w:widowControl/>
      <w:spacing w:before="60" w:after="100"/>
      <w:ind w:left="160" w:firstLine="0"/>
    </w:pPr>
    <w:rPr>
      <w:rFonts w:ascii="Consolas" w:hAnsi="Consolas"/>
      <w:b w:val="0"/>
      <w:i w:val="0"/>
      <w:color w:val="991B1B"/>
      <w:sz w:val="18"/>
    </w:rPr>
  </w:style>
  <w:style w:type="paragraph" w:customStyle="1" w:styleId="CodeAnnotation">
    <w:name w:val="Code Annotation"/>
    <w:basedOn w:val="Normal"/>
    <w:pPr>
      <w:widowControl/>
      <w:spacing w:before="60" w:after="100"/>
      <w:ind w:left="160" w:firstLine="0"/>
    </w:pPr>
    <w:rPr>
      <w:rFonts w:ascii="Consolas" w:hAnsi="Consolas"/>
      <w:b w:val="0"/>
      <w:i w:val="0"/>
      <w:color w:val="475569"/>
      <w:sz w:val="17"/>
    </w:rPr>
  </w:style>
  <w:style w:type="paragraph" w:customStyle="1" w:styleId="CodeCaption">
    <w:name w:val="Code Caption"/>
    <w:basedOn w:val="Normal"/>
    <w:pPr>
      <w:widowControl/>
      <w:spacing w:before="60" w:after="100"/>
      <w:ind w:left="160" w:firstLine="0"/>
    </w:pPr>
    <w:rPr>
      <w:rFonts w:ascii="Consolas" w:hAnsi="Consolas"/>
      <w:b w:val="0"/>
      <w:i w:val="0"/>
      <w:color w:val="334155"/>
      <w:sz w:val="18"/>
    </w:rPr>
  </w:style>
  <w:style w:type="paragraph" w:customStyle="1" w:styleId="ListingCaption">
    <w:name w:val="Listing Caption"/>
    <w:basedOn w:val="Normal"/>
    <w:pPr>
      <w:widowControl/>
      <w:spacing w:before="60" w:after="100"/>
      <w:ind w:left="160" w:firstLine="0"/>
    </w:pPr>
    <w:rPr>
      <w:rFonts w:ascii="Consolas" w:hAnsi="Consolas"/>
      <w:b w:val="0"/>
      <w:i w:val="0"/>
      <w:color w:val="334155"/>
      <w:sz w:val="18"/>
    </w:rPr>
  </w:style>
  <w:style w:type="paragraph" w:customStyle="1" w:styleId="ListingSource">
    <w:name w:val="Listing Source"/>
    <w:basedOn w:val="Normal"/>
    <w:pPr>
      <w:widowControl/>
      <w:spacing w:before="60" w:after="100"/>
      <w:ind w:left="160" w:firstLine="0"/>
    </w:pPr>
    <w:rPr>
      <w:rFonts w:ascii="Consolas" w:hAnsi="Consolas"/>
      <w:b w:val="0"/>
      <w:i w:val="0"/>
      <w:color w:val="64748B"/>
      <w:sz w:val="17"/>
    </w:rPr>
  </w:style>
  <w:style w:type="paragraph" w:customStyle="1" w:styleId="CodeAdded">
    <w:name w:val="Code Added"/>
    <w:basedOn w:val="Normal"/>
    <w:pPr>
      <w:widowControl/>
      <w:spacing w:before="60" w:after="100"/>
      <w:ind w:left="160" w:firstLine="0"/>
    </w:pPr>
    <w:rPr>
      <w:rFonts w:ascii="Consolas" w:hAnsi="Consolas"/>
      <w:b w:val="0"/>
      <w:i w:val="0"/>
      <w:color w:val="065F46"/>
      <w:sz w:val="18"/>
    </w:rPr>
  </w:style>
  <w:style w:type="paragraph" w:customStyle="1" w:styleId="CodeChanged">
    <w:name w:val="Code Changed"/>
    <w:basedOn w:val="Normal"/>
    <w:pPr>
      <w:widowControl/>
      <w:spacing w:before="60" w:after="100"/>
      <w:ind w:left="160" w:firstLine="0"/>
    </w:pPr>
    <w:rPr>
      <w:rFonts w:ascii="Consolas" w:hAnsi="Consolas"/>
      <w:b w:val="0"/>
      <w:i w:val="0"/>
      <w:color w:val="92400E"/>
      <w:sz w:val="18"/>
    </w:rPr>
  </w:style>
  <w:style w:type="paragraph" w:customStyle="1" w:styleId="CodeRemoved">
    <w:name w:val="Code Removed"/>
    <w:basedOn w:val="Normal"/>
    <w:pPr>
      <w:widowControl/>
      <w:spacing w:before="60" w:after="100"/>
      <w:ind w:left="160" w:firstLine="0"/>
    </w:pPr>
    <w:rPr>
      <w:rFonts w:ascii="Consolas" w:hAnsi="Consolas"/>
      <w:b w:val="0"/>
      <w:i w:val="0"/>
      <w:color w:val="991B1B"/>
      <w:sz w:val="18"/>
    </w:rPr>
  </w:style>
  <w:style w:type="paragraph" w:customStyle="1" w:styleId="CodeHighlight">
    <w:name w:val="Code Highlight"/>
    <w:basedOn w:val="Normal"/>
    <w:pPr>
      <w:widowControl/>
      <w:spacing w:before="60" w:after="100"/>
      <w:ind w:left="160" w:firstLine="0"/>
    </w:pPr>
    <w:rPr>
      <w:rFonts w:ascii="Consolas" w:hAnsi="Consolas"/>
      <w:b w:val="0"/>
      <w:i w:val="0"/>
      <w:color w:val="9A3412"/>
      <w:sz w:val="18"/>
    </w:rPr>
  </w:style>
  <w:style w:type="paragraph" w:customStyle="1" w:styleId="LabTitle">
    <w:name w:val="Lab Title"/>
    <w:basedOn w:val="Normal"/>
    <w:pPr>
      <w:widowControl/>
      <w:spacing w:before="240" w:after="120"/>
      <w:ind w:left="0" w:firstLine="0"/>
    </w:pPr>
    <w:rPr>
      <w:rFonts w:ascii="Aptos" w:hAnsi="Aptos"/>
      <w:b/>
      <w:i w:val="0"/>
      <w:color w:val="0F172A"/>
      <w:sz w:val="36"/>
    </w:rPr>
  </w:style>
  <w:style w:type="paragraph" w:customStyle="1" w:styleId="LabNumber">
    <w:name w:val="Lab Number"/>
    <w:basedOn w:val="Normal"/>
    <w:pPr>
      <w:widowControl/>
      <w:spacing w:before="120" w:after="40"/>
      <w:ind w:left="0" w:firstLine="0"/>
    </w:pPr>
    <w:rPr>
      <w:rFonts w:ascii="Aptos" w:hAnsi="Aptos"/>
      <w:b/>
      <w:i w:val="0"/>
      <w:color w:val="2563EB"/>
      <w:sz w:val="20"/>
    </w:rPr>
  </w:style>
  <w:style w:type="paragraph" w:customStyle="1" w:styleId="LabDifficulty">
    <w:name w:val="Lab Difficulty"/>
    <w:basedOn w:val="Normal"/>
    <w:pPr>
      <w:widowControl/>
      <w:spacing w:before="0" w:after="40"/>
      <w:ind w:left="160" w:firstLine="0"/>
    </w:pPr>
    <w:rPr>
      <w:rFonts w:ascii="Aptos" w:hAnsi="Aptos"/>
      <w:b w:val="0"/>
      <w:i w:val="0"/>
      <w:color w:val="475569"/>
      <w:sz w:val="18"/>
    </w:rPr>
  </w:style>
  <w:style w:type="paragraph" w:customStyle="1" w:styleId="LabEstimatedTime">
    <w:name w:val="Lab Estimated Time"/>
    <w:basedOn w:val="Normal"/>
    <w:pPr>
      <w:widowControl/>
      <w:spacing w:before="0" w:after="40"/>
      <w:ind w:left="160" w:firstLine="0"/>
    </w:pPr>
    <w:rPr>
      <w:rFonts w:ascii="Aptos" w:hAnsi="Aptos"/>
      <w:b w:val="0"/>
      <w:i w:val="0"/>
      <w:color w:val="475569"/>
      <w:sz w:val="18"/>
    </w:rPr>
  </w:style>
  <w:style w:type="paragraph" w:customStyle="1" w:styleId="LabScenario">
    <w:name w:val="Lab Scenario"/>
    <w:basedOn w:val="Normal"/>
    <w:pPr>
      <w:widowControl/>
      <w:spacing w:before="80" w:after="120"/>
      <w:ind w:left="160" w:firstLine="0"/>
    </w:pPr>
    <w:rPr>
      <w:rFonts w:ascii="Aptos" w:hAnsi="Aptos"/>
      <w:b w:val="0"/>
      <w:i w:val="0"/>
      <w:color w:val="1F2937"/>
      <w:sz w:val="21"/>
    </w:rPr>
  </w:style>
  <w:style w:type="paragraph" w:customStyle="1" w:styleId="LabObjectives">
    <w:name w:val="Lab Objectives"/>
    <w:basedOn w:val="Normal"/>
    <w:pPr>
      <w:widowControl/>
      <w:spacing w:before="60" w:after="80"/>
      <w:ind w:left="160" w:firstLine="0"/>
    </w:pPr>
    <w:rPr>
      <w:rFonts w:ascii="Aptos" w:hAnsi="Aptos"/>
      <w:b w:val="0"/>
      <w:i w:val="0"/>
      <w:color w:val="1F2937"/>
      <w:sz w:val="20"/>
    </w:rPr>
  </w:style>
  <w:style w:type="paragraph" w:customStyle="1" w:styleId="LabPrerequisites">
    <w:name w:val="Lab Prerequisites"/>
    <w:basedOn w:val="Normal"/>
    <w:pPr>
      <w:widowControl/>
      <w:spacing w:before="60" w:after="80"/>
      <w:ind w:left="160" w:firstLine="0"/>
    </w:pPr>
    <w:rPr>
      <w:rFonts w:ascii="Aptos" w:hAnsi="Aptos"/>
      <w:b w:val="0"/>
      <w:i w:val="0"/>
      <w:color w:val="1F2937"/>
      <w:sz w:val="20"/>
    </w:rPr>
  </w:style>
  <w:style w:type="paragraph" w:customStyle="1" w:styleId="LabEnvironment">
    <w:name w:val="Lab Environment"/>
    <w:basedOn w:val="Normal"/>
    <w:pPr>
      <w:widowControl/>
      <w:spacing w:before="60" w:after="80"/>
      <w:ind w:left="160" w:firstLine="0"/>
    </w:pPr>
    <w:rPr>
      <w:rFonts w:ascii="Aptos" w:hAnsi="Aptos"/>
      <w:b w:val="0"/>
      <w:i w:val="0"/>
      <w:color w:val="1F2937"/>
      <w:sz w:val="20"/>
    </w:rPr>
  </w:style>
  <w:style w:type="paragraph" w:customStyle="1" w:styleId="LabFilesRequired">
    <w:name w:val="Lab Files Required"/>
    <w:basedOn w:val="Normal"/>
    <w:pPr>
      <w:widowControl/>
      <w:spacing w:before="60" w:after="80"/>
      <w:ind w:left="160" w:firstLine="0"/>
    </w:pPr>
    <w:rPr>
      <w:rFonts w:ascii="Aptos" w:hAnsi="Aptos"/>
      <w:b w:val="0"/>
      <w:i w:val="0"/>
      <w:color w:val="1F2937"/>
      <w:sz w:val="20"/>
    </w:rPr>
  </w:style>
  <w:style w:type="paragraph" w:customStyle="1" w:styleId="LabUserAccounts">
    <w:name w:val="Lab User Accounts"/>
    <w:basedOn w:val="Normal"/>
    <w:pPr>
      <w:widowControl/>
      <w:spacing w:before="60" w:after="80"/>
      <w:ind w:left="160" w:firstLine="0"/>
    </w:pPr>
    <w:rPr>
      <w:rFonts w:ascii="Aptos" w:hAnsi="Aptos"/>
      <w:b w:val="0"/>
      <w:i w:val="0"/>
      <w:color w:val="1F2937"/>
      <w:sz w:val="20"/>
    </w:rPr>
  </w:style>
  <w:style w:type="paragraph" w:customStyle="1" w:styleId="LabNetworkRequirements">
    <w:name w:val="Lab Network Requirements"/>
    <w:basedOn w:val="Normal"/>
    <w:pPr>
      <w:widowControl/>
      <w:spacing w:before="60" w:after="80"/>
      <w:ind w:left="160" w:firstLine="0"/>
    </w:pPr>
    <w:rPr>
      <w:rFonts w:ascii="Aptos" w:hAnsi="Aptos"/>
      <w:b w:val="0"/>
      <w:i w:val="0"/>
      <w:color w:val="1F2937"/>
      <w:sz w:val="20"/>
    </w:rPr>
  </w:style>
  <w:style w:type="paragraph" w:customStyle="1" w:styleId="LabDatasetRequirements">
    <w:name w:val="Lab Dataset Requirements"/>
    <w:basedOn w:val="Normal"/>
    <w:pPr>
      <w:widowControl/>
      <w:spacing w:before="60" w:after="80"/>
      <w:ind w:left="160" w:firstLine="0"/>
    </w:pPr>
    <w:rPr>
      <w:rFonts w:ascii="Aptos" w:hAnsi="Aptos"/>
      <w:b w:val="0"/>
      <w:i w:val="0"/>
      <w:color w:val="1F2937"/>
      <w:sz w:val="20"/>
    </w:rPr>
  </w:style>
  <w:style w:type="paragraph" w:customStyle="1" w:styleId="LabStep">
    <w:name w:val="Lab Step"/>
    <w:basedOn w:val="Normal"/>
    <w:pPr>
      <w:widowControl/>
      <w:spacing w:before="60" w:after="80"/>
      <w:ind w:left="160" w:firstLine="0"/>
    </w:pPr>
    <w:rPr>
      <w:rFonts w:ascii="Aptos" w:hAnsi="Aptos"/>
      <w:b w:val="0"/>
      <w:i w:val="0"/>
      <w:color w:val="111827"/>
      <w:sz w:val="21"/>
    </w:rPr>
  </w:style>
  <w:style w:type="paragraph" w:customStyle="1" w:styleId="LabSubstep">
    <w:name w:val="Lab Substep"/>
    <w:basedOn w:val="Normal"/>
    <w:pPr>
      <w:widowControl/>
      <w:spacing w:before="40" w:after="60"/>
      <w:ind w:left="160" w:firstLine="0"/>
    </w:pPr>
    <w:rPr>
      <w:rFonts w:ascii="Aptos" w:hAnsi="Aptos"/>
      <w:b w:val="0"/>
      <w:i w:val="0"/>
      <w:color w:val="334155"/>
      <w:sz w:val="20"/>
    </w:rPr>
  </w:style>
  <w:style w:type="paragraph" w:customStyle="1" w:styleId="LabCommand">
    <w:name w:val="Lab Command"/>
    <w:basedOn w:val="Normal"/>
    <w:pPr>
      <w:widowControl/>
      <w:spacing w:before="40" w:after="80"/>
      <w:ind w:left="160" w:firstLine="0"/>
    </w:pPr>
    <w:rPr>
      <w:rFonts w:ascii="Consolas" w:hAnsi="Consolas"/>
      <w:b w:val="0"/>
      <w:i w:val="0"/>
      <w:color w:val="065F46"/>
      <w:sz w:val="18"/>
    </w:rPr>
  </w:style>
  <w:style w:type="paragraph" w:customStyle="1" w:styleId="LabExpectedOutput">
    <w:name w:val="Lab Expected Output"/>
    <w:basedOn w:val="Normal"/>
    <w:pPr>
      <w:widowControl/>
      <w:spacing w:before="40" w:after="80"/>
      <w:ind w:left="160" w:firstLine="0"/>
    </w:pPr>
    <w:rPr>
      <w:rFonts w:ascii="Consolas" w:hAnsi="Consolas"/>
      <w:b w:val="0"/>
      <w:i w:val="0"/>
      <w:color w:val="334155"/>
      <w:sz w:val="18"/>
    </w:rPr>
  </w:style>
  <w:style w:type="paragraph" w:customStyle="1" w:styleId="LabValidation">
    <w:name w:val="Lab Validation"/>
    <w:basedOn w:val="Normal"/>
    <w:pPr>
      <w:widowControl/>
      <w:spacing w:before="80" w:after="100"/>
      <w:ind w:left="160" w:firstLine="0"/>
    </w:pPr>
    <w:rPr>
      <w:rFonts w:ascii="Aptos" w:hAnsi="Aptos"/>
      <w:b w:val="0"/>
      <w:i w:val="0"/>
      <w:color w:val="14532D"/>
      <w:sz w:val="20"/>
    </w:rPr>
  </w:style>
  <w:style w:type="paragraph" w:customStyle="1" w:styleId="LabCleanup">
    <w:name w:val="Lab Cleanup"/>
    <w:basedOn w:val="Normal"/>
    <w:pPr>
      <w:widowControl/>
      <w:spacing w:before="80" w:after="100"/>
      <w:ind w:left="160" w:firstLine="0"/>
    </w:pPr>
    <w:rPr>
      <w:rFonts w:ascii="Aptos" w:hAnsi="Aptos"/>
      <w:b w:val="0"/>
      <w:i w:val="0"/>
      <w:color w:val="334155"/>
      <w:sz w:val="20"/>
    </w:rPr>
  </w:style>
  <w:style w:type="paragraph" w:customStyle="1" w:styleId="LabTroubleshooting">
    <w:name w:val="Lab Troubleshooting"/>
    <w:basedOn w:val="Normal"/>
    <w:pPr>
      <w:widowControl/>
      <w:spacing w:before="80" w:after="100"/>
      <w:ind w:left="160" w:firstLine="0"/>
    </w:pPr>
    <w:rPr>
      <w:rFonts w:ascii="Aptos" w:hAnsi="Aptos"/>
      <w:b w:val="0"/>
      <w:i w:val="0"/>
      <w:color w:val="7C2D12"/>
      <w:sz w:val="20"/>
    </w:rPr>
  </w:style>
  <w:style w:type="paragraph" w:customStyle="1" w:styleId="LabChallenge">
    <w:name w:val="Lab Challenge"/>
    <w:basedOn w:val="Normal"/>
    <w:pPr>
      <w:widowControl/>
      <w:spacing w:before="80" w:after="100"/>
      <w:ind w:left="160" w:firstLine="0"/>
    </w:pPr>
    <w:rPr>
      <w:rFonts w:ascii="Aptos" w:hAnsi="Aptos"/>
      <w:b w:val="0"/>
      <w:i w:val="0"/>
      <w:color w:val="5B21B6"/>
      <w:sz w:val="20"/>
    </w:rPr>
  </w:style>
  <w:style w:type="paragraph" w:customStyle="1" w:styleId="LabReflection">
    <w:name w:val="Lab Reflection"/>
    <w:basedOn w:val="Normal"/>
    <w:pPr>
      <w:widowControl/>
      <w:spacing w:before="80" w:after="100"/>
      <w:ind w:left="160" w:firstLine="0"/>
    </w:pPr>
    <w:rPr>
      <w:rFonts w:ascii="Aptos" w:hAnsi="Aptos"/>
      <w:b w:val="0"/>
      <w:i w:val="0"/>
      <w:color w:val="334155"/>
      <w:sz w:val="20"/>
    </w:rPr>
  </w:style>
  <w:style w:type="paragraph" w:customStyle="1" w:styleId="LabReviewQuestions">
    <w:name w:val="Lab Review Questions"/>
    <w:basedOn w:val="Normal"/>
    <w:pPr>
      <w:widowControl/>
      <w:spacing w:before="80" w:after="100"/>
      <w:ind w:left="160" w:firstLine="0"/>
    </w:pPr>
    <w:rPr>
      <w:rFonts w:ascii="Aptos" w:hAnsi="Aptos"/>
      <w:b w:val="0"/>
      <w:i w:val="0"/>
      <w:color w:val="334155"/>
      <w:sz w:val="20"/>
    </w:rPr>
  </w:style>
  <w:style w:type="paragraph" w:customStyle="1" w:styleId="LabAnswerKey">
    <w:name w:val="Lab Answer Key"/>
    <w:basedOn w:val="Normal"/>
    <w:pPr>
      <w:widowControl/>
      <w:spacing w:before="80" w:after="100"/>
      <w:ind w:left="160" w:firstLine="0"/>
    </w:pPr>
    <w:rPr>
      <w:rFonts w:ascii="Aptos" w:hAnsi="Aptos"/>
      <w:b w:val="0"/>
      <w:i w:val="0"/>
      <w:color w:val="334155"/>
      <w:sz w:val="20"/>
    </w:rPr>
  </w:style>
  <w:style w:type="paragraph" w:customStyle="1" w:styleId="InstructorNote">
    <w:name w:val="Instructor Note"/>
    <w:basedOn w:val="Normal"/>
    <w:pPr>
      <w:widowControl/>
      <w:spacing w:before="60" w:after="100"/>
      <w:ind w:left="0" w:firstLine="0"/>
    </w:pPr>
    <w:rPr>
      <w:rFonts w:ascii="Aptos" w:hAnsi="Aptos"/>
      <w:b w:val="0"/>
      <w:i w:val="0"/>
      <w:color w:val="7C3AED"/>
      <w:sz w:val="19"/>
    </w:rPr>
  </w:style>
  <w:style w:type="paragraph" w:customStyle="1" w:styleId="InstructorTip">
    <w:name w:val="Instructor Tip"/>
    <w:basedOn w:val="Normal"/>
    <w:pPr>
      <w:widowControl/>
      <w:spacing w:before="60" w:after="100"/>
      <w:ind w:left="0" w:firstLine="0"/>
    </w:pPr>
    <w:rPr>
      <w:rFonts w:ascii="Aptos" w:hAnsi="Aptos"/>
      <w:b w:val="0"/>
      <w:i w:val="0"/>
      <w:color w:val="7C3AED"/>
      <w:sz w:val="19"/>
    </w:rPr>
  </w:style>
  <w:style w:type="paragraph" w:customStyle="1" w:styleId="StudentNote">
    <w:name w:val="Student Note"/>
    <w:basedOn w:val="Normal"/>
    <w:pPr>
      <w:widowControl/>
      <w:spacing w:before="60" w:after="100"/>
      <w:ind w:left="0" w:firstLine="0"/>
    </w:pPr>
    <w:rPr>
      <w:rFonts w:ascii="Aptos" w:hAnsi="Aptos"/>
      <w:b w:val="0"/>
      <w:i w:val="0"/>
      <w:color w:val="475569"/>
      <w:sz w:val="19"/>
    </w:rPr>
  </w:style>
  <w:style w:type="paragraph" w:customStyle="1" w:styleId="TeachingPoint">
    <w:name w:val="Teaching Point"/>
    <w:basedOn w:val="Normal"/>
    <w:pPr>
      <w:widowControl/>
      <w:spacing w:before="60" w:after="100"/>
      <w:ind w:left="0" w:firstLine="0"/>
    </w:pPr>
    <w:rPr>
      <w:rFonts w:ascii="Aptos" w:hAnsi="Aptos"/>
      <w:b w:val="0"/>
      <w:i w:val="0"/>
      <w:color w:val="2563EB"/>
      <w:sz w:val="19"/>
    </w:rPr>
  </w:style>
  <w:style w:type="paragraph" w:customStyle="1" w:styleId="AssessmentTask">
    <w:name w:val="Assessment Task"/>
    <w:basedOn w:val="Normal"/>
    <w:pPr>
      <w:widowControl/>
      <w:spacing w:before="80" w:after="100"/>
      <w:ind w:left="0" w:firstLine="0"/>
    </w:pPr>
    <w:rPr>
      <w:rFonts w:ascii="Aptos" w:hAnsi="Aptos"/>
      <w:b w:val="0"/>
      <w:i w:val="0"/>
      <w:color w:val="111827"/>
      <w:sz w:val="20"/>
    </w:rPr>
  </w:style>
  <w:style w:type="paragraph" w:customStyle="1" w:styleId="NoteBoxTitle">
    <w:name w:val="Note Box Title"/>
    <w:basedOn w:val="Normal"/>
    <w:pPr>
      <w:widowControl/>
      <w:spacing w:before="80" w:after="80"/>
      <w:ind w:left="200" w:firstLine="0"/>
    </w:pPr>
    <w:rPr>
      <w:rFonts w:ascii="Aptos" w:hAnsi="Aptos"/>
      <w:b/>
      <w:i w:val="0"/>
      <w:color w:val="1E3A8A"/>
      <w:sz w:val="20"/>
    </w:rPr>
  </w:style>
  <w:style w:type="paragraph" w:customStyle="1" w:styleId="NoteBoxBody">
    <w:name w:val="Note Box Body"/>
    <w:basedOn w:val="Normal"/>
    <w:pPr>
      <w:widowControl/>
      <w:spacing w:before="80" w:after="80"/>
      <w:ind w:left="200" w:firstLine="0"/>
    </w:pPr>
    <w:rPr>
      <w:rFonts w:ascii="Aptos" w:hAnsi="Aptos"/>
      <w:b w:val="0"/>
      <w:i w:val="0"/>
      <w:color w:val="1E3A8A"/>
      <w:sz w:val="19"/>
    </w:rPr>
  </w:style>
  <w:style w:type="paragraph" w:customStyle="1" w:styleId="WarningBoxTitle">
    <w:name w:val="Warning Box Title"/>
    <w:basedOn w:val="Normal"/>
    <w:pPr>
      <w:widowControl/>
      <w:spacing w:before="80" w:after="80"/>
      <w:ind w:left="200" w:firstLine="0"/>
    </w:pPr>
    <w:rPr>
      <w:rFonts w:ascii="Aptos" w:hAnsi="Aptos"/>
      <w:b/>
      <w:i w:val="0"/>
      <w:color w:val="92400E"/>
      <w:sz w:val="20"/>
    </w:rPr>
  </w:style>
  <w:style w:type="paragraph" w:customStyle="1" w:styleId="WarningBoxBody">
    <w:name w:val="Warning Box Body"/>
    <w:basedOn w:val="Normal"/>
    <w:pPr>
      <w:widowControl/>
      <w:spacing w:before="80" w:after="80"/>
      <w:ind w:left="200" w:firstLine="0"/>
    </w:pPr>
    <w:rPr>
      <w:rFonts w:ascii="Aptos" w:hAnsi="Aptos"/>
      <w:b w:val="0"/>
      <w:i w:val="0"/>
      <w:color w:val="7C2D12"/>
      <w:sz w:val="19"/>
    </w:rPr>
  </w:style>
  <w:style w:type="paragraph" w:customStyle="1" w:styleId="SecurityInsightTitle">
    <w:name w:val="Security Insight Title"/>
    <w:basedOn w:val="Normal"/>
    <w:pPr>
      <w:widowControl/>
      <w:spacing w:before="80" w:after="80"/>
      <w:ind w:left="200" w:firstLine="0"/>
    </w:pPr>
    <w:rPr>
      <w:rFonts w:ascii="Aptos" w:hAnsi="Aptos"/>
      <w:b/>
      <w:i w:val="0"/>
      <w:color w:val="14532D"/>
      <w:sz w:val="20"/>
    </w:rPr>
  </w:style>
  <w:style w:type="paragraph" w:customStyle="1" w:styleId="SecurityInsightBody">
    <w:name w:val="Security Insight Body"/>
    <w:basedOn w:val="Normal"/>
    <w:pPr>
      <w:widowControl/>
      <w:spacing w:before="80" w:after="80"/>
      <w:ind w:left="200" w:firstLine="0"/>
    </w:pPr>
    <w:rPr>
      <w:rFonts w:ascii="Aptos" w:hAnsi="Aptos"/>
      <w:b w:val="0"/>
      <w:i w:val="0"/>
      <w:color w:val="14532D"/>
      <w:sz w:val="19"/>
    </w:rPr>
  </w:style>
  <w:style w:type="paragraph" w:customStyle="1" w:styleId="TroubleshootingTitle">
    <w:name w:val="Troubleshooting Title"/>
    <w:basedOn w:val="Normal"/>
    <w:pPr>
      <w:widowControl/>
      <w:spacing w:before="80" w:after="80"/>
      <w:ind w:left="200" w:firstLine="0"/>
    </w:pPr>
    <w:rPr>
      <w:rFonts w:ascii="Aptos" w:hAnsi="Aptos"/>
      <w:b/>
      <w:i w:val="0"/>
      <w:color w:val="3730A3"/>
      <w:sz w:val="20"/>
    </w:rPr>
  </w:style>
  <w:style w:type="paragraph" w:customStyle="1" w:styleId="TroubleshootingBody">
    <w:name w:val="Troubleshooting Body"/>
    <w:basedOn w:val="Normal"/>
    <w:pPr>
      <w:widowControl/>
      <w:spacing w:before="80" w:after="80"/>
      <w:ind w:left="200" w:firstLine="0"/>
    </w:pPr>
    <w:rPr>
      <w:rFonts w:ascii="Aptos" w:hAnsi="Aptos"/>
      <w:b w:val="0"/>
      <w:i w:val="0"/>
      <w:color w:val="3730A3"/>
      <w:sz w:val="19"/>
    </w:rPr>
  </w:style>
  <w:style w:type="paragraph" w:customStyle="1" w:styleId="InstructorTipTitle">
    <w:name w:val="Instructor Tip Title"/>
    <w:basedOn w:val="Normal"/>
    <w:pPr>
      <w:widowControl/>
      <w:spacing w:before="80" w:after="80"/>
      <w:ind w:left="200" w:firstLine="0"/>
    </w:pPr>
    <w:rPr>
      <w:rFonts w:ascii="Aptos" w:hAnsi="Aptos"/>
      <w:b/>
      <w:i w:val="0"/>
      <w:color w:val="6B21A8"/>
      <w:sz w:val="20"/>
    </w:rPr>
  </w:style>
  <w:style w:type="paragraph" w:customStyle="1" w:styleId="InstructorTipBody">
    <w:name w:val="Instructor Tip Body"/>
    <w:basedOn w:val="Normal"/>
    <w:pPr>
      <w:widowControl/>
      <w:spacing w:before="80" w:after="80"/>
      <w:ind w:left="200" w:firstLine="0"/>
    </w:pPr>
    <w:rPr>
      <w:rFonts w:ascii="Aptos" w:hAnsi="Aptos"/>
      <w:b w:val="0"/>
      <w:i w:val="0"/>
      <w:color w:val="6B21A8"/>
      <w:sz w:val="19"/>
    </w:rPr>
  </w:style>
  <w:style w:type="paragraph" w:customStyle="1" w:styleId="CommonMistakeTitle">
    <w:name w:val="Common Mistake Title"/>
    <w:basedOn w:val="Normal"/>
    <w:pPr>
      <w:widowControl/>
      <w:spacing w:before="80" w:after="80"/>
      <w:ind w:left="200" w:firstLine="0"/>
    </w:pPr>
    <w:rPr>
      <w:rFonts w:ascii="Aptos" w:hAnsi="Aptos"/>
      <w:b/>
      <w:i w:val="0"/>
      <w:color w:val="9F1239"/>
      <w:sz w:val="20"/>
    </w:rPr>
  </w:style>
  <w:style w:type="paragraph" w:customStyle="1" w:styleId="CommonMistakeBody">
    <w:name w:val="Common Mistake Body"/>
    <w:basedOn w:val="Normal"/>
    <w:pPr>
      <w:widowControl/>
      <w:spacing w:before="80" w:after="80"/>
      <w:ind w:left="200" w:firstLine="0"/>
    </w:pPr>
    <w:rPr>
      <w:rFonts w:ascii="Aptos" w:hAnsi="Aptos"/>
      <w:b w:val="0"/>
      <w:i w:val="0"/>
      <w:color w:val="9F1239"/>
      <w:sz w:val="19"/>
    </w:rPr>
  </w:style>
  <w:style w:type="paragraph" w:customStyle="1" w:styleId="ImportantTitle">
    <w:name w:val="Important Title"/>
    <w:basedOn w:val="Normal"/>
    <w:pPr>
      <w:widowControl/>
      <w:spacing w:before="80" w:after="80"/>
      <w:ind w:left="200" w:firstLine="0"/>
    </w:pPr>
    <w:rPr>
      <w:rFonts w:ascii="Aptos" w:hAnsi="Aptos"/>
      <w:b/>
      <w:i w:val="0"/>
      <w:color w:val="0F172A"/>
      <w:sz w:val="20"/>
    </w:rPr>
  </w:style>
  <w:style w:type="paragraph" w:customStyle="1" w:styleId="ImportantBody">
    <w:name w:val="Important Body"/>
    <w:basedOn w:val="Normal"/>
    <w:pPr>
      <w:widowControl/>
      <w:spacing w:before="80" w:after="80"/>
      <w:ind w:left="200" w:firstLine="0"/>
    </w:pPr>
    <w:rPr>
      <w:rFonts w:ascii="Aptos" w:hAnsi="Aptos"/>
      <w:b w:val="0"/>
      <w:i w:val="0"/>
      <w:color w:val="334155"/>
      <w:sz w:val="19"/>
    </w:rPr>
  </w:style>
  <w:style w:type="paragraph" w:customStyle="1" w:styleId="Legal/SafetyNotice">
    <w:name w:val="Legal / Safety Notice"/>
    <w:basedOn w:val="Normal"/>
    <w:pPr>
      <w:widowControl/>
      <w:spacing w:before="80" w:after="80"/>
      <w:ind w:left="200" w:firstLine="0"/>
    </w:pPr>
    <w:rPr>
      <w:rFonts w:ascii="Aptos" w:hAnsi="Aptos"/>
      <w:b w:val="0"/>
      <w:i w:val="0"/>
      <w:color w:val="334155"/>
      <w:sz w:val="19"/>
    </w:rPr>
  </w:style>
  <w:style w:type="paragraph" w:customStyle="1" w:styleId="CheckpointTitle">
    <w:name w:val="Checkpoint Title"/>
    <w:basedOn w:val="Normal"/>
    <w:pPr>
      <w:widowControl/>
      <w:spacing w:before="80" w:after="80"/>
      <w:ind w:left="200" w:firstLine="0"/>
    </w:pPr>
    <w:rPr>
      <w:rFonts w:ascii="Aptos" w:hAnsi="Aptos"/>
      <w:b/>
      <w:i w:val="0"/>
      <w:color w:val="0F766E"/>
      <w:sz w:val="20"/>
    </w:rPr>
  </w:style>
  <w:style w:type="paragraph" w:customStyle="1" w:styleId="CheckpointBody">
    <w:name w:val="Checkpoint Body"/>
    <w:basedOn w:val="Normal"/>
    <w:pPr>
      <w:widowControl/>
      <w:spacing w:before="80" w:after="80"/>
      <w:ind w:left="200" w:firstLine="0"/>
    </w:pPr>
    <w:rPr>
      <w:rFonts w:ascii="Aptos" w:hAnsi="Aptos"/>
      <w:b w:val="0"/>
      <w:i w:val="0"/>
      <w:color w:val="0F766E"/>
      <w:sz w:val="19"/>
    </w:rPr>
  </w:style>
  <w:style w:type="paragraph" w:customStyle="1" w:styleId="TableTitle">
    <w:name w:val="Table Title"/>
    <w:basedOn w:val="Normal"/>
    <w:pPr>
      <w:widowControl/>
      <w:spacing w:before="20" w:after="40"/>
      <w:ind w:left="0" w:firstLine="0"/>
    </w:pPr>
    <w:rPr>
      <w:rFonts w:ascii="Aptos" w:hAnsi="Aptos"/>
      <w:b/>
      <w:i w:val="0"/>
      <w:color w:val="0F172A"/>
      <w:sz w:val="19"/>
    </w:rPr>
  </w:style>
  <w:style w:type="paragraph" w:customStyle="1" w:styleId="TableCaption">
    <w:name w:val="Table Caption"/>
    <w:basedOn w:val="Normal"/>
    <w:pPr>
      <w:widowControl/>
      <w:spacing w:before="20" w:after="40"/>
      <w:ind w:left="0" w:firstLine="0"/>
    </w:pPr>
    <w:rPr>
      <w:rFonts w:ascii="Aptos" w:hAnsi="Aptos"/>
      <w:b w:val="0"/>
      <w:i w:val="0"/>
      <w:color w:val="0F172A"/>
      <w:sz w:val="19"/>
    </w:rPr>
  </w:style>
  <w:style w:type="paragraph" w:customStyle="1" w:styleId="TableHeader">
    <w:name w:val="Table Header"/>
    <w:basedOn w:val="Normal"/>
    <w:pPr>
      <w:widowControl/>
      <w:spacing w:before="20" w:after="40"/>
      <w:ind w:left="0" w:firstLine="0"/>
    </w:pPr>
    <w:rPr>
      <w:rFonts w:ascii="Aptos" w:hAnsi="Aptos"/>
      <w:b/>
      <w:i w:val="0"/>
      <w:color w:val="0F172A"/>
      <w:sz w:val="19"/>
    </w:rPr>
  </w:style>
  <w:style w:type="paragraph" w:customStyle="1" w:styleId="TableBody">
    <w:name w:val="Table Body"/>
    <w:basedOn w:val="Normal"/>
    <w:pPr>
      <w:widowControl/>
      <w:spacing w:before="20" w:after="40"/>
      <w:ind w:left="0" w:firstLine="0"/>
    </w:pPr>
    <w:rPr>
      <w:rFonts w:ascii="Aptos" w:hAnsi="Aptos"/>
      <w:b w:val="0"/>
      <w:i w:val="0"/>
      <w:color w:val="0F172A"/>
      <w:sz w:val="19"/>
    </w:rPr>
  </w:style>
  <w:style w:type="paragraph" w:customStyle="1" w:styleId="TableBodyCompact">
    <w:name w:val="Table Body Compact"/>
    <w:basedOn w:val="Normal"/>
    <w:pPr>
      <w:widowControl/>
      <w:spacing w:before="20" w:after="40"/>
      <w:ind w:left="0" w:firstLine="0"/>
    </w:pPr>
    <w:rPr>
      <w:rFonts w:ascii="Aptos" w:hAnsi="Aptos"/>
      <w:b w:val="0"/>
      <w:i w:val="0"/>
      <w:color w:val="0F172A"/>
      <w:sz w:val="17"/>
    </w:rPr>
  </w:style>
  <w:style w:type="paragraph" w:customStyle="1" w:styleId="TableBodyCode">
    <w:name w:val="Table Body Code"/>
    <w:basedOn w:val="Normal"/>
    <w:pPr>
      <w:widowControl/>
      <w:spacing w:before="20" w:after="40"/>
      <w:ind w:left="0" w:firstLine="0"/>
    </w:pPr>
    <w:rPr>
      <w:rFonts w:ascii="Consolas" w:hAnsi="Consolas"/>
      <w:b w:val="0"/>
      <w:i w:val="0"/>
      <w:color w:val="0F172A"/>
      <w:sz w:val="19"/>
    </w:rPr>
  </w:style>
  <w:style w:type="paragraph" w:customStyle="1" w:styleId="TableFootnote">
    <w:name w:val="Table Footnote"/>
    <w:basedOn w:val="Normal"/>
    <w:pPr>
      <w:widowControl/>
      <w:spacing w:before="20" w:after="40"/>
      <w:ind w:left="0" w:firstLine="0"/>
    </w:pPr>
    <w:rPr>
      <w:rFonts w:ascii="Aptos" w:hAnsi="Aptos"/>
      <w:b w:val="0"/>
      <w:i w:val="0"/>
      <w:color w:val="0F172A"/>
      <w:sz w:val="17"/>
    </w:rPr>
  </w:style>
  <w:style w:type="paragraph" w:customStyle="1" w:styleId="TableListBullet">
    <w:name w:val="Table List Bullet"/>
    <w:basedOn w:val="Normal"/>
    <w:pPr>
      <w:widowControl/>
      <w:spacing w:before="20" w:after="40"/>
      <w:ind w:left="0" w:firstLine="0"/>
    </w:pPr>
    <w:rPr>
      <w:rFonts w:ascii="Aptos" w:hAnsi="Aptos"/>
      <w:b w:val="0"/>
      <w:i w:val="0"/>
      <w:color w:val="0F172A"/>
      <w:sz w:val="19"/>
    </w:rPr>
  </w:style>
  <w:style w:type="paragraph" w:customStyle="1" w:styleId="TableListNumber">
    <w:name w:val="Table List Number"/>
    <w:basedOn w:val="Normal"/>
    <w:pPr>
      <w:widowControl/>
      <w:spacing w:before="20" w:after="40"/>
      <w:ind w:left="0" w:firstLine="0"/>
    </w:pPr>
    <w:rPr>
      <w:rFonts w:ascii="Aptos" w:hAnsi="Aptos"/>
      <w:b w:val="0"/>
      <w:i w:val="0"/>
      <w:color w:val="0F172A"/>
      <w:sz w:val="19"/>
    </w:rPr>
  </w:style>
  <w:style w:type="paragraph" w:customStyle="1" w:styleId="TableContinuation">
    <w:name w:val="Table Continuation"/>
    <w:basedOn w:val="Normal"/>
    <w:pPr>
      <w:widowControl/>
      <w:spacing w:before="20" w:after="40"/>
      <w:ind w:left="0" w:firstLine="0"/>
    </w:pPr>
    <w:rPr>
      <w:rFonts w:ascii="Aptos" w:hAnsi="Aptos"/>
      <w:b w:val="0"/>
      <w:i w:val="0"/>
      <w:color w:val="0F172A"/>
      <w:sz w:val="19"/>
    </w:rPr>
  </w:style>
  <w:style w:type="paragraph" w:customStyle="1" w:styleId="TableWide">
    <w:name w:val="Table Wide"/>
    <w:basedOn w:val="Normal"/>
    <w:pPr>
      <w:widowControl/>
      <w:spacing w:before="20" w:after="40"/>
      <w:ind w:left="0" w:firstLine="0"/>
    </w:pPr>
    <w:rPr>
      <w:rFonts w:ascii="Aptos" w:hAnsi="Aptos"/>
      <w:b w:val="0"/>
      <w:i w:val="0"/>
      <w:color w:val="0F172A"/>
      <w:sz w:val="19"/>
    </w:rPr>
  </w:style>
  <w:style w:type="paragraph" w:customStyle="1" w:styleId="TableLandscape">
    <w:name w:val="Table Landscape"/>
    <w:basedOn w:val="Normal"/>
    <w:pPr>
      <w:widowControl/>
      <w:spacing w:before="20" w:after="40"/>
      <w:ind w:left="0" w:firstLine="0"/>
    </w:pPr>
    <w:rPr>
      <w:rFonts w:ascii="Aptos" w:hAnsi="Aptos"/>
      <w:b w:val="0"/>
      <w:i w:val="0"/>
      <w:color w:val="0F172A"/>
      <w:sz w:val="19"/>
    </w:rPr>
  </w:style>
  <w:style w:type="paragraph" w:customStyle="1" w:styleId="ComparisonTable">
    <w:name w:val="Comparison Table"/>
    <w:basedOn w:val="Normal"/>
    <w:pPr>
      <w:widowControl/>
      <w:spacing w:before="20" w:after="40"/>
      <w:ind w:left="0" w:firstLine="0"/>
    </w:pPr>
    <w:rPr>
      <w:rFonts w:ascii="Aptos" w:hAnsi="Aptos"/>
      <w:b w:val="0"/>
      <w:i w:val="0"/>
      <w:color w:val="0F172A"/>
      <w:sz w:val="19"/>
    </w:rPr>
  </w:style>
  <w:style w:type="paragraph" w:customStyle="1" w:styleId="CommandReferenceTable">
    <w:name w:val="Command Reference Table"/>
    <w:basedOn w:val="Normal"/>
    <w:pPr>
      <w:widowControl/>
      <w:spacing w:before="20" w:after="40"/>
      <w:ind w:left="0" w:firstLine="0"/>
    </w:pPr>
    <w:rPr>
      <w:rFonts w:ascii="Consolas" w:hAnsi="Consolas"/>
      <w:b w:val="0"/>
      <w:i w:val="0"/>
      <w:color w:val="0F172A"/>
      <w:sz w:val="19"/>
    </w:rPr>
  </w:style>
  <w:style w:type="paragraph" w:customStyle="1" w:styleId="LabMatrixTable">
    <w:name w:val="Lab Matrix Table"/>
    <w:basedOn w:val="Normal"/>
    <w:pPr>
      <w:widowControl/>
      <w:spacing w:before="20" w:after="40"/>
      <w:ind w:left="0" w:firstLine="0"/>
    </w:pPr>
    <w:rPr>
      <w:rFonts w:ascii="Aptos" w:hAnsi="Aptos"/>
      <w:b w:val="0"/>
      <w:i w:val="0"/>
      <w:color w:val="0F172A"/>
      <w:sz w:val="19"/>
    </w:rPr>
  </w:style>
  <w:style w:type="paragraph" w:customStyle="1" w:styleId="ValidationMatrixTable">
    <w:name w:val="Validation Matrix Table"/>
    <w:basedOn w:val="Normal"/>
    <w:pPr>
      <w:widowControl/>
      <w:spacing w:before="20" w:after="40"/>
      <w:ind w:left="0" w:firstLine="0"/>
    </w:pPr>
    <w:rPr>
      <w:rFonts w:ascii="Aptos" w:hAnsi="Aptos"/>
      <w:b w:val="0"/>
      <w:i w:val="0"/>
      <w:color w:val="0F172A"/>
      <w:sz w:val="19"/>
    </w:rPr>
  </w:style>
  <w:style w:type="paragraph" w:customStyle="1" w:styleId="FigureCaption">
    <w:name w:val="Figure Caption"/>
    <w:basedOn w:val="Normal"/>
    <w:pPr>
      <w:widowControl/>
      <w:spacing w:before="60" w:after="120"/>
      <w:ind w:left="0" w:firstLine="0"/>
      <w:jc w:val="center"/>
    </w:pPr>
    <w:rPr>
      <w:rFonts w:ascii="Aptos" w:hAnsi="Aptos"/>
      <w:b w:val="0"/>
      <w:i w:val="0"/>
      <w:color w:val="475569"/>
      <w:sz w:val="18"/>
    </w:rPr>
  </w:style>
  <w:style w:type="paragraph" w:customStyle="1" w:styleId="FigureSource">
    <w:name w:val="Figure Source"/>
    <w:basedOn w:val="Normal"/>
    <w:pPr>
      <w:widowControl/>
      <w:spacing w:before="60" w:after="120"/>
      <w:ind w:left="0" w:firstLine="0"/>
    </w:pPr>
    <w:rPr>
      <w:rFonts w:ascii="Aptos" w:hAnsi="Aptos"/>
      <w:b w:val="0"/>
      <w:i w:val="0"/>
      <w:color w:val="475569"/>
      <w:sz w:val="17"/>
    </w:rPr>
  </w:style>
  <w:style w:type="paragraph" w:customStyle="1" w:styleId="FigureNote">
    <w:name w:val="Figure Note"/>
    <w:basedOn w:val="Normal"/>
    <w:pPr>
      <w:widowControl/>
      <w:spacing w:before="60" w:after="120"/>
      <w:ind w:left="0" w:firstLine="0"/>
    </w:pPr>
    <w:rPr>
      <w:rFonts w:ascii="Aptos" w:hAnsi="Aptos"/>
      <w:b w:val="0"/>
      <w:i w:val="0"/>
      <w:color w:val="475569"/>
      <w:sz w:val="17"/>
    </w:rPr>
  </w:style>
  <w:style w:type="paragraph" w:customStyle="1" w:styleId="ScreenshotCaption">
    <w:name w:val="Screenshot Caption"/>
    <w:basedOn w:val="Normal"/>
    <w:pPr>
      <w:widowControl/>
      <w:spacing w:before="60" w:after="120"/>
      <w:ind w:left="0" w:firstLine="0"/>
      <w:jc w:val="center"/>
    </w:pPr>
    <w:rPr>
      <w:rFonts w:ascii="Aptos" w:hAnsi="Aptos"/>
      <w:b w:val="0"/>
      <w:i w:val="0"/>
      <w:color w:val="475569"/>
      <w:sz w:val="18"/>
    </w:rPr>
  </w:style>
  <w:style w:type="paragraph" w:customStyle="1" w:styleId="DiagramCaption">
    <w:name w:val="Diagram Caption"/>
    <w:basedOn w:val="Normal"/>
    <w:pPr>
      <w:widowControl/>
      <w:spacing w:before="60" w:after="120"/>
      <w:ind w:left="0" w:firstLine="0"/>
      <w:jc w:val="center"/>
    </w:pPr>
    <w:rPr>
      <w:rFonts w:ascii="Aptos" w:hAnsi="Aptos"/>
      <w:b w:val="0"/>
      <w:i w:val="0"/>
      <w:color w:val="475569"/>
      <w:sz w:val="18"/>
    </w:rPr>
  </w:style>
  <w:style w:type="paragraph" w:customStyle="1" w:styleId="ImagePlaceholder">
    <w:name w:val="Image Placeholder"/>
    <w:basedOn w:val="Normal"/>
    <w:pPr>
      <w:widowControl/>
      <w:spacing w:before="60" w:after="120"/>
      <w:ind w:left="0" w:firstLine="0"/>
      <w:jc w:val="center"/>
    </w:pPr>
    <w:rPr>
      <w:rFonts w:ascii="Aptos" w:hAnsi="Aptos"/>
      <w:b/>
      <w:i w:val="0"/>
      <w:color w:val="475569"/>
      <w:sz w:val="17"/>
    </w:rPr>
  </w:style>
  <w:style w:type="paragraph" w:customStyle="1" w:styleId="AltTextReminder">
    <w:name w:val="Alt Text Reminder"/>
    <w:basedOn w:val="Normal"/>
    <w:pPr>
      <w:widowControl/>
      <w:spacing w:before="60" w:after="120"/>
      <w:ind w:left="0" w:firstLine="0"/>
    </w:pPr>
    <w:rPr>
      <w:rFonts w:ascii="Aptos" w:hAnsi="Aptos"/>
      <w:b w:val="0"/>
      <w:i w:val="0"/>
      <w:color w:val="475569"/>
      <w:sz w:val="17"/>
    </w:rPr>
  </w:style>
  <w:style w:type="paragraph" w:customStyle="1" w:styleId="ArchitectureDiagramCaption">
    <w:name w:val="Architecture Diagram Caption"/>
    <w:basedOn w:val="Normal"/>
    <w:pPr>
      <w:widowControl/>
      <w:spacing w:before="60" w:after="120"/>
      <w:ind w:left="0" w:firstLine="0"/>
      <w:jc w:val="center"/>
    </w:pPr>
    <w:rPr>
      <w:rFonts w:ascii="Aptos" w:hAnsi="Aptos"/>
      <w:b w:val="0"/>
      <w:i w:val="0"/>
      <w:color w:val="475569"/>
      <w:sz w:val="18"/>
    </w:rPr>
  </w:style>
  <w:style w:type="paragraph" w:customStyle="1" w:styleId="WorkflowDiagramCaption">
    <w:name w:val="Workflow Diagram Caption"/>
    <w:basedOn w:val="Normal"/>
    <w:pPr>
      <w:widowControl/>
      <w:spacing w:before="60" w:after="120"/>
      <w:ind w:left="0" w:firstLine="0"/>
      <w:jc w:val="center"/>
    </w:pPr>
    <w:rPr>
      <w:rFonts w:ascii="Aptos" w:hAnsi="Aptos"/>
      <w:b w:val="0"/>
      <w:i w:val="0"/>
      <w:color w:val="475569"/>
      <w:sz w:val="18"/>
    </w:rPr>
  </w:style>
  <w:style w:type="paragraph" w:customStyle="1" w:styleId="GlossaryTerm">
    <w:name w:val="Glossary Term"/>
    <w:basedOn w:val="Normal"/>
    <w:pPr>
      <w:widowControl/>
      <w:spacing w:before="0" w:after="60"/>
      <w:ind w:left="0" w:firstLine="0"/>
    </w:pPr>
    <w:rPr>
      <w:rFonts w:ascii="Aptos" w:hAnsi="Aptos"/>
      <w:b/>
      <w:i w:val="0"/>
      <w:color w:val="1F2937"/>
      <w:sz w:val="19"/>
    </w:rPr>
  </w:style>
  <w:style w:type="paragraph" w:customStyle="1" w:styleId="GlossaryDefinition">
    <w:name w:val="Glossary Definition"/>
    <w:basedOn w:val="Normal"/>
    <w:pPr>
      <w:widowControl/>
      <w:spacing w:before="0" w:after="60"/>
      <w:ind w:left="240" w:firstLine="0"/>
    </w:pPr>
    <w:rPr>
      <w:rFonts w:ascii="Aptos" w:hAnsi="Aptos"/>
      <w:b w:val="0"/>
      <w:i w:val="0"/>
      <w:color w:val="1F2937"/>
      <w:sz w:val="19"/>
    </w:rPr>
  </w:style>
  <w:style w:type="paragraph" w:customStyle="1" w:styleId="ReferenceEntry">
    <w:name w:val="Reference Entry"/>
    <w:basedOn w:val="Normal"/>
    <w:pPr>
      <w:widowControl/>
      <w:spacing w:before="0" w:after="60"/>
      <w:ind w:left="0" w:firstLine="0"/>
    </w:pPr>
    <w:rPr>
      <w:rFonts w:ascii="Aptos" w:hAnsi="Aptos"/>
      <w:b w:val="0"/>
      <w:i w:val="0"/>
      <w:color w:val="1F2937"/>
      <w:sz w:val="19"/>
    </w:rPr>
  </w:style>
  <w:style w:type="paragraph" w:customStyle="1" w:styleId="BibliographyEntry">
    <w:name w:val="Bibliography Entry"/>
    <w:basedOn w:val="Normal"/>
    <w:pPr>
      <w:widowControl/>
      <w:spacing w:before="0" w:after="60"/>
      <w:ind w:left="0" w:firstLine="0"/>
    </w:pPr>
    <w:rPr>
      <w:rFonts w:ascii="Aptos" w:hAnsi="Aptos"/>
      <w:b w:val="0"/>
      <w:i w:val="0"/>
      <w:color w:val="1F2937"/>
      <w:sz w:val="19"/>
    </w:rPr>
  </w:style>
  <w:style w:type="paragraph" w:customStyle="1" w:styleId="FurtherReadingEntry">
    <w:name w:val="Further Reading Entry"/>
    <w:basedOn w:val="Normal"/>
    <w:pPr>
      <w:widowControl/>
      <w:spacing w:before="0" w:after="60"/>
      <w:ind w:left="0" w:firstLine="0"/>
    </w:pPr>
    <w:rPr>
      <w:rFonts w:ascii="Aptos" w:hAnsi="Aptos"/>
      <w:b w:val="0"/>
      <w:i w:val="0"/>
      <w:color w:val="1F2937"/>
      <w:sz w:val="19"/>
    </w:rPr>
  </w:style>
  <w:style w:type="paragraph" w:customStyle="1" w:styleId="IndexHeading">
    <w:name w:val="Index Heading"/>
    <w:basedOn w:val="Normal"/>
    <w:pPr>
      <w:widowControl/>
      <w:spacing w:before="0" w:after="60"/>
      <w:ind w:left="0" w:firstLine="0"/>
    </w:pPr>
    <w:rPr>
      <w:rFonts w:ascii="Aptos" w:hAnsi="Aptos"/>
      <w:b/>
      <w:i w:val="0"/>
      <w:color w:val="1F2937"/>
      <w:sz w:val="18"/>
    </w:rPr>
  </w:style>
  <w:style w:type="paragraph" w:customStyle="1" w:styleId="IndexLevel1">
    <w:name w:val="Index Level 1"/>
    <w:basedOn w:val="Normal"/>
    <w:pPr>
      <w:widowControl/>
      <w:spacing w:before="0" w:after="60"/>
      <w:ind w:left="0" w:firstLine="0"/>
    </w:pPr>
    <w:rPr>
      <w:rFonts w:ascii="Aptos" w:hAnsi="Aptos"/>
      <w:b w:val="0"/>
      <w:i w:val="0"/>
      <w:color w:val="1F2937"/>
      <w:sz w:val="18"/>
    </w:rPr>
  </w:style>
  <w:style w:type="paragraph" w:customStyle="1" w:styleId="IndexLevel2">
    <w:name w:val="Index Level 2"/>
    <w:basedOn w:val="Normal"/>
    <w:pPr>
      <w:widowControl/>
      <w:spacing w:before="0" w:after="60"/>
      <w:ind w:left="240" w:firstLine="0"/>
    </w:pPr>
    <w:rPr>
      <w:rFonts w:ascii="Aptos" w:hAnsi="Aptos"/>
      <w:b w:val="0"/>
      <w:i w:val="0"/>
      <w:color w:val="1F2937"/>
      <w:sz w:val="18"/>
    </w:rPr>
  </w:style>
  <w:style w:type="paragraph" w:customStyle="1" w:styleId="IndexLevel3">
    <w:name w:val="Index Level 3"/>
    <w:basedOn w:val="Normal"/>
    <w:pPr>
      <w:widowControl/>
      <w:spacing w:before="0" w:after="60"/>
      <w:ind w:left="240" w:firstLine="0"/>
    </w:pPr>
    <w:rPr>
      <w:rFonts w:ascii="Aptos" w:hAnsi="Aptos"/>
      <w:b w:val="0"/>
      <w:i w:val="0"/>
      <w:color w:val="1F2937"/>
      <w:sz w:val="18"/>
    </w:rPr>
  </w:style>
  <w:style w:type="paragraph" w:customStyle="1" w:styleId="FootnoteText">
    <w:name w:val="Footnote Text"/>
    <w:basedOn w:val="Normal"/>
    <w:pPr>
      <w:widowControl/>
      <w:spacing w:before="0" w:after="60"/>
      <w:ind w:left="0" w:firstLine="0"/>
    </w:pPr>
    <w:rPr>
      <w:rFonts w:ascii="Aptos" w:hAnsi="Aptos"/>
      <w:b w:val="0"/>
      <w:i w:val="0"/>
      <w:color w:val="1F2937"/>
      <w:sz w:val="19"/>
    </w:rPr>
  </w:style>
  <w:style w:type="paragraph" w:customStyle="1" w:styleId="EndnoteText">
    <w:name w:val="Endnote Text"/>
    <w:basedOn w:val="Normal"/>
    <w:pPr>
      <w:widowControl/>
      <w:spacing w:before="0" w:after="60"/>
      <w:ind w:left="0" w:firstLine="0"/>
    </w:pPr>
    <w:rPr>
      <w:rFonts w:ascii="Aptos" w:hAnsi="Aptos"/>
      <w:b w:val="0"/>
      <w:i w:val="0"/>
      <w:color w:val="1F2937"/>
      <w:sz w:val="19"/>
    </w:rPr>
  </w:style>
  <w:style w:type="paragraph" w:customStyle="1" w:styleId="CrossReference">
    <w:name w:val="Cross Reference"/>
    <w:basedOn w:val="Normal"/>
    <w:pPr>
      <w:widowControl/>
      <w:spacing w:before="0" w:after="60"/>
      <w:ind w:left="0" w:firstLine="0"/>
    </w:pPr>
    <w:rPr>
      <w:rFonts w:ascii="Aptos" w:hAnsi="Aptos"/>
      <w:b w:val="0"/>
      <w:i w:val="0"/>
      <w:color w:val="1F2937"/>
      <w:sz w:val="19"/>
    </w:rPr>
  </w:style>
  <w:style w:type="paragraph" w:customStyle="1" w:styleId="URLReference">
    <w:name w:val="URL Reference"/>
    <w:basedOn w:val="Normal"/>
    <w:pPr>
      <w:widowControl/>
      <w:spacing w:before="0" w:after="60"/>
      <w:ind w:left="0" w:firstLine="0"/>
    </w:pPr>
    <w:rPr>
      <w:rFonts w:ascii="Aptos" w:hAnsi="Aptos"/>
      <w:b w:val="0"/>
      <w:i w:val="0"/>
      <w:color w:val="1F2937"/>
      <w:sz w:val="19"/>
    </w:rPr>
  </w:style>
  <w:style w:type="paragraph" w:customStyle="1" w:styleId="CitationNote">
    <w:name w:val="Citation Note"/>
    <w:basedOn w:val="Normal"/>
    <w:pPr>
      <w:widowControl/>
      <w:spacing w:before="0" w:after="60"/>
      <w:ind w:left="0" w:firstLine="0"/>
    </w:pPr>
    <w:rPr>
      <w:rFonts w:ascii="Aptos" w:hAnsi="Aptos"/>
      <w:b w:val="0"/>
      <w:i w:val="0"/>
      <w:color w:val="1F2937"/>
      <w:sz w:val="19"/>
    </w:rPr>
  </w:style>
  <w:style w:type="paragraph" w:customStyle="1" w:styleId="AuthorNote">
    <w:name w:val="Author Note"/>
    <w:basedOn w:val="Normal"/>
    <w:pPr>
      <w:widowControl/>
      <w:spacing w:before="60" w:after="80"/>
      <w:ind w:left="160" w:firstLine="0"/>
    </w:pPr>
    <w:rPr>
      <w:rFonts w:ascii="Aptos" w:hAnsi="Aptos"/>
      <w:b w:val="0"/>
      <w:i w:val="0"/>
      <w:color w:val="7C2D12"/>
      <w:sz w:val="18"/>
    </w:rPr>
  </w:style>
  <w:style w:type="paragraph" w:customStyle="1" w:styleId="EditorNote">
    <w:name w:val="Editor Note"/>
    <w:basedOn w:val="Normal"/>
    <w:pPr>
      <w:widowControl/>
      <w:spacing w:before="60" w:after="80"/>
      <w:ind w:left="160" w:firstLine="0"/>
    </w:pPr>
    <w:rPr>
      <w:rFonts w:ascii="Aptos" w:hAnsi="Aptos"/>
      <w:b w:val="0"/>
      <w:i w:val="0"/>
      <w:color w:val="991B1B"/>
      <w:sz w:val="18"/>
    </w:rPr>
  </w:style>
  <w:style w:type="paragraph" w:customStyle="1" w:styleId="TechnicalReviewerNote">
    <w:name w:val="Technical Reviewer Note"/>
    <w:basedOn w:val="Normal"/>
    <w:pPr>
      <w:widowControl/>
      <w:spacing w:before="60" w:after="80"/>
      <w:ind w:left="160" w:firstLine="0"/>
    </w:pPr>
    <w:rPr>
      <w:rFonts w:ascii="Aptos" w:hAnsi="Aptos"/>
      <w:b w:val="0"/>
      <w:i w:val="0"/>
      <w:color w:val="3730A3"/>
      <w:sz w:val="18"/>
    </w:rPr>
  </w:style>
  <w:style w:type="paragraph" w:customStyle="1" w:styleId="ProductionNote">
    <w:name w:val="Production Note"/>
    <w:basedOn w:val="Normal"/>
    <w:pPr>
      <w:widowControl/>
      <w:spacing w:before="60" w:after="80"/>
      <w:ind w:left="160" w:firstLine="0"/>
    </w:pPr>
    <w:rPr>
      <w:rFonts w:ascii="Aptos" w:hAnsi="Aptos"/>
      <w:b w:val="0"/>
      <w:i w:val="0"/>
      <w:color w:val="334155"/>
      <w:sz w:val="18"/>
    </w:rPr>
  </w:style>
  <w:style w:type="paragraph" w:customStyle="1" w:styleId="TODO">
    <w:name w:val="TODO"/>
    <w:basedOn w:val="Normal"/>
    <w:pPr>
      <w:widowControl/>
      <w:spacing w:before="60" w:after="80"/>
      <w:ind w:left="160" w:firstLine="0"/>
    </w:pPr>
    <w:rPr>
      <w:rFonts w:ascii="Aptos" w:hAnsi="Aptos"/>
      <w:b/>
      <w:i w:val="0"/>
      <w:color w:val="9A3412"/>
      <w:sz w:val="18"/>
    </w:rPr>
  </w:style>
  <w:style w:type="paragraph" w:customStyle="1" w:styleId="FactCheckRequired">
    <w:name w:val="Fact Check Required"/>
    <w:basedOn w:val="Normal"/>
    <w:pPr>
      <w:widowControl/>
      <w:spacing w:before="60" w:after="80"/>
      <w:ind w:left="160" w:firstLine="0"/>
    </w:pPr>
    <w:rPr>
      <w:rFonts w:ascii="Aptos" w:hAnsi="Aptos"/>
      <w:b w:val="0"/>
      <w:i w:val="0"/>
      <w:color w:val="991B1B"/>
      <w:sz w:val="18"/>
    </w:rPr>
  </w:style>
  <w:style w:type="paragraph" w:customStyle="1" w:styleId="SourceVerificationRequired">
    <w:name w:val="Source Verification Required"/>
    <w:basedOn w:val="Normal"/>
    <w:pPr>
      <w:widowControl/>
      <w:spacing w:before="60" w:after="80"/>
      <w:ind w:left="160" w:firstLine="0"/>
    </w:pPr>
    <w:rPr>
      <w:rFonts w:ascii="Aptos" w:hAnsi="Aptos"/>
      <w:b w:val="0"/>
      <w:i w:val="0"/>
      <w:color w:val="991B1B"/>
      <w:sz w:val="18"/>
    </w:rPr>
  </w:style>
  <w:style w:type="paragraph" w:customStyle="1" w:styleId="LabValidationRequired">
    <w:name w:val="Lab Validation Required"/>
    <w:basedOn w:val="Normal"/>
    <w:pPr>
      <w:widowControl/>
      <w:spacing w:before="60" w:after="80"/>
      <w:ind w:left="160" w:firstLine="0"/>
    </w:pPr>
    <w:rPr>
      <w:rFonts w:ascii="Aptos" w:hAnsi="Aptos"/>
      <w:b w:val="0"/>
      <w:i w:val="0"/>
      <w:color w:val="991B1B"/>
      <w:sz w:val="18"/>
    </w:rPr>
  </w:style>
  <w:style w:type="paragraph" w:customStyle="1" w:styleId="PrintOnly">
    <w:name w:val="Print Only"/>
    <w:basedOn w:val="Normal"/>
    <w:pPr>
      <w:widowControl/>
      <w:spacing w:before="60" w:after="80"/>
      <w:ind w:left="160" w:firstLine="0"/>
    </w:pPr>
    <w:rPr>
      <w:rFonts w:ascii="Aptos" w:hAnsi="Aptos"/>
      <w:b w:val="0"/>
      <w:i w:val="0"/>
      <w:color w:val="334155"/>
      <w:sz w:val="18"/>
    </w:rPr>
  </w:style>
  <w:style w:type="paragraph" w:customStyle="1" w:styleId="DigitalOnly">
    <w:name w:val="Digital Only"/>
    <w:basedOn w:val="Normal"/>
    <w:pPr>
      <w:widowControl/>
      <w:spacing w:before="60" w:after="80"/>
      <w:ind w:left="160" w:firstLine="0"/>
    </w:pPr>
    <w:rPr>
      <w:rFonts w:ascii="Aptos" w:hAnsi="Aptos"/>
      <w:b w:val="0"/>
      <w:i w:val="0"/>
      <w:color w:val="334155"/>
      <w:sz w:val="18"/>
    </w:rPr>
  </w:style>
  <w:style w:type="paragraph" w:customStyle="1" w:styleId="HiddenGuidance">
    <w:name w:val="Hidden Guidance"/>
    <w:basedOn w:val="Normal"/>
    <w:pPr>
      <w:widowControl/>
      <w:spacing w:before="60" w:after="80"/>
      <w:ind w:left="160" w:firstLine="0"/>
    </w:pPr>
    <w:rPr>
      <w:rFonts w:ascii="Aptos" w:hAnsi="Aptos"/>
      <w:b w:val="0"/>
      <w:i w:val="0"/>
      <w:color w:val="64748B"/>
      <w:sz w:val="18"/>
    </w:rPr>
  </w:style>
  <w:style w:type="paragraph" w:customStyle="1" w:styleId="TemplateInstruction">
    <w:name w:val="Template Instruction"/>
    <w:basedOn w:val="Normal"/>
    <w:pPr>
      <w:widowControl/>
      <w:spacing w:before="60" w:after="80"/>
      <w:ind w:left="160" w:firstLine="0"/>
    </w:pPr>
    <w:rPr>
      <w:rFonts w:ascii="Aptos" w:hAnsi="Aptos"/>
      <w:b w:val="0"/>
      <w:i w:val="0"/>
      <w:color w:val="2563EB"/>
      <w:sz w:val="18"/>
    </w:rPr>
  </w:style>
  <w:style w:type="character" w:customStyle="1" w:styleId="InlineCode">
    <w:name w:val="Inline Code"/>
    <w:rPr>
      <w:rFonts w:ascii="Consolas" w:hAnsi="Consolas"/>
      <w:b w:val="0"/>
      <w:i w:val="0"/>
      <w:color w:val="0F172A"/>
      <w:sz w:val="19"/>
    </w:rPr>
  </w:style>
  <w:style w:type="character" w:customStyle="1" w:styleId="Command">
    <w:name w:val="Command"/>
    <w:rPr>
      <w:rFonts w:ascii="Consolas" w:hAnsi="Consolas"/>
      <w:b w:val="0"/>
      <w:i w:val="0"/>
      <w:color w:val="0F172A"/>
      <w:sz w:val="19"/>
    </w:rPr>
  </w:style>
  <w:style w:type="character" w:customStyle="1" w:styleId="Filename">
    <w:name w:val="Filename"/>
    <w:rPr>
      <w:rFonts w:ascii="Consolas" w:hAnsi="Consolas"/>
      <w:b w:val="0"/>
      <w:i w:val="0"/>
      <w:color w:val="0F172A"/>
      <w:sz w:val="19"/>
    </w:rPr>
  </w:style>
  <w:style w:type="character" w:customStyle="1" w:styleId="FilePath">
    <w:name w:val="File Path"/>
    <w:rPr>
      <w:rFonts w:ascii="Consolas" w:hAnsi="Consolas"/>
      <w:b w:val="0"/>
      <w:i w:val="0"/>
      <w:color w:val="0F172A"/>
      <w:sz w:val="19"/>
    </w:rPr>
  </w:style>
  <w:style w:type="character" w:customStyle="1" w:styleId="DatasetName">
    <w:name w:val="Dataset Name"/>
    <w:rPr>
      <w:rFonts w:ascii="Consolas" w:hAnsi="Consolas"/>
      <w:b w:val="0"/>
      <w:i w:val="0"/>
      <w:color w:val="0F172A"/>
      <w:sz w:val="19"/>
    </w:rPr>
  </w:style>
  <w:style w:type="character" w:customStyle="1" w:styleId="Username">
    <w:name w:val="Username"/>
    <w:rPr>
      <w:rFonts w:ascii="Aptos" w:hAnsi="Aptos"/>
      <w:b w:val="0"/>
      <w:i w:val="0"/>
      <w:color w:val="0F172A"/>
      <w:sz w:val="19"/>
    </w:rPr>
  </w:style>
  <w:style w:type="character" w:customStyle="1" w:styleId="Hostname">
    <w:name w:val="Hostname"/>
    <w:rPr>
      <w:rFonts w:ascii="Consolas" w:hAnsi="Consolas"/>
      <w:b w:val="0"/>
      <w:i w:val="0"/>
      <w:color w:val="0F172A"/>
      <w:sz w:val="19"/>
    </w:rPr>
  </w:style>
  <w:style w:type="character" w:customStyle="1" w:styleId="IPAddress">
    <w:name w:val="IP Address"/>
    <w:rPr>
      <w:rFonts w:ascii="Consolas" w:hAnsi="Consolas"/>
      <w:b w:val="0"/>
      <w:i w:val="0"/>
      <w:color w:val="0F172A"/>
      <w:sz w:val="19"/>
    </w:rPr>
  </w:style>
  <w:style w:type="character" w:customStyle="1" w:styleId="Port">
    <w:name w:val="Port"/>
    <w:rPr>
      <w:rFonts w:ascii="Consolas" w:hAnsi="Consolas"/>
      <w:b w:val="0"/>
      <w:i w:val="0"/>
      <w:color w:val="0F172A"/>
      <w:sz w:val="19"/>
    </w:rPr>
  </w:style>
  <w:style w:type="character" w:customStyle="1" w:styleId="URL">
    <w:name w:val="URL"/>
    <w:rPr>
      <w:rFonts w:ascii="Aptos" w:hAnsi="Aptos"/>
      <w:b w:val="0"/>
      <w:i w:val="0"/>
      <w:color w:val="2563EB"/>
      <w:sz w:val="19"/>
    </w:rPr>
  </w:style>
  <w:style w:type="character" w:customStyle="1" w:styleId="Email">
    <w:name w:val="Email"/>
    <w:rPr>
      <w:rFonts w:ascii="Aptos" w:hAnsi="Aptos"/>
      <w:b w:val="0"/>
      <w:i w:val="0"/>
      <w:color w:val="2563EB"/>
      <w:sz w:val="19"/>
    </w:rPr>
  </w:style>
  <w:style w:type="character" w:customStyle="1" w:styleId="KeyboardKey">
    <w:name w:val="Keyboard Key"/>
    <w:rPr>
      <w:rFonts w:ascii="Aptos" w:hAnsi="Aptos"/>
      <w:b/>
      <w:i w:val="0"/>
      <w:color w:val="0F172A"/>
      <w:sz w:val="19"/>
    </w:rPr>
  </w:style>
  <w:style w:type="character" w:customStyle="1" w:styleId="MenuPath">
    <w:name w:val="Menu Path"/>
    <w:rPr>
      <w:rFonts w:ascii="Aptos" w:hAnsi="Aptos"/>
      <w:b w:val="0"/>
      <w:i w:val="0"/>
      <w:color w:val="0F172A"/>
      <w:sz w:val="19"/>
    </w:rPr>
  </w:style>
  <w:style w:type="character" w:customStyle="1" w:styleId="GUILabel">
    <w:name w:val="GUI Label"/>
    <w:rPr>
      <w:rFonts w:ascii="Aptos" w:hAnsi="Aptos"/>
      <w:b w:val="0"/>
      <w:i w:val="0"/>
      <w:color w:val="0F172A"/>
      <w:sz w:val="19"/>
    </w:rPr>
  </w:style>
  <w:style w:type="character" w:customStyle="1" w:styleId="Variable">
    <w:name w:val="Variable"/>
    <w:rPr>
      <w:rFonts w:ascii="Consolas" w:hAnsi="Consolas"/>
      <w:b w:val="0"/>
      <w:i/>
      <w:color w:val="0F172A"/>
      <w:sz w:val="19"/>
    </w:rPr>
  </w:style>
  <w:style w:type="character" w:customStyle="1" w:styleId="Placeholder">
    <w:name w:val="Placeholder"/>
    <w:rPr>
      <w:rFonts w:ascii="Consolas" w:hAnsi="Consolas"/>
      <w:b w:val="0"/>
      <w:i/>
      <w:color w:val="0F172A"/>
      <w:sz w:val="19"/>
    </w:rPr>
  </w:style>
  <w:style w:type="character" w:customStyle="1" w:styleId="Acronym">
    <w:name w:val="Acronym"/>
    <w:rPr>
      <w:rFonts w:ascii="Aptos" w:hAnsi="Aptos"/>
      <w:b w:val="0"/>
      <w:i w:val="0"/>
      <w:color w:val="0F172A"/>
      <w:sz w:val="19"/>
    </w:rPr>
  </w:style>
  <w:style w:type="character" w:customStyle="1" w:styleId="ProductName">
    <w:name w:val="Product Name"/>
    <w:rPr>
      <w:rFonts w:ascii="Aptos" w:hAnsi="Aptos"/>
      <w:b/>
      <w:i w:val="0"/>
      <w:color w:val="0F172A"/>
      <w:sz w:val="19"/>
    </w:rPr>
  </w:style>
  <w:style w:type="character" w:customStyle="1" w:styleId="WarningEmphasis">
    <w:name w:val="Warning Emphasis"/>
    <w:rPr>
      <w:rFonts w:ascii="Aptos" w:hAnsi="Aptos"/>
      <w:b/>
      <w:i w:val="0"/>
      <w:color w:val="991B1B"/>
      <w:sz w:val="19"/>
    </w:rPr>
  </w:style>
  <w:style w:type="character" w:customStyle="1" w:styleId="StrongTechnical">
    <w:name w:val="Strong Technical"/>
    <w:rPr>
      <w:rFonts w:ascii="Aptos" w:hAnsi="Aptos"/>
      <w:b/>
      <w:i w:val="0"/>
      <w:color w:val="0F172A"/>
      <w:sz w:val="19"/>
    </w:rPr>
  </w:style>
  <w:style w:type="character" w:customStyle="1" w:styleId="CodeInline">
    <w:name w:val="Code Inline"/>
    <w:rPr>
      <w:rFonts w:ascii="Consolas" w:hAnsi="Consolas"/>
      <w:b w:val="0"/>
      <w:i w:val="0"/>
      <w:color w:val="0F17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Gibson Mainframe Simulator - Capabilities Overview</dc:title>
  <dc:subject>Production-ready technical manual template</dc:subject>
  <dc:creator>NTL Template System</dc:creator>
  <cp:keywords>technical manual, cybersecurity, training, lab manual, template</cp:keywords>
  <dc:description>Original production-ready template; no third-party publisher content copied.</dc:description>
  <cp:lastModifiedBy>NTL Template System</cp:lastModifiedBy>
  <cp:revision>1</cp:revision>
  <dcterms:created xsi:type="dcterms:W3CDTF">2026-05-19T00:00:00Z</dcterms:created>
  <dcterms:modified xsi:type="dcterms:W3CDTF">2026-05-19T00:00:00Z</dcterms:modified>
  <cp:category/>
</cp:coreProperties>
</file>