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with</w:t>
      </w:r>
      <w:r>
        <w:t xml:space="preserve"> </w:t>
      </w:r>
      <w:r>
        <w:t xml:space="preserve">Microsoft</w:t>
      </w:r>
      <w:r>
        <w:t xml:space="preserve"> </w:t>
      </w:r>
      <w:r>
        <w:t xml:space="preserve">Entra</w:t>
      </w:r>
      <w:r>
        <w:t xml:space="preserve"> </w:t>
      </w:r>
      <w:r>
        <w:t xml:space="preserve">Kerberos</w:t>
      </w:r>
      <w:r>
        <w:t xml:space="preserve"> </w:t>
      </w:r>
      <w:r>
        <w:t xml:space="preserve">—</w:t>
      </w:r>
      <w:r>
        <w:t xml:space="preserve"> </w:t>
      </w:r>
      <w:r>
        <w:t xml:space="preserve">evidence-based</w:t>
      </w:r>
      <w:r>
        <w:t xml:space="preserve"> </w:t>
      </w:r>
      <w:r>
        <w:t xml:space="preserve">diagnosis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Session 1 authenticated against an on-prem AD DS domain controller. Session 2</w:t>
      </w:r>
      <w:r>
        <w:t xml:space="preserve"> </w:t>
      </w:r>
      <w:r>
        <w:t xml:space="preserve">switches the same storage account to</w:t>
      </w:r>
      <w:r>
        <w:t xml:space="preserve"> </w:t>
      </w:r>
      <w:r>
        <w:rPr>
          <w:b/>
        </w:rPr>
        <w:t xml:space="preserve">Microsoft Entra Kerberos</w:t>
      </w:r>
      <w:r>
        <w:t xml:space="preserve">: Entra ID</w:t>
      </w:r>
      <w:r>
        <w:t xml:space="preserve"> </w:t>
      </w:r>
      <w:r>
        <w:t xml:space="preserve">becomes the KDC, tickets are fetched over an</w:t>
      </w:r>
      <w:r>
        <w:t xml:space="preserve"> </w:t>
      </w:r>
      <w:r>
        <w:rPr>
          <w:b/>
        </w:rPr>
        <w:t xml:space="preserve">HTTPS KDC Proxy</w:t>
      </w:r>
      <w:r>
        <w:t xml:space="preserve">, and the client</w:t>
      </w:r>
      <w:r>
        <w:t xml:space="preserve"> </w:t>
      </w:r>
      <w:r>
        <w:t xml:space="preserve">needs no line of sight to a domain controller at all.</w:t>
      </w:r>
    </w:p>
    <w:p>
      <w:pPr>
        <w:pStyle w:val="BodyText"/>
      </w:pPr>
      <w:r>
        <w:t xml:space="preserve">The goal this time is not</w:t>
      </w:r>
      <w:r>
        <w:t xml:space="preserve"> </w:t>
      </w:r>
      <w:r>
        <w:t xml:space="preserve">“</w:t>
      </w:r>
      <w:r>
        <w:t xml:space="preserve">click through the setup.</w:t>
      </w:r>
      <w:r>
        <w:t xml:space="preserve">”</w:t>
      </w:r>
      <w:r>
        <w:t xml:space="preserve"> </w:t>
      </w:r>
      <w:r>
        <w:t xml:space="preserve">It is to</w:t>
      </w:r>
      <w:r>
        <w:t xml:space="preserve"> </w:t>
      </w:r>
      <w:r>
        <w:rPr>
          <w:b/>
        </w:rPr>
        <w:t xml:space="preserve">build the</w:t>
      </w:r>
      <w:r>
        <w:rPr>
          <w:b/>
        </w:rPr>
        <w:t xml:space="preserve"> </w:t>
      </w:r>
      <w:r>
        <w:rPr>
          <w:b/>
        </w:rPr>
        <w:t xml:space="preserve">evidence chain a support engineer actually walks</w:t>
      </w:r>
      <w:r>
        <w:t xml:space="preserve"> </w:t>
      </w:r>
      <w:r>
        <w:t xml:space="preserve">— from device state, to the</w:t>
      </w:r>
      <w:r>
        <w:t xml:space="preserve"> </w:t>
      </w:r>
      <w:r>
        <w:t xml:space="preserve">cloud TGT, to the service ticket, to the KDC Proxy exchange on the wire — and</w:t>
      </w:r>
      <w:r>
        <w:t xml:space="preserve"> </w:t>
      </w:r>
      <w:r>
        <w:t xml:space="preserve">then to break individual links and read which piece of evidence moved. By the</w:t>
      </w:r>
      <w:r>
        <w:t xml:space="preserve"> </w:t>
      </w:r>
      <w:r>
        <w:t xml:space="preserve">end you should be able to take a raw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/ Fiddler capture and</w:t>
      </w:r>
      <w:r>
        <w:t xml:space="preserve"> </w:t>
      </w:r>
      <w:r>
        <w:t xml:space="preserve">say where the failure is, not just that there is one.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2 of 2</w:t>
      </w:r>
      <w:r>
        <w:t xml:space="preserve">. Because you tore Session 1 down,</w:t>
      </w:r>
      <w:r>
        <w:t xml:space="preserve"> </w:t>
      </w:r>
      <w:r>
        <w:rPr>
          <w:b/>
        </w:rPr>
        <w:t xml:space="preserve">redeploy it first</w:t>
      </w:r>
      <w:r>
        <w:t xml:space="preserve"> </w:t>
      </w:r>
      <w:r>
        <w:t xml:space="preserve">(Lab 0), before the session.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(same as Session 1):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rPr>
          <w:rStyle w:val="VerbatimChar"/>
        </w:rPr>
        <w:t xml:space="preserve">azflab-dc</w:t>
      </w:r>
      <w:r>
        <w:t xml:space="preserve"> </w:t>
      </w:r>
      <w:r>
        <w:t xml:space="preserve">(</w:t>
      </w:r>
      <w:r>
        <w:rPr>
          <w:rStyle w:val="VerbatimChar"/>
        </w:rPr>
        <w:t xml:space="preserve">labadmin</w:t>
      </w:r>
      <w:r>
        <w:t xml:space="preserve">),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rPr>
          <w:rStyle w:val="VerbatimChar"/>
        </w:rPr>
        <w:t xml:space="preserve">azflab-cli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CONTOSO\labuser1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with your storage</w:t>
      </w:r>
      <w:r>
        <w:t xml:space="preserve"> </w:t>
      </w:r>
      <w:r>
        <w:t xml:space="preserve">account name from the redeploy output.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Xe08e18b76f2624882ada405e34c99fba1b85c80"/>
      <w:r>
        <w:t xml:space="preserve">The access flow (memorise this — every lab maps to one arrow)</w:t>
      </w:r>
      <w:bookmarkEnd w:id="21"/>
    </w:p>
    <w:p>
      <w:pPr>
        <w:pStyle w:val="SourceCode"/>
      </w:pPr>
      <w:r>
        <w:rPr>
          <w:rStyle w:val="VerbatimChar"/>
        </w:rPr>
        <w:t xml:space="preserve"> SCP in AD ──▶ device Entra hybrid-joined ──▶ PRT at logon ──▶ cloud TGT</w:t>
      </w:r>
      <w:r>
        <w:br/>
      </w:r>
      <w:r>
        <w:rPr>
          <w:rStyle w:val="VerbatimChar"/>
        </w:rPr>
        <w:t xml:space="preserve">   (setup)        (dsregcmd: AzureAdJoined)      (SSO State)    (krbtgt @</w:t>
      </w:r>
      <w:r>
        <w:br/>
      </w:r>
      <w:r>
        <w:rPr>
          <w:rStyle w:val="VerbatimChar"/>
        </w:rPr>
        <w:t xml:space="preserve">                                                                 MICROSOFTONLINE)</w:t>
      </w:r>
      <w:r>
        <w:br/>
      </w:r>
      <w:r>
        <w:rPr>
          <w:rStyle w:val="VerbatimChar"/>
        </w:rPr>
        <w:t xml:space="preserve">        │                                                              │</w:t>
      </w:r>
      <w:r>
        <w:br/>
      </w:r>
      <w:r>
        <w:rPr>
          <w:rStyle w:val="VerbatimChar"/>
        </w:rPr>
        <w:t xml:space="preserve">        │                                                              ▼</w:t>
      </w:r>
      <w:r>
        <w:br/>
      </w:r>
      <w:r>
        <w:rPr>
          <w:rStyle w:val="VerbatimChar"/>
        </w:rPr>
        <w:t xml:space="preserve">        │                                             service ticket (cifs/&lt;sa&gt;)</w:t>
      </w:r>
      <w:r>
        <w:br/>
      </w:r>
      <w:r>
        <w:rPr>
          <w:rStyle w:val="VerbatimChar"/>
        </w:rPr>
        <w:t xml:space="preserve">        │                                             fetched via KDC Proxy over</w:t>
      </w:r>
      <w:r>
        <w:br/>
      </w:r>
      <w:r>
        <w:rPr>
          <w:rStyle w:val="VerbatimChar"/>
        </w:rPr>
        <w:t xml:space="preserve">        │                                             HTTPS: login.microsoftonline.com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hybrid identity                                                       ▼</w:t>
      </w:r>
      <w:r>
        <w:br/>
      </w:r>
      <w:r>
        <w:rPr>
          <w:rStyle w:val="VerbatimChar"/>
        </w:rPr>
        <w:t xml:space="preserve"> (AD user synced to Entra) ─────────────────────────────────▶  SMB mount</w:t>
      </w:r>
      <w:r>
        <w:br/>
      </w:r>
      <w:r>
        <w:rPr>
          <w:rStyle w:val="VerbatimChar"/>
        </w:rPr>
        <w:t xml:space="preserve">                                                          then: share RBAC → NTFS ACL</w:t>
      </w:r>
    </w:p>
    <w:p>
      <w:pPr>
        <w:pStyle w:val="FirstParagraph"/>
      </w:pPr>
      <w:r>
        <w:t xml:space="preserve">Each fault in this workbook cuts exactly one arrow. Your job is to find which.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the-evidence-chain-your-standard-sweep"/>
      <w:r>
        <w:t xml:space="preserve">The evidence chain (your standard sweep)</w:t>
      </w:r>
      <w:bookmarkEnd w:id="22"/>
    </w:p>
    <w:p>
      <w:pPr>
        <w:pStyle w:val="FirstParagraph"/>
      </w:pPr>
      <w:r>
        <w:t xml:space="preserve">Run these on the Client VM, signed in as the lab user, top to bottom. In a</w:t>
      </w:r>
      <w:r>
        <w:t xml:space="preserve"> </w:t>
      </w:r>
      <w:r>
        <w:t xml:space="preserve">healthy state every line has a known-good signature — learn those first (Lab A),</w:t>
      </w:r>
      <w:r>
        <w:t xml:space="preserve"> </w:t>
      </w:r>
      <w:r>
        <w:t xml:space="preserve">because diagnosis is just spotting which one changed.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signature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t xml:space="preserve">device is Entra joined + has a PRT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AzureAdPrt : 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t xml:space="preserve">cloud TGT retrieval is</w:t>
            </w:r>
            <w:r>
              <w:t xml:space="preserve"> </w:t>
            </w:r>
            <w:r>
              <w:rPr>
                <w:b/>
              </w:rPr>
              <w:t xml:space="preserve">effectively</w:t>
            </w:r>
            <w:r>
              <w:t xml:space="preserve"> </w:t>
            </w: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 Kerberos ... enabled by policy: 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krbtgt</w:t>
            </w:r>
          </w:p>
        </w:tc>
        <w:tc>
          <w:p>
            <w:pPr>
              <w:pStyle w:val="Compact"/>
              <w:jc w:val="left"/>
            </w:pPr>
            <w:r>
              <w:t xml:space="preserve">a cloud TGT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krbtgt/KERBEROS.MICROSOFTONLINE.COM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Kdc Called: TicketSuppliedAtLogon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cifs/&lt;sa&gt;.file.core.windows.net</w:t>
            </w:r>
          </w:p>
        </w:tc>
        <w:tc>
          <w:p>
            <w:pPr>
              <w:pStyle w:val="Compact"/>
              <w:jc w:val="left"/>
            </w:pPr>
            <w:r>
              <w:t xml:space="preserve">a service ticket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cifs/&lt;sa&gt;...</w:t>
            </w:r>
            <w:r>
              <w:t xml:space="preserve">, AES-256,</w:t>
            </w:r>
            <w:r>
              <w:t xml:space="preserve"> </w:t>
            </w:r>
            <w:r>
              <w:rPr>
                <w:rStyle w:val="VerbatimChar"/>
              </w:rPr>
              <w:t xml:space="preserve">Kdc Called: KdcProxy:login.microsoftonline.com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Fiddler + Kerberos.NET</w:t>
            </w:r>
          </w:p>
        </w:tc>
        <w:tc>
          <w:p>
            <w:pPr>
              <w:pStyle w:val="Compact"/>
              <w:jc w:val="left"/>
            </w:pPr>
            <w:r>
              <w:t xml:space="preserve">the KDC Proxy request/response itself</w:t>
            </w:r>
          </w:p>
        </w:tc>
        <w:tc>
          <w:p>
            <w:pPr>
              <w:pStyle w:val="Compact"/>
              <w:jc w:val="left"/>
            </w:pPr>
            <w:r>
              <w:t xml:space="preserve">request to</w:t>
            </w:r>
            <w:r>
              <w:t xml:space="preserve"> </w:t>
            </w:r>
            <w:r>
              <w:rPr>
                <w:rStyle w:val="VerbatimChar"/>
              </w:rPr>
              <w:t xml:space="preserve">login.microsoftonline.com</w:t>
            </w:r>
            <w:r>
              <w:t xml:space="preserve">, response</w:t>
            </w:r>
            <w:r>
              <w:t xml:space="preserve"> </w:t>
            </w:r>
            <w:r>
              <w:rPr>
                <w:rStyle w:val="VerbatimChar"/>
              </w:rPr>
              <w:t xml:space="preserve">ErrorCode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 Z: \\&lt;sa&gt;...\labshare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→ NTFS)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completed successfully</w:t>
            </w:r>
          </w:p>
        </w:tc>
      </w:tr>
    </w:tbl>
    <w:p>
      <w:pPr>
        <w:pStyle w:val="BodyText"/>
      </w:pPr>
      <w:r>
        <w:t xml:space="preserve">The single most useful habit:</w:t>
      </w:r>
      <w:r>
        <w:t xml:space="preserve"> </w:t>
      </w:r>
      <w:r>
        <w:rPr>
          <w:b/>
        </w:rPr>
        <w:t xml:space="preserve">where does the chain first break?</w:t>
      </w:r>
      <w:r>
        <w:t xml:space="preserve"> </w:t>
      </w:r>
      <w:r>
        <w:t xml:space="preserve">A missing</w:t>
      </w:r>
      <w:r>
        <w:t xml:space="preserve"> </w:t>
      </w:r>
      <w:r>
        <w:t xml:space="preserve">step 4 with a healthy step 3 is a different problem from a missing step 3.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prerequisites"/>
      <w:r>
        <w:t xml:space="preserve">Prerequisites</w:t>
      </w:r>
      <w:bookmarkEnd w:id="23"/>
    </w:p>
    <w:p>
      <w:pPr>
        <w:pStyle w:val="FirstParagraph"/>
      </w:pPr>
      <w:r>
        <w:t xml:space="preserve">Beyond your Session 1 subscription: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 dev/trial Entra tenant (not corporate prod).</w:t>
      </w:r>
      <w:r>
        <w:t xml:space="preserve"> </w:t>
      </w:r>
      <w:r>
        <w:t xml:space="preserve">Least-privilege alternative:</w:t>
      </w:r>
      <w:r>
        <w:t xml:space="preserve"> </w:t>
      </w:r>
      <w:r>
        <w:rPr>
          <w:b/>
        </w:rPr>
        <w:t xml:space="preserve">Hybrid Identity Administrator</w:t>
      </w:r>
      <w:r>
        <w:t xml:space="preserve"> </w:t>
      </w:r>
      <w:r>
        <w:t xml:space="preserve">(Cloud Sync) +</w:t>
      </w:r>
      <w:r>
        <w:t xml:space="preserve"> </w:t>
      </w:r>
      <w:r>
        <w:rPr>
          <w:b/>
        </w:rPr>
        <w:t xml:space="preserve">Cloud Application Administrator</w:t>
      </w:r>
      <w:r>
        <w:t xml:space="preserve"> </w:t>
      </w:r>
      <w:r>
        <w:t xml:space="preserve">(admin consent).</w:t>
      </w:r>
    </w:p>
    <w:p>
      <w:pPr>
        <w:numPr>
          <w:ilvl w:val="0"/>
          <w:numId w:val="1001"/>
        </w:numPr>
        <w:pStyle w:val="Compact"/>
      </w:pPr>
      <w:r>
        <w:t xml:space="preserve">Where you run the Azure/Graph commands: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Az and Microsoft.Graph preinstalled.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Az, Microsoft.Graph -Scope CurrentUser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 </w:t>
      </w:r>
      <w:r>
        <w:t xml:space="preserve">on your Azure VPN for the in-VM steps.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restrictive App Management Policy in the tenant.</w:t>
      </w:r>
      <w:r>
        <w:t xml:space="preserve"> </w:t>
      </w:r>
      <w:r>
        <w:t xml:space="preserve">Enabling Entra Kerberos</w:t>
      </w:r>
      <w:r>
        <w:t xml:space="preserve"> </w:t>
      </w:r>
      <w:r>
        <w:t xml:space="preserve">adds a symmetric key to an auto-created app; a tenant policy blocking</w:t>
      </w:r>
      <w:r>
        <w:t xml:space="preserve"> </w:t>
      </w:r>
      <w:r>
        <w:t xml:space="preserve">password-credential addition fails it with</w:t>
      </w:r>
      <w:r>
        <w:t xml:space="preserve"> </w:t>
      </w:r>
      <w:r>
        <w:rPr>
          <w:rStyle w:val="VerbatimChar"/>
        </w:rPr>
        <w:t xml:space="preserve">AadCredentialDisallowedByAppManagementPolicy</w:t>
      </w:r>
      <w:r>
        <w:t xml:space="preserve">. This is the main reason the lab</w:t>
      </w:r>
      <w:r>
        <w:t xml:space="preserve"> </w:t>
      </w:r>
      <w:r>
        <w:t xml:space="preserve">wants a</w:t>
      </w:r>
      <w:r>
        <w:t xml:space="preserve"> </w:t>
      </w:r>
      <w:r>
        <w:rPr>
          <w:b/>
        </w:rPr>
        <w:t xml:space="preserve">dev/trial tenant</w:t>
      </w:r>
      <w:r>
        <w:t xml:space="preserve">. A Global Admin can grant an 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</w:t>
      </w:r>
      <w:r>
        <w:t xml:space="preserve"> </w:t>
      </w:r>
      <w:r>
        <w:t xml:space="preserve">at</w:t>
      </w:r>
      <w:r>
        <w:t xml:space="preserve"> </w:t>
      </w:r>
      <w:hyperlink r:id="rId24">
        <w:r>
          <w:rPr>
            <w:rStyle w:val="Hyperlink"/>
          </w:rPr>
          <w:t xml:space="preserve">https://aka.ms/app-mgmt-policy-ux</w:t>
        </w:r>
      </w:hyperlink>
      <w:r>
        <w:t xml:space="preserve">.</w:t>
      </w:r>
    </w:p>
    <w:p>
      <w:pPr>
        <w:pStyle w:val="BlockText"/>
      </w:pPr>
      <w:r>
        <w:rPr>
          <w:b/>
        </w:rPr>
        <w:t xml:space="preserve">Scope note — cloud-only identities.</w:t>
      </w:r>
      <w:r>
        <w:t xml:space="preserve"> </w:t>
      </w:r>
      <w:r>
        <w:t xml:space="preserve">This lab uses</w:t>
      </w:r>
      <w:r>
        <w:t xml:space="preserve"> </w:t>
      </w:r>
      <w:r>
        <w:rPr>
          <w:b/>
        </w:rPr>
        <w:t xml:space="preserve">hybrid</w:t>
      </w:r>
      <w:r>
        <w:t xml:space="preserve"> </w:t>
      </w:r>
      <w:r>
        <w:t xml:space="preserve">identities</w:t>
      </w:r>
      <w:r>
        <w:t xml:space="preserve"> </w:t>
      </w:r>
      <w:r>
        <w:t xml:space="preserve">(AD users synced to Entra), the GA path. Entra Kerberos</w:t>
      </w:r>
      <w:r>
        <w:t xml:space="preserve"> </w:t>
      </w:r>
      <w:r>
        <w:rPr>
          <w:i/>
        </w:rPr>
        <w:t xml:space="preserve">also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cloud-only (Entra-only)</w:t>
      </w:r>
      <w:r>
        <w:t xml:space="preserve"> </w:t>
      </w:r>
      <w:r>
        <w:t xml:space="preserve">identities in</w:t>
      </w:r>
      <w:r>
        <w:t xml:space="preserve"> </w:t>
      </w:r>
      <w:r>
        <w:rPr>
          <w:b/>
        </w:rPr>
        <w:t xml:space="preserve">preview</w:t>
      </w:r>
      <w:r>
        <w:t xml:space="preserve"> </w:t>
      </w:r>
      <w:r>
        <w:t xml:space="preserve">— a separate enablement</w:t>
      </w:r>
      <w:r>
        <w:t xml:space="preserve"> </w:t>
      </w:r>
      <w:r>
        <w:t xml:space="preserve">path with no AD DS at all. Out of scope here, but know it exists: a customer</w:t>
      </w:r>
      <w:r>
        <w:t xml:space="preserve"> </w:t>
      </w:r>
      <w:r>
        <w:t xml:space="preserve">with no on-prem AD is not automatically unsupported. (Azure blog:</w:t>
      </w:r>
      <w:r>
        <w:t xml:space="preserve"> </w:t>
      </w:r>
      <w:r>
        <w:t xml:space="preserve">“</w:t>
      </w:r>
      <w:r>
        <w:t xml:space="preserve">Azure Files</w:t>
      </w:r>
      <w:r>
        <w:t xml:space="preserve"> </w:t>
      </w:r>
      <w:r>
        <w:t xml:space="preserve">Entra-Only identities.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X2f814ea46b603e5a482b9a31d3a510b75a6ecab"/>
      <w:r>
        <w:t xml:space="preserve">Lab 0 · Redeploy Session 1 (do this BEFORE the session)</w:t>
      </w:r>
      <w:bookmarkEnd w:id="25"/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if you don't have 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IPs.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Xf8c30a9b6599b9fc0a0af9cca86e936cb661733"/>
      <w:r>
        <w:t xml:space="preserve">Lab 1 · Enable Entra Kerberos + sync a hybrid identity</w:t>
      </w:r>
      <w:bookmarkEnd w:id="26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../session2-entra-kerberos</w:t>
      </w:r>
      <w:r>
        <w:br/>
      </w:r>
      <w:r>
        <w:rPr>
          <w:rStyle w:val="NormalTok"/>
        </w:rPr>
        <w:t xml:space="preserve">./setup.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</w:t>
      </w:r>
    </w:p>
    <w:p>
      <w:pPr>
        <w:pStyle w:val="FirstParagraph"/>
      </w:pPr>
      <w:r>
        <w:rPr>
          <w:rStyle w:val="VerbatimChar"/>
        </w:rPr>
        <w:t xml:space="preserve">setup.ps1</w:t>
      </w:r>
      <w:r>
        <w:t xml:space="preserve"> </w:t>
      </w:r>
      <w:r>
        <w:t xml:space="preserve">disables the Session 1 AD DS auth (a storage account has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identity source at a time), enables Entra Kerberos (AADKERB), grants admin</w:t>
      </w:r>
      <w:r>
        <w:t xml:space="preserve"> </w:t>
      </w:r>
      <w:r>
        <w:t xml:space="preserve">consent to the storage account’s app, writes the hybrid-join SCP, installs</w:t>
      </w:r>
      <w:r>
        <w:t xml:space="preserve"> </w:t>
      </w:r>
      <w:r>
        <w:t xml:space="preserve">Fiddler + the Kerberos.NET extension on the client, and reboots it.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</w:rPr>
        <w:t xml:space="preserve">one interactive step</w:t>
      </w:r>
      <w:r>
        <w:t xml:space="preserve"> </w:t>
      </w:r>
      <w:r>
        <w:t xml:space="preserve">(~10 min, Global Admin) — follow</w:t>
      </w:r>
      <w:r>
        <w:t xml:space="preserve"> </w:t>
      </w:r>
      <w:r>
        <w:rPr>
          <w:b/>
        </w:rPr>
        <w:t xml:space="preserve">MANUAL-STEP-cloud-sync.md</w:t>
      </w:r>
      <w:r>
        <w:t xml:space="preserve">: install the Entra provisioning agent on the DC,</w:t>
      </w:r>
      <w:r>
        <w:t xml:space="preserve"> </w:t>
      </w:r>
      <w:r>
        <w:t xml:space="preserve">create a Cloud Sync config scoped to</w:t>
      </w:r>
      <w:r>
        <w:t xml:space="preserve"> </w:t>
      </w:r>
      <w:r>
        <w:rPr>
          <w:rStyle w:val="VerbatimChar"/>
        </w:rPr>
        <w:t xml:space="preserve">OU=AzureFilesLab</w:t>
      </w:r>
      <w:r>
        <w:t xml:space="preserve">, and wait until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On-premises sync enabled = Yes</w:t>
      </w:r>
      <w:r>
        <w:t xml:space="preserve">.</w:t>
      </w:r>
    </w:p>
    <w:p>
      <w:pPr>
        <w:pStyle w:val="BodyText"/>
      </w:pPr>
      <w:r>
        <w:rPr>
          <w:b/>
        </w:rPr>
        <w:t xml:space="preserve">Why the sync matters:</w:t>
      </w:r>
      <w:r>
        <w:t xml:space="preserve"> </w:t>
      </w:r>
      <w:r>
        <w:t xml:space="preserve">Entra Kerberos issues a ticket only to an identity that</w:t>
      </w:r>
      <w:r>
        <w:t xml:space="preserve"> </w:t>
      </w:r>
      <w:r>
        <w:t xml:space="preserve">exists in Entra.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lives in AD; Cloud Sync gives it an Entra twin. This</w:t>
      </w:r>
      <w:r>
        <w:t xml:space="preserve"> </w:t>
      </w:r>
      <w:r>
        <w:t xml:space="preserve">is the arrow labelled</w:t>
      </w:r>
      <w:r>
        <w:t xml:space="preserve"> </w:t>
      </w:r>
      <w:r>
        <w:rPr>
          <w:i/>
        </w:rPr>
        <w:t xml:space="preserve">hybrid identity</w:t>
      </w:r>
      <w:r>
        <w:t xml:space="preserve"> </w:t>
      </w:r>
      <w:r>
        <w:t xml:space="preserve">in the flow.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Xf1ae331dd9677b6405470cde49ae1c01947b371"/>
      <w:r>
        <w:t xml:space="preserve">Lab A · Build the known-good evidence chain (the baseline)</w:t>
      </w:r>
      <w:bookmarkEnd w:id="27"/>
    </w:p>
    <w:p>
      <w:pPr>
        <w:pStyle w:val="FirstParagraph"/>
      </w:pPr>
      <w:r>
        <w:t xml:space="preserve">Sign in fresh on the Client VM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then walk the whole chain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record each healthy signature</w:t>
      </w:r>
      <w:r>
        <w:t xml:space="preserve"> </w:t>
      </w:r>
      <w:r>
        <w:t xml:space="preserve">— this is your reference for every fault</w:t>
      </w:r>
      <w:r>
        <w:t xml:space="preserve"> </w:t>
      </w:r>
      <w:r>
        <w:t xml:space="preserve">that follows. Spend real time here; the diagnosis labs are just deltas from it.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klist get krbtgt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Confirm each against the table above. Two details worth pointing out on screen:</w:t>
      </w:r>
    </w:p>
    <w:p>
      <w:pPr>
        <w:numPr>
          <w:ilvl w:val="0"/>
          <w:numId w:val="1003"/>
        </w:numPr>
        <w:pStyle w:val="Compact"/>
      </w:pPr>
      <w:r>
        <w:t xml:space="preserve">the cloud TGT (</w:t>
      </w:r>
      <w:r>
        <w:rPr>
          <w:rStyle w:val="VerbatimChar"/>
        </w:rPr>
        <w:t xml:space="preserve">krbtgt/KERBEROS.MICROSOFTONLINE.COM</w:t>
      </w:r>
      <w:r>
        <w:t xml:space="preserve">) shows</w:t>
      </w:r>
      <w:r>
        <w:t xml:space="preserve"> </w:t>
      </w:r>
      <w:r>
        <w:rPr>
          <w:rStyle w:val="VerbatimChar"/>
        </w:rPr>
        <w:t xml:space="preserve">Kdc Called: TicketSuppliedAtLogon</w:t>
      </w:r>
      <w:r>
        <w:t xml:space="preserve"> </w:t>
      </w:r>
      <w:r>
        <w:t xml:space="preserve">and etype</w:t>
      </w:r>
      <w:r>
        <w:t xml:space="preserve"> </w:t>
      </w:r>
      <w:r>
        <w:rPr>
          <w:rStyle w:val="VerbatimChar"/>
        </w:rPr>
        <w:t xml:space="preserve">Unknown (-1)</w:t>
      </w:r>
      <w:r>
        <w:t xml:space="preserve"> </w:t>
      </w:r>
      <w:r>
        <w:t xml:space="preserve">— it was handed to</w:t>
      </w:r>
      <w:r>
        <w:t xml:space="preserve"> </w:t>
      </w:r>
      <w:r>
        <w:t xml:space="preserve">you at logon via the PRT, not fetched on demand.</w:t>
      </w:r>
    </w:p>
    <w:p>
      <w:pPr>
        <w:numPr>
          <w:ilvl w:val="0"/>
          <w:numId w:val="1003"/>
        </w:numPr>
        <w:pStyle w:val="Compact"/>
      </w:pPr>
      <w:r>
        <w:t xml:space="preserve">the service ticket shows</w:t>
      </w:r>
      <w:r>
        <w:t xml:space="preserve"> </w:t>
      </w:r>
      <w:r>
        <w:rPr>
          <w:rStyle w:val="VerbatimChar"/>
        </w:rPr>
        <w:t xml:space="preserve">Kdc Called: KdcProxy:login.microsoftonline.com</w:t>
      </w:r>
      <w:r>
        <w:t xml:space="preserve"> </w:t>
      </w:r>
      <w:r>
        <w:t xml:space="preserve">—</w:t>
      </w:r>
      <w:r>
        <w:t xml:space="preserve"> </w:t>
      </w:r>
      <w:r>
        <w:t xml:space="preserve">proof the KDC was reached over HTTPS, not port 88.</w:t>
      </w:r>
    </w:p>
    <w:p>
      <w:pPr>
        <w:pStyle w:val="FirstParagraph"/>
      </w:pPr>
      <w:r>
        <w:rPr>
          <w:b/>
        </w:rPr>
        <w:t xml:space="preserve">Now see the KDC Proxy exchange itself.</w:t>
      </w:r>
      <w:r>
        <w:t xml:space="preserve"> </w:t>
      </w:r>
      <w:r>
        <w:t xml:space="preserve">Wireshark/netsh only show encrypted</w:t>
      </w:r>
      <w:r>
        <w:t xml:space="preserve"> </w:t>
      </w:r>
      <w:r>
        <w:t xml:space="preserve">TCP here — the whole point of KDC Proxy. Use Fiddler:</w:t>
      </w:r>
    </w:p>
    <w:p>
      <w:pPr>
        <w:numPr>
          <w:ilvl w:val="0"/>
          <w:numId w:val="1004"/>
        </w:numPr>
        <w:pStyle w:val="Compact"/>
      </w:pPr>
      <w:r>
        <w:t xml:space="preserve">Run</w:t>
      </w:r>
      <w:r>
        <w:t xml:space="preserve"> </w:t>
      </w:r>
      <w:r>
        <w:rPr>
          <w:b/>
        </w:rPr>
        <w:t xml:space="preserve">Fiddler</w:t>
      </w:r>
      <w:r>
        <w:t xml:space="preserve"> </w:t>
      </w:r>
      <w:r>
        <w:t xml:space="preserve">(elevated). Tools → Options →</w:t>
      </w:r>
      <w:r>
        <w:t xml:space="preserve"> </w:t>
      </w:r>
      <w:r>
        <w:rPr>
          <w:b/>
        </w:rPr>
        <w:t xml:space="preserve">Decrypt HTTPS traffic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Ignore server certificate errors</w:t>
      </w:r>
      <w:r>
        <w:t xml:space="preserve">; accept the cert prompts; restart if this</w:t>
      </w:r>
      <w:r>
        <w:t xml:space="preserve"> </w:t>
      </w:r>
      <w:r>
        <w:t xml:space="preserve">is the first run.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klist purge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Find the request to</w:t>
      </w:r>
      <w:r>
        <w:t xml:space="preserve"> </w:t>
      </w:r>
      <w:r>
        <w:rPr>
          <w:b/>
        </w:rPr>
        <w:t xml:space="preserve">login.microsoftonline.com</w:t>
      </w:r>
      <w:r>
        <w:t xml:space="preserve">; open the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</w:t>
      </w:r>
      <w:r>
        <w:t xml:space="preserve"> </w:t>
      </w:r>
      <w:r>
        <w:t xml:space="preserve">to read the request/response. In a healthy run the response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is 0.</w:t>
      </w:r>
    </w:p>
    <w:p>
      <w:pPr>
        <w:pStyle w:val="FirstParagraph"/>
      </w:pPr>
      <w:r>
        <w:t xml:space="preserve">Screenshot the healthy Fiddler response — you’ll compare the capstone’s failing</w:t>
      </w:r>
      <w:r>
        <w:t xml:space="preserve"> </w:t>
      </w:r>
      <w:r>
        <w:t xml:space="preserve">one against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Xbe64792e421f5f1abbce88d8fd5bfea6e073a75"/>
      <w:r>
        <w:t xml:space="preserve">Lab B · A registry value that reads healthy but isn’t (policy precedence)</w:t>
      </w:r>
      <w:bookmarkEnd w:id="28"/>
    </w:p>
    <w:p>
      <w:pPr>
        <w:pStyle w:val="FirstParagraph"/>
      </w:pPr>
      <w:r>
        <w:t xml:space="preserve">The most instructive Entra Kerberos trap: the setting</w:t>
      </w:r>
      <w:r>
        <w:t xml:space="preserve"> </w:t>
      </w:r>
      <w:r>
        <w:rPr>
          <w:i/>
        </w:rPr>
        <w:t xml:space="preserve">looks</w:t>
      </w:r>
      <w:r>
        <w:t xml:space="preserve"> </w:t>
      </w:r>
      <w:r>
        <w:t xml:space="preserve">correct in the</w:t>
      </w:r>
      <w:r>
        <w:t xml:space="preserve"> </w:t>
      </w:r>
      <w:r>
        <w:t xml:space="preserve">obvious place, yet the effective value is off.</w:t>
      </w:r>
    </w:p>
    <w:p>
      <w:pPr>
        <w:pStyle w:val="BodyText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— sign out and back in (the policy applies at logon), then run the</w:t>
      </w:r>
      <w:r>
        <w:t xml:space="preserve"> </w:t>
      </w:r>
      <w:r>
        <w:t xml:space="preserve">chain from step 2.</w:t>
      </w:r>
    </w:p>
    <w:p>
      <w:pPr>
        <w:pStyle w:val="BodyText"/>
      </w:pPr>
      <w:r>
        <w:rPr>
          <w:b/>
        </w:rPr>
        <w:t xml:space="preserve">Diagnose — and notice the contradiction:</w:t>
      </w:r>
    </w:p>
    <w:p>
      <w:pPr>
        <w:pStyle w:val="SourceCode"/>
      </w:pPr>
      <w:r>
        <w:rPr>
          <w:rStyle w:val="VerbatimChar"/>
        </w:rPr>
        <w:t xml:space="preserve"># 1) The "obvious" location looks fine:</w:t>
      </w:r>
      <w:r>
        <w:br/>
      </w: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0x1     &lt;- says enabled!</w:t>
      </w:r>
      <w:r>
        <w:br/>
      </w:r>
      <w:r>
        <w:br/>
      </w:r>
      <w:r>
        <w:rPr>
          <w:rStyle w:val="VerbatimChar"/>
        </w:rPr>
        <w:t xml:space="preserve"># 2) But the EFFECTIVE value disagrees: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    Cloud Kerberos ticket retrieval enabled by policy: false        &lt;- reality</w:t>
      </w:r>
      <w:r>
        <w:br/>
      </w:r>
      <w:r>
        <w:br/>
      </w:r>
      <w:r>
        <w:rPr>
          <w:rStyle w:val="VerbatimChar"/>
        </w:rPr>
        <w:t xml:space="preserve"># 3) Find who wins:</w:t>
      </w:r>
      <w:r>
        <w:br/>
      </w:r>
      <w:r>
        <w:rPr>
          <w:rStyle w:val="VerbatimChar"/>
        </w:rPr>
        <w:t xml:space="preserve">reg query "HKLM\SOFTWARE\Microsoft\Windows\CurrentVersion\Policies\System\Kerberos\Parameters"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0x0     &lt;- the policy path</w:t>
      </w:r>
    </w:p>
    <w:p>
      <w:pPr>
        <w:pStyle w:val="FirstParagraph"/>
      </w:pPr>
      <w:r>
        <w:rPr>
          <w:b/>
        </w:rPr>
        <w:t xml:space="preserve">The rule:</w:t>
      </w:r>
      <w:r>
        <w:t xml:space="preserve"> </w:t>
      </w:r>
      <w:r>
        <w:t xml:space="preserve">Windows reads the</w:t>
      </w:r>
      <w:r>
        <w:t xml:space="preserve"> </w:t>
      </w:r>
      <w:r>
        <w:rPr>
          <w:b/>
        </w:rPr>
        <w:t xml:space="preserve">Policies</w:t>
      </w:r>
      <w:r>
        <w:t xml:space="preserve"> </w:t>
      </w:r>
      <w:r>
        <w:t xml:space="preserve">path (what an</w:t>
      </w:r>
      <w:r>
        <w:t xml:space="preserve"> </w:t>
      </w:r>
      <w:r>
        <w:rPr>
          <w:b/>
        </w:rPr>
        <w:t xml:space="preserve">Intune CSP</w:t>
      </w:r>
      <w:r>
        <w:t xml:space="preserve"> </w:t>
      </w:r>
      <w:r>
        <w:t xml:space="preserve">writes)</w:t>
      </w:r>
      <w:r>
        <w:t xml:space="preserve"> </w:t>
      </w:r>
      <w:r>
        <w:rPr>
          <w:b/>
        </w:rPr>
        <w:t xml:space="preserve">first</w:t>
      </w:r>
      <w:r>
        <w:t xml:space="preserve">, and only falls back to the</w:t>
      </w:r>
      <w:r>
        <w:t xml:space="preserve"> </w:t>
      </w:r>
      <w:r>
        <w:rPr>
          <w:b/>
        </w:rPr>
        <w:t xml:space="preserve">LSA</w:t>
      </w:r>
      <w:r>
        <w:t xml:space="preserve"> </w:t>
      </w:r>
      <w:r>
        <w:t xml:space="preserve">path if it’s unset. So on an</w:t>
      </w:r>
      <w:r>
        <w:t xml:space="preserve"> </w:t>
      </w:r>
      <w:r>
        <w:t xml:space="preserve">Intune-managed device a local</w:t>
      </w:r>
      <w:r>
        <w:t xml:space="preserve"> </w:t>
      </w:r>
      <w:r>
        <w:rPr>
          <w:rStyle w:val="VerbatimChar"/>
        </w:rPr>
        <w:t xml:space="preserve">reg add</w:t>
      </w:r>
      <w:r>
        <w:t xml:space="preserve"> </w:t>
      </w:r>
      <w:r>
        <w:t xml:space="preserve">to the LSA path</w:t>
      </w:r>
      <w:r>
        <w:t xml:space="preserve"> </w:t>
      </w:r>
      <w:r>
        <w:t xml:space="preserve">“</w:t>
      </w:r>
      <w:r>
        <w:t xml:space="preserve">does nothing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policy silently wins.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is the arbiter: it reports the</w:t>
      </w:r>
      <w:r>
        <w:t xml:space="preserve"> </w:t>
      </w:r>
      <w:r>
        <w:rPr>
          <w:i/>
        </w:rPr>
        <w:t xml:space="preserve">effective</w:t>
      </w:r>
      <w:r>
        <w:t xml:space="preserve"> </w:t>
      </w:r>
      <w:r>
        <w:t xml:space="preserve">value, so trust it over any single registry read.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then sign out/in and re-walk the chain.</w:t>
      </w:r>
    </w:p>
    <w:p>
      <w:pPr>
        <w:pStyle w:val="BodyText"/>
      </w:pPr>
      <w:r>
        <w:rPr>
          <w:b/>
        </w:rPr>
        <w:t xml:space="preserve">Field takeaway:</w:t>
      </w:r>
      <w:r>
        <w:t xml:space="preserve"> </w:t>
      </w:r>
      <w:r>
        <w:t xml:space="preserve">“</w:t>
      </w:r>
      <w:r>
        <w:t xml:space="preserve">the registry is set correctly but it still fails</w:t>
      </w:r>
      <w:r>
        <w:t xml:space="preserve">”</w:t>
      </w:r>
      <w:r>
        <w:t xml:space="preserve"> </w:t>
      </w:r>
      <w:r>
        <w:t xml:space="preserve">almost</w:t>
      </w:r>
      <w:r>
        <w:t xml:space="preserve"> </w:t>
      </w:r>
      <w:r>
        <w:t xml:space="preserve">always means a higher-precedence policy source. Check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and</w:t>
      </w:r>
      <w:r>
        <w:t xml:space="preserve"> </w:t>
      </w:r>
      <w:r>
        <w:t xml:space="preserve">both paths before touching anything.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Xda7060a29cdd14cb79fcd234840234f4a3bc484"/>
      <w:r>
        <w:t xml:space="preserve">Lab C · When the diagnostic tool causes the outage (KDC Proxy path)</w:t>
      </w:r>
      <w:bookmarkEnd w:id="29"/>
    </w:p>
    <w:p>
      <w:pPr>
        <w:pStyle w:val="FirstParagraph"/>
      </w:pPr>
      <w:r>
        <w:t xml:space="preserve">Entra Kerberos rides over HTTPS, which means the machine’s</w:t>
      </w:r>
      <w:r>
        <w:t xml:space="preserve"> </w:t>
      </w:r>
      <w:r>
        <w:rPr>
          <w:b/>
        </w:rPr>
        <w:t xml:space="preserve">proxy stack is now</w:t>
      </w:r>
      <w:r>
        <w:rPr>
          <w:b/>
        </w:rPr>
        <w:t xml:space="preserve"> </w:t>
      </w:r>
      <w:r>
        <w:rPr>
          <w:b/>
        </w:rPr>
        <w:t xml:space="preserve">part of the authentication path</w:t>
      </w:r>
      <w:r>
        <w:t xml:space="preserve"> </w:t>
      </w:r>
      <w:r>
        <w:t xml:space="preserve">— something that never mattered with AD DS</w:t>
      </w:r>
      <w:r>
        <w:t xml:space="preserve"> </w:t>
      </w:r>
      <w:r>
        <w:t xml:space="preserve">Kerberos on port 88. Fiddler is notorious for leaving a proxy pointed at</w:t>
      </w:r>
      <w:r>
        <w:t xml:space="preserve"> </w:t>
      </w:r>
      <w:r>
        <w:rPr>
          <w:rStyle w:val="VerbatimChar"/>
        </w:rPr>
        <w:t xml:space="preserve">127.0.0.1:8888</w:t>
      </w:r>
      <w:r>
        <w:t xml:space="preserve"> </w:t>
      </w:r>
      <w:r>
        <w:t xml:space="preserve">when it exits uncleanly. This lab reproduces that residue.</w:t>
      </w:r>
    </w:p>
    <w:p>
      <w:pPr>
        <w:pStyle w:val="BodyText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ProxyMangled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VM, as the lab user):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    Error calling API LsaCallAuthenticationPackage (GetTicket substatus): 0x51f</w:t>
      </w:r>
      <w:r>
        <w:br/>
      </w:r>
      <w:r>
        <w:rPr>
          <w:rStyle w:val="VerbatimChar"/>
        </w:rPr>
        <w:t xml:space="preserve">    klist failed with 0xc000005e/-1073741730</w:t>
      </w:r>
    </w:p>
    <w:p>
      <w:pPr>
        <w:pStyle w:val="FirstParagraph"/>
      </w:pPr>
      <w:r>
        <w:rPr>
          <w:b/>
        </w:rPr>
        <w:t xml:space="preserve">Diagnose — 30 seconds:</w:t>
      </w:r>
    </w:p>
    <w:p>
      <w:pPr>
        <w:pStyle w:val="SourceCode"/>
      </w:pPr>
      <w:r>
        <w:rPr>
          <w:rStyle w:val="VerbatimChar"/>
        </w:rPr>
        <w:t xml:space="preserve">netsh winhttp show proxy</w:t>
      </w:r>
      <w:r>
        <w:br/>
      </w:r>
      <w:r>
        <w:rPr>
          <w:rStyle w:val="VerbatimChar"/>
        </w:rPr>
        <w:t xml:space="preserve">    Proxy Server(s) :  127.0.0.1:8888        &lt;- nothing is listening there</w:t>
      </w:r>
    </w:p>
    <w:p>
      <w:pPr>
        <w:pStyle w:val="FirstParagraph"/>
      </w:pPr>
      <w:r>
        <w:rPr>
          <w:b/>
        </w:rPr>
        <w:t xml:space="preserve">The tell that isolates it:</w:t>
      </w:r>
      <w:r>
        <w:t xml:space="preserve"> </w:t>
      </w:r>
      <w:r>
        <w:rPr>
          <w:i/>
        </w:rPr>
        <w:t xml:space="preserve">only the cloud path breaks.</w:t>
      </w:r>
      <w:r>
        <w:t xml:space="preserve"> </w:t>
      </w:r>
      <w:r>
        <w:t xml:space="preserve">An AD DS mount (port</w:t>
      </w:r>
      <w:r>
        <w:t xml:space="preserve"> </w:t>
      </w:r>
      <w:r>
        <w:t xml:space="preserve">88/445) from the same machine would still work — because it doesn’t traverse the</w:t>
      </w:r>
      <w:r>
        <w:t xml:space="preserve"> </w:t>
      </w:r>
      <w:r>
        <w:t xml:space="preserve">HTTP proxy. So</w:t>
      </w:r>
      <w:r>
        <w:t xml:space="preserve"> </w:t>
      </w:r>
      <w:r>
        <w:t xml:space="preserve">“</w:t>
      </w:r>
      <w:r>
        <w:t xml:space="preserve">Windows auth to on-prem works, Entra Kerberos to Azure Files</w:t>
      </w:r>
      <w:r>
        <w:t xml:space="preserve"> </w:t>
      </w:r>
      <w:r>
        <w:t xml:space="preserve">fails, on one machine</w:t>
      </w:r>
      <w:r>
        <w:t xml:space="preserve">”</w:t>
      </w:r>
      <w:r>
        <w:t xml:space="preserve"> </w:t>
      </w:r>
      <w:r>
        <w:t xml:space="preserve">points straight at the proxy stack.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ProxyMangled -Repair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netsh winhttp reset proxy</w:t>
      </w:r>
      <w:r>
        <w:t xml:space="preserve">, resets</w:t>
      </w:r>
      <w:r>
        <w:t xml:space="preserve"> </w:t>
      </w:r>
      <w:r>
        <w:t xml:space="preserve">autoproxy, and clears the</w:t>
      </w:r>
      <w:r>
        <w:t xml:space="preserve"> </w:t>
      </w:r>
      <w:r>
        <w:rPr>
          <w:rStyle w:val="VerbatimChar"/>
        </w:rPr>
        <w:t xml:space="preserve">iphlpsvc\ProxyMgr</w:t>
      </w:r>
      <w:r>
        <w:t xml:space="preserve"> </w:t>
      </w:r>
      <w:r>
        <w:rPr>
          <w:rStyle w:val="VerbatimChar"/>
        </w:rPr>
        <w:t xml:space="preserve">:8888</w:t>
      </w:r>
      <w:r>
        <w:t xml:space="preserve"> </w:t>
      </w:r>
      <w:r>
        <w:t xml:space="preserve">leftovers per the Fiddler</w:t>
      </w:r>
      <w:r>
        <w:t xml:space="preserve"> </w:t>
      </w:r>
      <w:r>
        <w:t xml:space="preserve">TSG), then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retry.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X62e143c4974cf11cd6dd7ed044dbf4032eb39ef"/>
      <w:r>
        <w:t xml:space="preserve">Lab D · Three doors that all say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(explicit authorization)</w:t>
      </w:r>
      <w:bookmarkEnd w:id="30"/>
    </w:p>
    <w:p>
      <w:pPr>
        <w:pStyle w:val="FirstParagraph"/>
      </w:pPr>
      <w:r>
        <w:t xml:space="preserve">Session 1 used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so</w:t>
      </w:r>
      <w:r>
        <w:t xml:space="preserve"> </w:t>
      </w:r>
      <w:r>
        <w:rPr>
          <w:i/>
        </w:rPr>
        <w:t xml:space="preserve">everyone</w:t>
      </w:r>
      <w:r>
        <w:t xml:space="preserve"> </w:t>
      </w:r>
      <w:r>
        <w:t xml:space="preserve">who authenticated got</w:t>
      </w:r>
      <w:r>
        <w:t xml:space="preserve"> </w:t>
      </w:r>
      <w:r>
        <w:t xml:space="preserve">Contributor. Now that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is a real synced Entra identity, we can do</w:t>
      </w:r>
      <w:r>
        <w:t xml:space="preserve"> </w:t>
      </w:r>
      <w:r>
        <w:t xml:space="preserve">authorization properly — and see how three different layers produce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error text.</w:t>
      </w:r>
    </w:p>
    <w:p>
      <w:pPr>
        <w:pStyle w:val="BodyText"/>
      </w:pPr>
      <w:r>
        <w:rPr>
          <w:b/>
        </w:rPr>
        <w:t xml:space="preserve">Set the baseline — remove the blanket permission, grant the user explicitly:</w:t>
      </w:r>
    </w:p>
    <w:p>
      <w:pPr>
        <w:pStyle w:val="SourceCode"/>
      </w:pPr>
      <w:r>
        <w:rPr>
          <w:rStyle w:val="CommentTok"/>
        </w:rPr>
        <w:t xml:space="preserve"># Remove the "everyone" default so the layers below actually gate access</w:t>
      </w:r>
      <w:r>
        <w:br/>
      </w:r>
      <w:r>
        <w:rPr>
          <w:rStyle w:val="NormalTok"/>
        </w:rPr>
        <w:t xml:space="preserve">Set-AzStorageAccount -ResourceGroupName azfiles-lab -Name &lt;sa&gt; -DefaultSharePermission None</w:t>
      </w:r>
      <w:r>
        <w:br/>
      </w:r>
      <w:r>
        <w:br/>
      </w:r>
      <w:r>
        <w:rPr>
          <w:rStyle w:val="CommentTok"/>
        </w:rPr>
        <w:t xml:space="preserve"># Grant labuser1 (its Entra object) the share-level RBAC role</w:t>
      </w:r>
      <w:r>
        <w:br/>
      </w:r>
      <w:r>
        <w:rPr>
          <w:rStyle w:val="VariableTok"/>
        </w:rPr>
        <w:t xml:space="preserve">$uid</w:t>
      </w:r>
      <w:r>
        <w:rPr>
          <w:rStyle w:val="NormalTok"/>
        </w:rPr>
        <w:t xml:space="preserve"> = (Get-MgUser -Filter </w:t>
      </w:r>
      <w:r>
        <w:rPr>
          <w:rStyle w:val="StringTok"/>
        </w:rPr>
        <w:t xml:space="preserve">"startsWith(userPrincipalName,'labuser1')"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Id</w:t>
      </w:r>
      <w:r>
        <w:br/>
      </w:r>
      <w:r>
        <w:rPr>
          <w:rStyle w:val="NormalTok"/>
        </w:rPr>
        <w:t xml:space="preserve">New-AzRoleAssignment -ObjectId </w:t>
      </w:r>
      <w:r>
        <w:rPr>
          <w:rStyle w:val="VariableTok"/>
        </w:rPr>
        <w:t xml:space="preserve">$uid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-RoleDefinitionName </w:t>
      </w:r>
      <w:r>
        <w:rPr>
          <w:rStyle w:val="StringTok"/>
        </w:rPr>
        <w:t xml:space="preserve">"Storage File Data SMB Share Contributor"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-Scope (Get-AzStorageAccount -ResourceGroupName azfiles-lab -Name &lt;sa&gt;).</w:t>
      </w:r>
      <w:r>
        <w:rPr>
          <w:rStyle w:val="FunctionTok"/>
        </w:rPr>
        <w:t xml:space="preserve">Id</w:t>
      </w:r>
    </w:p>
    <w:p>
      <w:pPr>
        <w:pStyle w:val="FirstParagraph"/>
      </w:pPr>
      <w:r>
        <w:t xml:space="preserve">Remount as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 It should now work</w:t>
      </w:r>
      <w:r>
        <w:t xml:space="preserve"> </w:t>
      </w:r>
      <w:r>
        <w:rPr>
          <w:b/>
        </w:rPr>
        <w:t xml:space="preserve">through an explicit assignment</w:t>
      </w:r>
      <w:r>
        <w:t xml:space="preserve">, not</w:t>
      </w:r>
      <w:r>
        <w:t xml:space="preserve"> </w:t>
      </w:r>
      <w:r>
        <w:t xml:space="preserve">the default — and this is the moment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finally</w:t>
      </w:r>
      <w:r>
        <w:t xml:space="preserve"> </w:t>
      </w:r>
      <w:r>
        <w:rPr>
          <w:b/>
        </w:rPr>
        <w:t xml:space="preserve">pass</w:t>
      </w:r>
      <w:r>
        <w:t xml:space="preserve"> </w:t>
      </w:r>
      <w:r>
        <w:t xml:space="preserve">(they were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failures in Session 1 by design). Run Debug now and see them flip to</w:t>
      </w:r>
      <w:r>
        <w:t xml:space="preserve"> </w:t>
      </w:r>
      <w:r>
        <w:t xml:space="preserve">Passed — that contrast is the point.</w:t>
      </w:r>
    </w:p>
    <w:p>
      <w:pPr>
        <w:pStyle w:val="BodyText"/>
      </w:pPr>
      <w:r>
        <w:rPr>
          <w:b/>
        </w:rPr>
        <w:t xml:space="preserve">Now walk the three doors.</w:t>
      </w:r>
      <w:r>
        <w:t xml:space="preserve"> </w:t>
      </w:r>
      <w:r>
        <w:t xml:space="preserve">Each of these produces</w:t>
      </w:r>
      <w:r>
        <w:t xml:space="preserve"> </w:t>
      </w:r>
      <w:r>
        <w:t xml:space="preserve">“</w:t>
      </w:r>
      <w:r>
        <w:t xml:space="preserve">Access is denied,</w:t>
      </w:r>
      <w:r>
        <w:t xml:space="preserve">”</w:t>
      </w:r>
      <w:r>
        <w:t xml:space="preserve"> </w:t>
      </w:r>
      <w:r>
        <w:t xml:space="preserve">and only</w:t>
      </w:r>
      <w:r>
        <w:t xml:space="preserve"> </w:t>
      </w:r>
      <w:r>
        <w:t xml:space="preserve">evidence tells them apart: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Distinguishing evidence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Storage firewall / network</w:t>
            </w:r>
          </w:p>
        </w:tc>
        <w:tc>
          <w:p>
            <w:pPr>
              <w:pStyle w:val="Compact"/>
              <w:jc w:val="left"/>
            </w:pPr>
            <w:r>
              <w:t xml:space="preserve">portal: Networking →</w:t>
            </w:r>
            <w:r>
              <w:t xml:space="preserve"> </w:t>
            </w:r>
            <w:r>
              <w:rPr>
                <w:i/>
              </w:rPr>
              <w:t xml:space="preserve">Enabled from selected networks</w:t>
            </w:r>
            <w:r>
              <w:t xml:space="preserve">, don’t add the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</w:t>
            </w:r>
            <w:r>
              <w:t xml:space="preserve"> </w:t>
            </w:r>
            <w:r>
              <w:t xml:space="preserve">times out or</w:t>
            </w:r>
            <w:r>
              <w:t xml:space="preserve"> </w:t>
            </w:r>
            <w:r>
              <w:rPr>
                <w:rStyle w:val="VerbatimChar"/>
              </w:rPr>
              <w:t xml:space="preserve">System error 53/67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Test-NetConnection &lt;sa&gt;.file.core.windows.net -Port 445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Share-level RBAC</w:t>
            </w:r>
          </w:p>
        </w:tc>
        <w:tc>
          <w:p>
            <w:pPr>
              <w:pStyle w:val="Compact"/>
              <w:jc w:val="left"/>
            </w:pPr>
            <w:r>
              <w:t xml:space="preserve">remove the role assignment above</w:t>
            </w:r>
          </w:p>
        </w:tc>
        <w:tc>
          <w:p>
            <w:pPr>
              <w:pStyle w:val="Compact"/>
              <w:jc w:val="left"/>
            </w:pPr>
            <w:r>
              <w:t xml:space="preserve">mount fails immediately;</w:t>
            </w:r>
            <w:r>
              <w:t xml:space="preserve"> </w:t>
            </w:r>
            <w:r>
              <w:rPr>
                <w:rStyle w:val="VerbatimChar"/>
              </w:rPr>
              <w:t xml:space="preserve">Debug-AzStorageAccountAuth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CheckUserRbacAssignment</w:t>
            </w:r>
            <w:r>
              <w:t xml:space="preserve"> </w:t>
            </w:r>
            <w:r>
              <w:t xml:space="preserve">FAILED; Kerberos tickets are all healthy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NTFS ACL</w:t>
            </w:r>
          </w:p>
        </w:tc>
        <w:tc>
          <w:p>
            <w:pPr>
              <w:pStyle w:val="Compact"/>
              <w:jc w:val="left"/>
            </w:pPr>
            <w:r>
              <w:t xml:space="preserve">(on a mounted share)</w:t>
            </w:r>
            <w:r>
              <w:t xml:space="preserve"> </w:t>
            </w:r>
            <w:r>
              <w:rPr>
                <w:rStyle w:val="VerbatimChar"/>
              </w:rPr>
              <w:t xml:space="preserve">icacls</w:t>
            </w:r>
            <w:r>
              <w:t xml:space="preserve"> </w:t>
            </w:r>
            <w:r>
              <w:t xml:space="preserve">deny for the user on a subfolder</w:t>
            </w:r>
          </w:p>
        </w:tc>
        <w:tc>
          <w:p>
            <w:pPr>
              <w:pStyle w:val="Compact"/>
              <w:jc w:val="left"/>
            </w:pPr>
            <w:r>
              <w:t xml:space="preserve">mount and share access</w:t>
            </w:r>
            <w:r>
              <w:t xml:space="preserve"> </w:t>
            </w:r>
            <w:r>
              <w:rPr>
                <w:b/>
              </w:rPr>
              <w:t xml:space="preserve">succeed</w:t>
            </w:r>
            <w:r>
              <w:t xml:space="preserve">; only the file/folder open is denied — deepest layer</w:t>
            </w:r>
          </w:p>
        </w:tc>
      </w:tr>
    </w:tbl>
    <w:p>
      <w:pPr>
        <w:pStyle w:val="BodyText"/>
      </w:pPr>
      <w:r>
        <w:rPr>
          <w:b/>
        </w:rPr>
        <w:t xml:space="preserve">Diagnostic order that saves time:</w:t>
      </w:r>
      <w:r>
        <w:t xml:space="preserve"> </w:t>
      </w:r>
      <w:r>
        <w:t xml:space="preserve">network (can I even reach 445?) → share</w:t>
      </w:r>
      <w:r>
        <w:t xml:space="preserve"> </w:t>
      </w:r>
      <w:r>
        <w:t xml:space="preserve">RBAC (am I allowed onto the share?) → NTFS (am I allowed this file?). The error</w:t>
      </w:r>
      <w:r>
        <w:t xml:space="preserve"> </w:t>
      </w:r>
      <w:r>
        <w:t xml:space="preserve">text is identical; the layer that’s actually blocking is not. Effective access is</w:t>
      </w:r>
      <w:r>
        <w:t xml:space="preserve"> </w:t>
      </w:r>
      <w:r>
        <w:t xml:space="preserve">always the</w:t>
      </w:r>
      <w:r>
        <w:t xml:space="preserve"> </w:t>
      </w:r>
      <w:r>
        <w:rPr>
          <w:b/>
        </w:rPr>
        <w:t xml:space="preserve">most restrictive</w:t>
      </w:r>
      <w:r>
        <w:t xml:space="preserve"> </w:t>
      </w:r>
      <w:r>
        <w:t xml:space="preserve">of the three.</w:t>
      </w:r>
    </w:p>
    <w:p>
      <w:pPr>
        <w:pStyle w:val="BodyText"/>
      </w:pPr>
      <w:r>
        <w:t xml:space="preserve">Restore afterwards: re-add the RBAC role (or set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back),</w:t>
      </w:r>
      <w:r>
        <w:t xml:space="preserve"> </w:t>
      </w:r>
      <w:r>
        <w:t xml:space="preserve">re-open the firewall, clear the NTFS deny.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X4ccd80cc2c51968cbab53f0854e98db21a23528"/>
      <w:r>
        <w:t xml:space="preserve">Capstone · Root-cause a failure from evidence only</w:t>
      </w:r>
      <w:bookmarkEnd w:id="31"/>
    </w:p>
    <w:p>
      <w:pPr>
        <w:pStyle w:val="FirstParagraph"/>
      </w:pPr>
      <w:r>
        <w:t xml:space="preserve">Minimal information, TSG method. Have a partner (or the facilitator) inject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fault without telling you which: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ConsentRevoked</w:t>
      </w:r>
    </w:p>
    <w:p>
      <w:pPr>
        <w:pStyle w:val="FirstParagraph"/>
      </w:pPr>
      <w:r>
        <w:t xml:space="preserve">You get only: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labuser1 can’t mount the share; it worked an hour ago.</w:t>
      </w:r>
      <w:r>
        <w:rPr>
          <w:i/>
        </w:rPr>
        <w:t xml:space="preserve">”</w:t>
      </w:r>
      <w:r>
        <w:t xml:space="preserve"> </w:t>
      </w:r>
      <w:r>
        <w:t xml:space="preserve">Find the</w:t>
      </w:r>
      <w:r>
        <w:t xml:space="preserve"> </w:t>
      </w:r>
      <w:r>
        <w:t xml:space="preserve">cause using the evidence chain, ending in a</w:t>
      </w:r>
      <w:r>
        <w:t xml:space="preserve"> </w:t>
      </w:r>
      <w:r>
        <w:rPr>
          <w:b/>
        </w:rPr>
        <w:t xml:space="preserve">Fiddler capture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Walk steps 1–4. Where does the chain first break? (Here: step 4 fails while</w:t>
      </w:r>
      <w:r>
        <w:t xml:space="preserve"> </w:t>
      </w:r>
      <w:r>
        <w:t xml:space="preserve">1–3 are healthy — the device, PRT and cloud TGT are all fine, so it’s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client/device problem.)</w:t>
      </w:r>
    </w:p>
    <w:p>
      <w:pPr>
        <w:numPr>
          <w:ilvl w:val="0"/>
          <w:numId w:val="1005"/>
        </w:numPr>
        <w:pStyle w:val="Compact"/>
      </w:pPr>
      <w:r>
        <w:t xml:space="preserve">Capture step 4 in</w:t>
      </w:r>
      <w:r>
        <w:t xml:space="preserve"> </w:t>
      </w:r>
      <w:r>
        <w:rPr>
          <w:b/>
        </w:rPr>
        <w:t xml:space="preserve">Fiddler</w:t>
      </w:r>
      <w:r>
        <w:t xml:space="preserve">. Open the failing request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</w:rPr>
        <w:t xml:space="preserve">response</w:t>
      </w:r>
      <w:r>
        <w:t xml:space="preserve">. Read the</w:t>
      </w:r>
      <w:r>
        <w:t xml:space="preserve"> </w:t>
      </w:r>
      <w:r>
        <w:rPr>
          <w:b/>
        </w:rPr>
        <w:t xml:space="preserve">ErrorCode</w:t>
      </w:r>
      <w:r>
        <w:t xml:space="preserve">, and note the</w:t>
      </w:r>
      <w:r>
        <w:t xml:space="preserve"> </w:t>
      </w:r>
      <w:r>
        <w:rPr>
          <w:b/>
        </w:rPr>
        <w:t xml:space="preserve">Entra Request ID + timestamp</w:t>
      </w:r>
      <w:r>
        <w:t xml:space="preserve"> </w:t>
      </w:r>
      <w:r>
        <w:t xml:space="preserve">in the response —</w:t>
      </w:r>
      <w:r>
        <w:t xml:space="preserve"> </w:t>
      </w:r>
      <w:r>
        <w:t xml:space="preserve">that’s what you’d hand to the Entra ID team to pull the server-side trace.</w:t>
      </w:r>
    </w:p>
    <w:p>
      <w:pPr>
        <w:numPr>
          <w:ilvl w:val="0"/>
          <w:numId w:val="1005"/>
        </w:numPr>
        <w:pStyle w:val="Compact"/>
      </w:pPr>
      <w:r>
        <w:t xml:space="preserve">Confirm your hypothesis in the portal:</w:t>
      </w:r>
      <w:r>
        <w:t xml:space="preserve"> </w:t>
      </w:r>
      <w:r>
        <w:rPr>
          <w:b/>
        </w:rPr>
        <w:t xml:space="preserve">Entra ID → Enterprise applications →</w:t>
      </w:r>
      <w:r>
        <w:rPr>
          <w:b/>
        </w:rPr>
        <w:t xml:space="preserve"> </w:t>
      </w:r>
      <w:r>
        <w:rPr>
          <w:b/>
        </w:rPr>
        <w:t xml:space="preserve">[Storage 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… → Permissions</w:t>
      </w:r>
      <w:r>
        <w:t xml:space="preserve"> </w:t>
      </w:r>
      <w:r>
        <w:t xml:space="preserve">— the grant is gone.</w:t>
      </w:r>
    </w:p>
    <w:p>
      <w:pPr>
        <w:pStyle w:val="FirstParagraph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 remount, re-capture — ErrorCode back to</w:t>
      </w:r>
      <w:r>
        <w:t xml:space="preserve"> </w:t>
      </w:r>
      <w:r>
        <w:t xml:space="preserve">0.</w:t>
      </w:r>
    </w:p>
    <w:p>
      <w:pPr>
        <w:pStyle w:val="BodyText"/>
      </w:pPr>
      <w:r>
        <w:rPr>
          <w:b/>
        </w:rPr>
        <w:t xml:space="preserve">Why this is the capstone:</w:t>
      </w:r>
      <w:r>
        <w:t xml:space="preserve"> </w:t>
      </w:r>
      <w:r>
        <w:t xml:space="preserve">it forces the full method — chain first to localise</w:t>
      </w:r>
      <w:r>
        <w:t xml:space="preserve"> </w:t>
      </w:r>
      <w:r>
        <w:t xml:space="preserve">(client vs service), Fiddler to read the actual KDC Proxy error, portal to</w:t>
      </w:r>
      <w:r>
        <w:t xml:space="preserve"> </w:t>
      </w:r>
      <w:r>
        <w:t xml:space="preserve">confirm, and the Request ID to hand off. That’s the Entra Kerberos support loop</w:t>
      </w:r>
      <w:r>
        <w:t xml:space="preserve"> </w:t>
      </w:r>
      <w:r>
        <w:t xml:space="preserve">end to end.</w:t>
      </w:r>
    </w:p>
    <w:p>
      <w:pPr>
        <w:pStyle w:val="BlockText"/>
      </w:pPr>
      <w:r>
        <w:rPr>
          <w:b/>
        </w:rPr>
        <w:t xml:space="preserve">Discussion (not scripted): MFA Conditional Access → error 1327/86.</w:t>
      </w:r>
      <w:r>
        <w:t xml:space="preserve"> </w:t>
      </w:r>
      <w:r>
        <w:t xml:space="preserve">If a CA</w:t>
      </w:r>
      <w:r>
        <w:t xml:space="preserve"> </w:t>
      </w:r>
      <w:r>
        <w:t xml:space="preserve">policy requires MFA on the storage account’s app, SMB can’t perform an</w:t>
      </w:r>
      <w:r>
        <w:t xml:space="preserve"> </w:t>
      </w:r>
      <w:r>
        <w:t xml:space="preserve">interactive MFA, and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</w:rPr>
        <w:t xml:space="preserve">System error 1327</w:t>
      </w:r>
      <w:r>
        <w:t xml:space="preserve"> </w:t>
      </w:r>
      <w:r>
        <w:t xml:space="preserve">(</w:t>
      </w:r>
      <w:r>
        <w:t xml:space="preserve">“</w:t>
      </w:r>
      <w:r>
        <w:t xml:space="preserve">Account</w:t>
      </w:r>
      <w:r>
        <w:t xml:space="preserve"> </w:t>
      </w:r>
      <w:r>
        <w:t xml:space="preserve">restrictions are preventing this user from signing in</w:t>
      </w:r>
      <w:r>
        <w:t xml:space="preserve">”</w:t>
      </w:r>
      <w:r>
        <w:t xml:space="preserve">) — or 86. The fix is to</w:t>
      </w:r>
      <w:r>
        <w:t xml:space="preserve"> </w:t>
      </w:r>
      <w:r>
        <w:rPr>
          <w:b/>
        </w:rPr>
        <w:t xml:space="preserve">exclude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[Storage Account] &lt;sa&gt;.file.core.windows.net</w:t>
      </w:r>
      <w:r>
        <w:rPr>
          <w:b/>
        </w:rPr>
        <w:t xml:space="preserve"> </w:t>
      </w:r>
      <w:r>
        <w:rPr>
          <w:b/>
        </w:rPr>
        <w:t xml:space="preserve">app</w:t>
      </w:r>
      <w:r>
        <w:t xml:space="preserve"> </w:t>
      </w:r>
      <w:r>
        <w:t xml:space="preserve">from that CA</w:t>
      </w:r>
      <w:r>
        <w:t xml:space="preserve"> </w:t>
      </w:r>
      <w:r>
        <w:t xml:space="preserve">policy, never to weaken MFA tenant-wide. You’d confirm it in the Entra sign-in</w:t>
      </w:r>
      <w:r>
        <w:t xml:space="preserve"> </w:t>
      </w:r>
      <w:r>
        <w:t xml:space="preserve">logs (look for the storage app + a blocked MFA requirement). This is documented</w:t>
      </w:r>
      <w:r>
        <w:t xml:space="preserve"> </w:t>
      </w:r>
      <w:r>
        <w:t xml:space="preserve">publicly in</w:t>
      </w:r>
      <w:r>
        <w:t xml:space="preserve"> </w:t>
      </w:r>
      <w:r>
        <w:rPr>
          <w:i/>
        </w:rPr>
        <w:t xml:space="preserve">storage-files-identity-auth-hybrid-identities-enable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deeper-faults-kept-for-reference"/>
      <w:r>
        <w:t xml:space="preserve">Deeper faults kept for reference</w:t>
      </w:r>
      <w:bookmarkEnd w:id="32"/>
    </w:p>
    <w:p>
      <w:pPr>
        <w:pStyle w:val="FirstParagraph"/>
      </w:pPr>
      <w:r>
        <w:t xml:space="preserve">Still available via</w:t>
      </w:r>
      <w:r>
        <w:t xml:space="preserve"> </w:t>
      </w:r>
      <w:r>
        <w:rPr>
          <w:rStyle w:val="VerbatimChar"/>
        </w:rPr>
        <w:t xml:space="preserve">Invoke-Fault.ps1</w:t>
      </w:r>
      <w:r>
        <w:t xml:space="preserve">, for self-study or a longer session: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NotHybridJoined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dsregcmd /leave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AzureAdJoined : NO</w:t>
      </w:r>
      <w:r>
        <w:t xml:space="preserve"> </w:t>
      </w:r>
      <w:r>
        <w:t xml:space="preserve">→ no PRT → no</w:t>
      </w:r>
      <w:r>
        <w:t xml:space="preserve"> </w:t>
      </w:r>
      <w:r>
        <w:t xml:space="preserve">cloud TGT. Cuts the earliest arrow in the flow, so the whole chain drops.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NoShareAccess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DefaultSharePermission None</w:t>
      </w:r>
      <w:r>
        <w:t xml:space="preserve"> </w:t>
      </w:r>
      <w:r>
        <w:t xml:space="preserve">with no explicit grant; the</w:t>
      </w:r>
      <w:r>
        <w:t xml:space="preserve"> </w:t>
      </w:r>
      <w:r>
        <w:t xml:space="preserve">simplest of the three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doors.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advanced-tracing-reference"/>
      <w:r>
        <w:t xml:space="preserve">Advanced tracing reference</w:t>
      </w:r>
      <w:bookmarkEnd w:id="33"/>
    </w:p>
    <w:p>
      <w:pPr>
        <w:pStyle w:val="FirstParagraph"/>
      </w:pPr>
      <w:r>
        <w:t xml:space="preserve">For the rare escalation, the hybrid-flow TSG’s Kerberos ETW capture (survives a</w:t>
      </w:r>
      <w:r>
        <w:t xml:space="preserve"> </w:t>
      </w:r>
      <w:r>
        <w:t xml:space="preserve">disconnect; run for a few minutes around ticket expiry, ~1 hour after issue):</w:t>
      </w:r>
    </w:p>
    <w:p>
      <w:pPr>
        <w:pStyle w:val="SourceCode"/>
      </w:pPr>
      <w:r>
        <w:rPr>
          <w:rStyle w:val="VerbatimChar"/>
        </w:rPr>
        <w:t xml:space="preserve">logman start auth_kerberos -ow -o kerberos.etl -nb 16 16 -bs 1024 -max 8192 -ets</w:t>
      </w:r>
      <w:r>
        <w:br/>
      </w:r>
      <w:r>
        <w:rPr>
          <w:rStyle w:val="VerbatimChar"/>
        </w:rPr>
        <w:t xml:space="preserve">logman update trace auth_kerberos -p "{6B510852-3583-4e2d-AFFE-A67F9F223438}" 0x7ffffff 0xff -ets</w:t>
      </w:r>
      <w:r>
        <w:br/>
      </w:r>
      <w:r>
        <w:rPr>
          <w:rStyle w:val="VerbatimChar"/>
        </w:rPr>
        <w:t xml:space="preserve"># ... (see the TSG for the full provider list) ...</w:t>
      </w:r>
      <w:r>
        <w:br/>
      </w:r>
      <w:r>
        <w:rPr>
          <w:rStyle w:val="VerbatimChar"/>
        </w:rPr>
        <w:t xml:space="preserve"># reproduce the issue</w:t>
      </w:r>
      <w:r>
        <w:br/>
      </w:r>
      <w:r>
        <w:rPr>
          <w:rStyle w:val="VerbatimChar"/>
        </w:rPr>
        <w:t xml:space="preserve">logman stop auth_kerberos -ets</w:t>
      </w:r>
    </w:p>
    <w:p>
      <w:pPr>
        <w:pStyle w:val="FirstParagraph"/>
      </w:pPr>
      <w:r>
        <w:t xml:space="preserve">Always record a</w:t>
      </w:r>
      <w:r>
        <w:t xml:space="preserve"> </w:t>
      </w:r>
      <w:r>
        <w:rPr>
          <w:b/>
        </w:rPr>
        <w:t xml:space="preserve">UTC timestamp</w:t>
      </w:r>
      <w:r>
        <w:t xml:space="preserve"> </w:t>
      </w:r>
      <w:r>
        <w:t xml:space="preserve">with any capture — Fiddler, Wireshark, or ETW —</w:t>
      </w:r>
      <w:r>
        <w:t xml:space="preserve"> </w:t>
      </w:r>
      <w:r>
        <w:t xml:space="preserve">so it can be correlated with Entra server-side logs by Request ID.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clean-up"/>
      <w:r>
        <w:t xml:space="preserve">Clean up</w:t>
      </w:r>
      <w:bookmarkEnd w:id="34"/>
    </w:p>
    <w:p>
      <w:pPr>
        <w:pStyle w:val="SourceCode"/>
      </w:pPr>
      <w:r>
        <w:rPr>
          <w:rStyle w:val="NormalTok"/>
        </w:rPr>
        <w:t xml:space="preserve">./cleanup.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 delete the Cloud Sync configuration and provisioning agent in the Entra</w:t>
      </w:r>
      <w:r>
        <w:t xml:space="preserve"> </w:t>
      </w:r>
      <w:r>
        <w:t xml:space="preserve">portal (the script reminds you).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command-reference"/>
      <w:r>
        <w:t xml:space="preserve">Command reference</w:t>
      </w:r>
      <w:bookmarkEnd w:id="35"/>
    </w:p>
    <w:p>
      <w:pPr>
        <w:pStyle w:val="SourceCode"/>
      </w:pPr>
      <w:r>
        <w:rPr>
          <w:rStyle w:val="VerbatimChar"/>
        </w:rPr>
        <w:t xml:space="preserve">dsregcmd /status                    device &amp; PRT /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EFFECTIVE cloud-TGT policy value (trust this)</w:t>
      </w:r>
      <w:r>
        <w:br/>
      </w:r>
      <w:r>
        <w:rPr>
          <w:rStyle w:val="VerbatimChar"/>
        </w:rPr>
        <w:t xml:space="preserve">klist get krbtgt                    force a cloud TGT</w:t>
      </w:r>
      <w:r>
        <w:br/>
      </w:r>
      <w:r>
        <w:rPr>
          <w:rStyle w:val="VerbatimChar"/>
        </w:rPr>
        <w:t xml:space="preserve">klist get cifs/&lt;sa&gt;...              force a service ticket (shows KdcProxy)</w:t>
      </w:r>
      <w:r>
        <w:br/>
      </w:r>
      <w:r>
        <w:rPr>
          <w:rStyle w:val="VerbatimChar"/>
        </w:rPr>
        <w:t xml:space="preserve">klist                               cached tickets (note the two realms)</w:t>
      </w:r>
      <w:r>
        <w:br/>
      </w:r>
      <w:r>
        <w:rPr>
          <w:rStyle w:val="VerbatimChar"/>
        </w:rPr>
        <w:t xml:space="preserve">netsh winhttp show proxy            proxy stack (part of the Entra path)</w:t>
      </w:r>
    </w:p>
    <w:p>
      <w:pPr>
        <w:pStyle w:val="Heading1"/>
      </w:pPr>
      <w:bookmarkStart w:id="36" w:name="error-first-move-quick-map"/>
      <w:r>
        <w:t xml:space="preserve">Error → first move quick map</w:t>
      </w:r>
      <w:bookmarkEnd w:id="3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move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cloud TGT, but reg looks set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  <w:r>
              <w:t xml:space="preserve"> </w:t>
            </w:r>
            <w:r>
              <w:t xml:space="preserve">+ check the</w:t>
            </w:r>
            <w:r>
              <w:t xml:space="preserve"> </w:t>
            </w:r>
            <w:r>
              <w:rPr>
                <w:b/>
              </w:rPr>
              <w:t xml:space="preserve">Policies</w:t>
            </w:r>
            <w:r>
              <w:t xml:space="preserve"> </w:t>
            </w:r>
            <w:r>
              <w:t xml:space="preserve">path (Lab 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LsaCallAuthenticationPackage 0x51f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0xc000005e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netsh winhttp show proxy</w:t>
            </w:r>
            <w:r>
              <w:t xml:space="preserve"> </w:t>
            </w:r>
            <w:r>
              <w:t xml:space="preserve">(Lab C)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 error 1327</w:t>
            </w:r>
            <w:r>
              <w:t xml:space="preserve"> </w:t>
            </w:r>
            <w:r>
              <w:t xml:space="preserve">/ 86</w:t>
            </w:r>
          </w:p>
        </w:tc>
        <w:tc>
          <w:p>
            <w:pPr>
              <w:pStyle w:val="Compact"/>
              <w:jc w:val="left"/>
            </w:pPr>
            <w:r>
              <w:t xml:space="preserve">CA/MFA on the storage app — check sign-in logs (capstone note)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NO</w:t>
            </w:r>
          </w:p>
        </w:tc>
        <w:tc>
          <w:p>
            <w:pPr>
              <w:pStyle w:val="Compact"/>
              <w:jc w:val="left"/>
            </w:pPr>
            <w:r>
              <w:t xml:space="preserve">device registration (NotHybridJoined)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 denied, tickets all healthy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layers: network → RBAC → NTFS (Lab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for some users only</w:t>
            </w:r>
          </w:p>
        </w:tc>
        <w:tc>
          <w:p>
            <w:pPr>
              <w:pStyle w:val="Compact"/>
              <w:jc w:val="left"/>
            </w:pPr>
            <w:r>
              <w:t xml:space="preserve">those users are cloud-only, not synced hybrid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 breaks at step 4 only</w:t>
            </w:r>
          </w:p>
        </w:tc>
        <w:tc>
          <w:p>
            <w:pPr>
              <w:pStyle w:val="Compact"/>
              <w:jc w:val="left"/>
            </w:pPr>
            <w:r>
              <w:t xml:space="preserve">service-side: admin consent / app — capture in Fiddler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2</dc:title>
  <dc:creator/>
  <cp:keywords/>
  <dcterms:created xsi:type="dcterms:W3CDTF">2026-08-13T13:29:27Z</dcterms:created>
  <dcterms:modified xsi:type="dcterms:W3CDTF">2026-08-13T13:29:27Z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with Microsoft Entra Kerberos — evidence-based diagnosis (hands-on)</vt:lpwstr>
  </property>
</Properties>
</file>