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starts as 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2023 vintage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environment</w:t>
      </w:r>
      <w:r>
        <w:t xml:space="preserve">, on purpose: RC4 Kerberos</w:t>
      </w:r>
      <w:r>
        <w:t xml:space="preserve"> </w:t>
      </w:r>
      <w:r>
        <w:t xml:space="preserve">encryption, and a storage account whose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instead of the DNS root. It mounts perfectly — RC4 keys aren’t</w:t>
      </w:r>
      <w:r>
        <w:t xml:space="preserve"> </w:t>
      </w:r>
      <w:r>
        <w:t xml:space="preserve">salted, so that wrong value is never used. Lab 3 is the AES-256 migration,</w:t>
      </w:r>
      <w:r>
        <w:t xml:space="preserve"> </w:t>
      </w:r>
      <w:r>
        <w:t xml:space="preserve">where the salt suddenly matters.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t xml:space="preserve">Where you’ll run the deploy/fault commands — pick one: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nothing to install — Az and Microsoft.Graph</w:t>
      </w:r>
      <w:r>
        <w:t xml:space="preserve"> </w:t>
      </w:r>
      <w:r>
        <w:t xml:space="preserve">are already there, and there’s no execution-policy /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 -Scope CurrentUser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Required either way</w:t>
      </w:r>
      <w:r>
        <w:t xml:space="preserve"> </w:t>
      </w:r>
      <w:r>
        <w:t xml:space="preserve">— the klist / net use / mount</w:t>
      </w:r>
      <w:r>
        <w:t xml:space="preserve"> </w:t>
      </w:r>
      <w:r>
        <w:t xml:space="preserve">steps happen inside the VMs, which Cloud Shell can’t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Running in Cloud Shell?</w:t>
      </w:r>
      <w:r>
        <w:t xml:space="preserve"> </w:t>
      </w:r>
      <w:r>
        <w:t xml:space="preserve">Get the kit with</w:t>
      </w:r>
      <w:r>
        <w:t xml:space="preserve"> </w:t>
      </w:r>
      <w:r>
        <w:rPr>
          <w:rStyle w:val="VerbatimChar"/>
        </w:rPr>
        <w:t xml:space="preserve">git clone https://github.com/kmin1223/azfiles-lab.git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it, and</w:t>
      </w:r>
      <w:r>
        <w:t xml:space="preserve"> </w:t>
      </w:r>
      <w:r>
        <w:t xml:space="preserve">skip the</w:t>
      </w:r>
      <w:r>
        <w:t xml:space="preserve"> </w:t>
      </w:r>
      <w:r>
        <w:rPr>
          <w:rStyle w:val="VerbatimChar"/>
        </w:rPr>
        <w:t xml:space="preserve">Unblock-File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Set-ExecutionPolicy</w:t>
      </w:r>
      <w:r>
        <w:t xml:space="preserve"> </w:t>
      </w:r>
      <w:r>
        <w:t xml:space="preserve">lines below — they’re Windows-only. Type paths with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rPr>
          <w:b/>
        </w:rPr>
        <w:t xml:space="preserve">Azure Cloud Shell (recommended)</w:t>
      </w:r>
      <w:r>
        <w:t xml:space="preserve"> </w:t>
      </w:r>
      <w:r>
        <w:t xml:space="preserve">— open Cloud Shell (PowerShell) from the</w:t>
      </w:r>
      <w:r>
        <w:t xml:space="preserve"> </w:t>
      </w:r>
      <w:r>
        <w:t xml:space="preserve">Azure 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Local Windows PowerShell</w:t>
      </w:r>
      <w:r>
        <w:t xml:space="preserve"> </w:t>
      </w:r>
      <w:r>
        <w:t xml:space="preserve">— from the</w:t>
      </w:r>
      <w:r>
        <w:t xml:space="preserve"> </w:t>
      </w:r>
      <w:r>
        <w:rPr>
          <w:rStyle w:val="VerbatimChar"/>
        </w:rPr>
        <w:t xml:space="preserve">session1-adds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No password prompt: the script</w:t>
      </w:r>
      <w:r>
        <w:t xml:space="preserve"> </w:t>
      </w:r>
      <w:r>
        <w:rPr>
          <w:b/>
        </w:rPr>
        <w:t xml:space="preserve">auto-generates the lab password</w:t>
      </w:r>
      <w:r>
        <w:t xml:space="preserve"> </w:t>
      </w:r>
      <w:r>
        <w:t xml:space="preserve">and prints</w:t>
      </w:r>
      <w:r>
        <w:t xml:space="preserve"> </w:t>
      </w:r>
      <w:r>
        <w:t xml:space="preserve">it in the summary and the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 </w:t>
      </w:r>
      <w:r>
        <w:t xml:space="preserve">file — you’ll</w:t>
      </w:r>
      <w:r>
        <w:t xml:space="preserve"> </w:t>
      </w:r>
      <w:r>
        <w:t xml:space="preserve">need it for RDP (labadmin and labuser1 share it). To choose your own instead,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-AdminPassword</w:t>
      </w:r>
      <w:r>
        <w:t xml:space="preserve"> </w:t>
      </w:r>
      <w:r>
        <w:t xml:space="preserve">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RSADSI RC4-HMAC(NT)</w:t>
      </w:r>
      <w:r>
        <w:t xml:space="preserve"> </w:t>
      </w:r>
      <w:r>
        <w:t xml:space="preserve">— this is the legacy environment you inherited.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Z:\%username%.txt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has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there. Run it on the</w:t>
      </w:r>
      <w:r>
        <w:t xml:space="preserve"> </w:t>
      </w:r>
      <w:r>
        <w:rPr>
          <w:b/>
        </w:rPr>
        <w:t xml:space="preserve">client, not the DC</w:t>
      </w:r>
      <w:r>
        <w:t xml:space="preserve"> </w:t>
      </w:r>
      <w:r>
        <w:t xml:space="preserve">— that is where these cmdlets</w:t>
      </w:r>
      <w:r>
        <w:t xml:space="preserve"> </w:t>
      </w:r>
      <w:r>
        <w:t xml:space="preserve">belong in a real environment too, and the DC in this lab has no Azure tooling on</w:t>
      </w:r>
      <w:r>
        <w:t xml:space="preserve"> </w:t>
      </w:r>
      <w:r>
        <w:t xml:space="preserve">purpose: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BlockText"/>
      </w:pPr>
      <w:r>
        <w:rPr>
          <w:b/>
        </w:rPr>
        <w:t xml:space="preserve">If the cmdlet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found in the module AzFilesHybrid, but the module could</w:t>
      </w:r>
      <w:r>
        <w:rPr>
          <w:b/>
        </w:rPr>
        <w:t xml:space="preserve"> </w:t>
      </w:r>
      <w:r>
        <w:rPr>
          <w:b/>
        </w:rPr>
        <w:t xml:space="preserve">not be loaded</w:t>
      </w:r>
      <w:r>
        <w:rPr>
          <w:b/>
        </w:rPr>
        <w:t xml:space="preserve">”</w:t>
      </w:r>
      <w:r>
        <w:t xml:space="preserve">, don’t trust that error — it describes the symptom, not the</w:t>
      </w:r>
      <w:r>
        <w:t xml:space="preserve"> </w:t>
      </w:r>
      <w:r>
        <w:t xml:space="preserve">cause. Force the import to get the real one: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 -Verbose</w:t>
      </w:r>
    </w:p>
    <w:p>
      <w:pPr>
        <w:pStyle w:val="BlockText"/>
      </w:pPr>
      <w:r>
        <w:t xml:space="preserve">It names an unmet</w:t>
      </w:r>
      <w:r>
        <w:t xml:space="preserve"> </w:t>
      </w:r>
      <w:r>
        <w:rPr>
          <w:rStyle w:val="VerbatimChar"/>
        </w:rPr>
        <w:t xml:space="preserve">RequiredModules</w:t>
      </w:r>
      <w:r>
        <w:t xml:space="preserve"> </w:t>
      </w:r>
      <w:r>
        <w:t xml:space="preserve">entry — e.g. </w:t>
      </w:r>
      <w:r>
        <w:rPr>
          <w:i/>
        </w:rPr>
        <w:t xml:space="preserve">“</w:t>
      </w:r>
      <w:r>
        <w:rPr>
          <w:i/>
        </w:rPr>
        <w:t xml:space="preserve">The required module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Az.Compute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is not loaded.</w:t>
      </w:r>
      <w:r>
        <w:rPr>
          <w:i/>
        </w:rPr>
        <w:t xml:space="preserve">”</w:t>
      </w:r>
      <w:r>
        <w:t xml:space="preserve"> </w:t>
      </w:r>
      <w:r>
        <w:t xml:space="preserve">Fixing them one at a time is slow (0.3.3.0 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Microsoft.Graph.Applications</w:t>
      </w:r>
      <w:r>
        <w:t xml:space="preserve">), so read the manifest and install</w:t>
      </w:r>
      <w:r>
        <w:t xml:space="preserve"> </w:t>
      </w:r>
      <w:r>
        <w:t xml:space="preserve">everything missing at once, from a</w:t>
      </w:r>
      <w:r>
        <w:t xml:space="preserve"> </w:t>
      </w:r>
      <w:r>
        <w:rPr>
          <w:b/>
        </w:rPr>
        <w:t xml:space="preserve">fresh</w:t>
      </w:r>
      <w:r>
        <w:t xml:space="preserve"> </w:t>
      </w:r>
      <w:r>
        <w:t xml:space="preserve">elevated window — a session that</w:t>
      </w:r>
      <w:r>
        <w:t xml:space="preserve"> </w:t>
      </w:r>
      <w:r>
        <w:t xml:space="preserve">already loaded</w:t>
      </w:r>
      <w:r>
        <w:t xml:space="preserve"> </w:t>
      </w:r>
      <w:r>
        <w:rPr>
          <w:rStyle w:val="VerbatimChar"/>
        </w:rPr>
        <w:t xml:space="preserve">Az.Accounts</w:t>
      </w:r>
      <w:r>
        <w:t xml:space="preserve"> </w:t>
      </w:r>
      <w:r>
        <w:t xml:space="preserve">will refuse the install with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currently in use</w:t>
      </w:r>
      <w:r>
        <w:rPr>
          <w:i/>
        </w:rPr>
        <w:t xml:space="preserve">”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$psd1</w:t>
      </w:r>
      <w:r>
        <w:rPr>
          <w:rStyle w:val="NormalTok"/>
        </w:rPr>
        <w:t xml:space="preserve"> = 'C:\Program Files\WindowsPowerShell\Modules\AzFilesHybrid\0.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0</w:t>
      </w:r>
      <w:r>
        <w:rPr>
          <w:rStyle w:val="NormalTok"/>
        </w:rPr>
        <w:t xml:space="preserve">\AzFilesHybrid.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'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(Import-PowerShellDataFile </w:t>
      </w:r>
      <w:r>
        <w:rPr>
          <w:rStyle w:val="VariableTok"/>
        </w:rPr>
        <w:t xml:space="preserve">$psd1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RequiredModules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-is [hashtable])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ModuleName</w:t>
      </w:r>
      <w:r>
        <w:rPr>
          <w:rStyle w:val="NormalTok"/>
        </w:rPr>
        <w:t xml:space="preserve"> }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(-not 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-ListAvailable -Name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Install-Module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-Scope AllUsers -Force -AllowClobber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Import-Module AzFilesHybrid -Force</w:t>
      </w:r>
      <w:r>
        <w:t xml:space="preserve"> </w:t>
      </w:r>
      <w:r>
        <w:t xml:space="preserve">in another new window.</w:t>
      </w:r>
    </w:p>
    <w:p>
      <w:pPr>
        <w:pStyle w:val="BlockText"/>
      </w:pPr>
      <w:r>
        <w:t xml:space="preserve">This is worth internalizing: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command not found</w:t>
      </w:r>
      <w:r>
        <w:rPr>
          <w:i/>
        </w:rPr>
        <w:t xml:space="preserve">”</w:t>
      </w:r>
      <w:r>
        <w:t xml:space="preserve"> </w:t>
      </w:r>
      <w:r>
        <w:t xml:space="preserve">on a module that is plainly</w:t>
      </w:r>
      <w:r>
        <w:t xml:space="preserve"> </w:t>
      </w:r>
      <w:r>
        <w:t xml:space="preserve">installed is a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failure, not a missing-install failure. The same</w:t>
      </w:r>
      <w:r>
        <w:t xml:space="preserve"> </w:t>
      </w:r>
      <w:r>
        <w:t xml:space="preserve">reasoning applies to customer environments where a partial Az install breaks</w:t>
      </w:r>
      <w:r>
        <w:t xml:space="preserve"> </w:t>
      </w:r>
      <w:r>
        <w:t xml:space="preserve">AzFilesHybrid.</w:t>
      </w:r>
    </w:p>
    <w:p>
      <w:pPr>
        <w:pStyle w:val="BlockText"/>
      </w:pPr>
      <w:r>
        <w:rPr>
          <w:b/>
        </w:rPr>
        <w:t xml:space="preserve">If</w:t>
      </w:r>
      <w:r>
        <w:rPr>
          <w:b/>
        </w:rPr>
        <w:t xml:space="preserve"> </w:t>
      </w:r>
      <w:r>
        <w:rPr>
          <w:rStyle w:val="VerbatimChar"/>
          <w:b/>
        </w:rPr>
        <w:t xml:space="preserve">Connect-AzAccount</w:t>
      </w:r>
      <w:r>
        <w:rPr>
          <w:b/>
        </w:rPr>
        <w:t xml:space="preserve"> </w:t>
      </w:r>
      <w:r>
        <w:rPr>
          <w:b/>
        </w:rPr>
        <w:t xml:space="preserve">fails on the VM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user interaction is required</w:t>
      </w:r>
      <w:r>
        <w:t xml:space="preserve">”</w:t>
      </w:r>
      <w:r>
        <w:t xml:space="preserve"> </w:t>
      </w:r>
      <w:r>
        <w:t xml:space="preserve">or a token error, the interactive sign-in window is being blocked. Use device</w:t>
      </w:r>
      <w:r>
        <w:t xml:space="preserve"> </w:t>
      </w:r>
      <w:r>
        <w:t xml:space="preserve">code instead — it prints a code you enter at</w:t>
      </w:r>
      <w:r>
        <w:t xml:space="preserve"> </w:t>
      </w:r>
      <w:hyperlink r:id="rId25">
        <w:r>
          <w:rPr>
            <w:rStyle w:val="Hyperlink"/>
          </w:rPr>
          <w:t xml:space="preserve">https://microsoft.com/devicelogin</w:t>
        </w:r>
      </w:hyperlink>
      <w:r>
        <w:t xml:space="preserve"> </w:t>
      </w:r>
      <w:r>
        <w:t xml:space="preserve">from your own browser:</w:t>
      </w:r>
    </w:p>
    <w:p>
      <w:pPr>
        <w:pStyle w:val="SourceCode"/>
      </w:pPr>
      <w:r>
        <w:rPr>
          <w:rStyle w:val="NormalTok"/>
        </w:rPr>
        <w:t xml:space="preserve">Connect-AzAccount -DeviceCode</w:t>
      </w:r>
    </w:p>
    <w:p>
      <w:pPr>
        <w:pStyle w:val="BlockText"/>
      </w:pPr>
      <w:r>
        <w:rPr>
          <w:b/>
        </w:rPr>
        <w:t xml:space="preserve">If that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succeeds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lists no subscriptions</w:t>
      </w:r>
      <w:r>
        <w:t xml:space="preserve"> </w:t>
      </w:r>
      <w:r>
        <w:t xml:space="preserve">(per-tenant MFA warnings,</w:t>
      </w:r>
      <w:r>
        <w:t xml:space="preserve"> </w:t>
      </w:r>
      <w:r>
        <w:t xml:space="preserve">empty table at the end): your account spans several tenants and each one</w:t>
      </w:r>
      <w:r>
        <w:t xml:space="preserve"> </w:t>
      </w:r>
      <w:r>
        <w:t xml:space="preserve">demands its own MFA pass. Target the right tenant from the start — look up</w:t>
      </w:r>
      <w:r>
        <w:t xml:space="preserve"> </w:t>
      </w:r>
      <w:r>
        <w:t xml:space="preserve">the GUID where you deployed (</w:t>
      </w:r>
      <w:r>
        <w:rPr>
          <w:rStyle w:val="VerbatimChar"/>
        </w:rPr>
        <w:t xml:space="preserve">Get-AzSubscription | Select Name, TenantId</w:t>
      </w:r>
      <w:r>
        <w:t xml:space="preserve"> </w:t>
      </w:r>
      <w:r>
        <w:t xml:space="preserve">in Cloud Shell), then:</w:t>
      </w:r>
    </w:p>
    <w:p>
      <w:pPr>
        <w:pStyle w:val="SourceCode"/>
      </w:pPr>
      <w:r>
        <w:rPr>
          <w:rStyle w:val="NormalTok"/>
        </w:rPr>
        <w:t xml:space="preserve">Connect-AzAccount -DeviceCode -TenantId &lt;tenant-guid&gt;</w:t>
      </w:r>
    </w:p>
    <w:p>
      <w:pPr>
        <w:pStyle w:val="BlockText"/>
      </w:pPr>
      <w:r>
        <w:t xml:space="preserve">If it is still blocked (e.g. conditional access requires a compliant device),</w:t>
      </w:r>
      <w:r>
        <w:t xml:space="preserve"> </w:t>
      </w:r>
      <w:r>
        <w:t xml:space="preserve">skip the VM sign-in entirely — only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needs it.</w:t>
      </w:r>
    </w:p>
    <w:p>
      <w:pPr>
        <w:pStyle w:val="BlockText"/>
      </w:pPr>
      <w:r>
        <w:t xml:space="preserve">Everything else in these labs (</w:t>
      </w:r>
      <w:r>
        <w:rPr>
          <w:rStyle w:val="VerbatimChar"/>
        </w:rPr>
        <w:t xml:space="preserve">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, the evidence collector,</w:t>
      </w:r>
      <w:r>
        <w:t xml:space="preserve"> </w:t>
      </w:r>
      <w:r>
        <w:rPr>
          <w:rStyle w:val="VerbatimChar"/>
        </w:rPr>
        <w:t xml:space="preserve">setspn</w:t>
      </w:r>
      <w:r>
        <w:t xml:space="preserve">, event 4769) needs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Azure sign-in on the VM.</w:t>
      </w:r>
    </w:p>
    <w:p>
      <w:pPr>
        <w:pStyle w:val="BlockText"/>
      </w:pPr>
      <w:r>
        <w:rPr>
          <w:b/>
        </w:rPr>
        <w:t xml:space="preserve">Reading the output critically:</w:t>
      </w:r>
      <w:r>
        <w:t xml:space="preserve"> </w:t>
      </w:r>
      <w:r>
        <w:t xml:space="preserve">this cmdlet flags RBAC/Entra checks as</w:t>
      </w:r>
      <w:r>
        <w:t xml:space="preserve"> </w:t>
      </w:r>
      <w:r>
        <w:t xml:space="preserve">failures whenever your design simply doesn’t use them — our lab relies on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with no Entra sync, so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are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to fail. Map each reported failure to</w:t>
      </w:r>
      <w:r>
        <w:t xml:space="preserve"> </w:t>
      </w:r>
      <w:r>
        <w:t xml:space="preserve">your design before chasing it.</w:t>
      </w:r>
    </w:p>
    <w:p>
      <w:pPr>
        <w:pStyle w:val="Heading2"/>
      </w:pPr>
      <w:bookmarkStart w:id="26" w:name="capture-your-known-good-reference"/>
      <w:r>
        <w:t xml:space="preserve">Capture your known-good reference</w:t>
      </w:r>
      <w:bookmarkEnd w:id="26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 In an</w:t>
      </w:r>
      <w:r>
        <w:t xml:space="preserve"> </w:t>
      </w:r>
      <w:r>
        <w:rPr>
          <w:b/>
        </w:rPr>
        <w:t xml:space="preserve">elevated</w:t>
      </w:r>
      <w:r>
        <w:t xml:space="preserve"> </w:t>
      </w:r>
      <w:r>
        <w:t xml:space="preserve">PowerShell on the Client VM: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like: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, a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 </w:t>
      </w:r>
      <w:r>
        <w:t xml:space="preserve">back, then SMB2</w:t>
      </w:r>
      <w:r>
        <w:t xml:space="preserve"> </w:t>
      </w:r>
      <w:r>
        <w:rPr>
          <w:rStyle w:val="VerbatimChar"/>
        </w:rPr>
        <w:t xml:space="preserve">Negotiate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 Setup</w:t>
      </w:r>
      <w:r>
        <w:t xml:space="preserve"> </w:t>
      </w:r>
      <w:r>
        <w:t xml:space="preserve">(success) →</w:t>
      </w:r>
      <w:r>
        <w:t xml:space="preserve"> </w:t>
      </w:r>
      <w:r>
        <w:rPr>
          <w:rStyle w:val="VerbatimChar"/>
        </w:rPr>
        <w:t xml:space="preserve">Tree Connect</w:t>
      </w:r>
      <w:r>
        <w:t xml:space="preserve"> </w:t>
      </w:r>
      <w:r>
        <w:t xml:space="preserve">(success).</w:t>
      </w:r>
    </w:p>
    <w:p>
      <w:pPr>
        <w:pStyle w:val="BodyText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KDC’s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 in this legacy</w:t>
      </w:r>
      <w:r>
        <w:t xml:space="preserve"> </w:t>
      </w:r>
      <w:r>
        <w:t xml:space="preserve">baseline;</w:t>
      </w:r>
      <w:r>
        <w:t xml:space="preserve"> 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 after the migration),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3-the-aes-256-migration"/>
      <w:r>
        <w:t xml:space="preserve">Lab 3 · The AES-256 migration ★</w:t>
      </w:r>
      <w:bookmarkEnd w:id="27"/>
    </w:p>
    <w:p>
      <w:pPr>
        <w:pStyle w:val="FirstParagraph"/>
      </w:pPr>
      <w:r>
        <w:t xml:space="preserve">You’re the admin who has to comply with the 2026 mandate: move this share off</w:t>
      </w:r>
      <w:r>
        <w:t xml:space="preserve"> </w:t>
      </w:r>
      <w:r>
        <w:t xml:space="preserve">RC4. Do it, and deal with what happens.</w:t>
      </w:r>
    </w:p>
    <w:p>
      <w:pPr>
        <w:pStyle w:val="Heading2"/>
      </w:pPr>
      <w:bookmarkStart w:id="28" w:name="step-1-look-before-you-leap"/>
      <w:r>
        <w:t xml:space="preserve">Step 1 — look before you leap</w:t>
      </w:r>
      <w:bookmarkEnd w:id="28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Status</w:t>
      </w:r>
    </w:p>
    <w:p>
      <w:pPr>
        <w:pStyle w:val="FirstParagraph"/>
      </w:pPr>
      <w:r>
        <w:t xml:space="preserve">Note what it reports — especially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. Keep it in mind;</w:t>
      </w:r>
      <w:r>
        <w:t xml:space="preserve"> </w:t>
      </w:r>
      <w:r>
        <w:t xml:space="preserve">don’t act on it yet.</w:t>
      </w:r>
    </w:p>
    <w:p>
      <w:pPr>
        <w:pStyle w:val="Heading2"/>
      </w:pPr>
      <w:bookmarkStart w:id="29" w:name="step-2-perform-the-migration"/>
      <w:r>
        <w:t xml:space="preserve">Step 2 — perform the migration</w:t>
      </w:r>
      <w:bookmarkEnd w:id="29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30" w:name="step-3-retest-drop-the-smb-session-first"/>
      <w:r>
        <w:t xml:space="preserve">Step 3 — retest (drop the SMB</w:t>
      </w:r>
      <w:r>
        <w:t xml:space="preserve"> </w:t>
      </w:r>
      <w:r>
        <w:rPr>
          <w:i/>
        </w:rPr>
        <w:t xml:space="preserve">session</w:t>
      </w:r>
      <w:r>
        <w:t xml:space="preserve"> </w:t>
      </w:r>
      <w:r>
        <w:t xml:space="preserve">first!)</w:t>
      </w:r>
      <w:bookmarkEnd w:id="30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net use \\&lt;sa&gt;.file.core.windows.net\labshare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Get-SmbConnection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Deleting mappings and purging tickets is</w:t>
      </w:r>
      <w:r>
        <w:t xml:space="preserve"> </w:t>
      </w:r>
      <w:r>
        <w:rPr>
          <w:b/>
        </w:rPr>
        <w:t xml:space="preserve">not enough</w:t>
      </w:r>
      <w:r>
        <w:t xml:space="preserve"> </w:t>
      </w:r>
      <w:r>
        <w:t xml:space="preserve">— neither kills the</w:t>
      </w:r>
      <w:r>
        <w:t xml:space="preserve"> </w:t>
      </w:r>
      <w:r>
        <w:t xml:space="preserve">SMB</w:t>
      </w:r>
      <w:r>
        <w:t xml:space="preserve"> </w:t>
      </w:r>
      <w:r>
        <w:rPr>
          <w:i/>
        </w:rPr>
        <w:t xml:space="preserve">session</w:t>
      </w:r>
      <w:r>
        <w:t xml:space="preserve">, and a TreeConnect on a live session performs no new</w:t>
      </w:r>
      <w:r>
        <w:t xml:space="preserve"> </w:t>
      </w:r>
      <w:r>
        <w:t xml:space="preserve">authentication, so the old session keeps working after any key change.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must show</w:t>
      </w:r>
      <w:r>
        <w:t xml:space="preserve"> </w:t>
      </w:r>
      <w:r>
        <w:rPr>
          <w:b/>
        </w:rPr>
        <w:t xml:space="preserve">no entry</w:t>
      </w:r>
      <w:r>
        <w:t xml:space="preserve"> </w:t>
      </w:r>
      <w:r>
        <w:t xml:space="preserve">for the storage account before you</w:t>
      </w:r>
      <w:r>
        <w:t xml:space="preserve"> </w:t>
      </w:r>
      <w:r>
        <w:t xml:space="preserve">retest.</w:t>
      </w:r>
    </w:p>
    <w:p>
      <w:pPr>
        <w:pStyle w:val="BlockText"/>
      </w:pPr>
      <w:r>
        <w:rPr>
          <w:b/>
        </w:rPr>
        <w:t xml:space="preserve">How to spot it when it bites you:</w:t>
      </w:r>
      <w:r>
        <w:t xml:space="preserve"> </w:t>
      </w:r>
      <w:r>
        <w:t xml:space="preserve">the mount</w:t>
      </w:r>
      <w:r>
        <w:t xml:space="preserve"> </w:t>
      </w:r>
      <w:r>
        <w:t xml:space="preserve">“</w:t>
      </w:r>
      <w:r>
        <w:t xml:space="preserve">succeeds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zero tickets</w:t>
      </w:r>
      <w:r>
        <w:t xml:space="preserve">. Success without tickets means no Kerberos exchange happened</w:t>
      </w:r>
      <w:r>
        <w:t xml:space="preserve"> </w:t>
      </w:r>
      <w:r>
        <w:t xml:space="preserve">— you tested the old session, not the new configuration. Sign out/in (or,</w:t>
      </w:r>
      <w:r>
        <w:t xml:space="preserve"> </w:t>
      </w:r>
      <w:r>
        <w:t xml:space="preserve">elevated,</w:t>
      </w:r>
      <w:r>
        <w:t xml:space="preserve"> </w:t>
      </w:r>
      <w:r>
        <w:rPr>
          <w:rStyle w:val="VerbatimChar"/>
        </w:rPr>
        <w:t xml:space="preserve">Restart-Service LanmanWorkstation -Force</w:t>
      </w:r>
      <w:r>
        <w:t xml:space="preserve">) and retest. The same</w:t>
      </w:r>
      <w:r>
        <w:t xml:space="preserve"> </w:t>
      </w:r>
      <w:r>
        <w:t xml:space="preserve">trap shows up in real support cases as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we changed the auth config and</w:t>
      </w:r>
      <w:r>
        <w:rPr>
          <w:i/>
        </w:rPr>
        <w:t xml:space="preserve"> </w:t>
      </w:r>
      <w:r>
        <w:rPr>
          <w:i/>
        </w:rPr>
        <w:t xml:space="preserve">nothing happened</w:t>
      </w:r>
      <w:r>
        <w:rPr>
          <w:i/>
        </w:rPr>
        <w:t xml:space="preserve">”</w:t>
      </w:r>
      <w:r>
        <w:t xml:space="preserve">.</w:t>
      </w:r>
    </w:p>
    <w:p>
      <w:pPr>
        <w:pStyle w:val="Heading2"/>
      </w:pPr>
      <w:bookmarkStart w:id="31" w:name="step-4-diagnose-from-evidence"/>
      <w:r>
        <w:t xml:space="preserve">Step 4 — diagnose from evidence</w:t>
      </w:r>
      <w:bookmarkEnd w:id="31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it’s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again 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it’s fatal.</w:t>
      </w:r>
    </w:p>
    <w:p>
      <w:pPr>
        <w:pStyle w:val="Heading2"/>
      </w:pPr>
      <w:bookmarkStart w:id="32" w:name="step-5-repair-in-the-right-order"/>
      <w:r>
        <w:t xml:space="preserve">Step 5 — repair, in the right order</w:t>
      </w:r>
      <w:bookmarkEnd w:id="32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4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4"/>
        </w:numPr>
        <w:pStyle w:val="Compact"/>
      </w:pPr>
      <w:r>
        <w:t xml:space="preserve">reset the AD object’s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isn’t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restores the legacy state.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X2dc5c0b3521191f27bb44e783cad63fc98502e1"/>
      <w:r>
        <w:t xml:space="preserve">Lab 4 · Access denied — with a perfect Kerberos ticket ★</w:t>
      </w:r>
      <w:bookmarkEnd w:id="33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the user name or password is incorrect.</w:t>
      </w:r>
      <w:r>
        <w:rPr>
          <w:i/>
        </w:rPr>
        <w:t xml:space="preserve">”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4" w:name="break-it"/>
      <w:r>
        <w:t xml:space="preserve">Break it</w:t>
      </w:r>
      <w:bookmarkEnd w:id="34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5" w:name="reproduce-client-vm"/>
      <w:r>
        <w:t xml:space="preserve">Reproduce (Client VM)</w:t>
      </w:r>
      <w:bookmarkEnd w:id="35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The user name or password is incorrect</w:t>
      </w:r>
      <w:r>
        <w:t xml:space="preserve">”</w:t>
      </w:r>
      <w:r>
        <w:t xml:space="preserve">).</w:t>
      </w:r>
    </w:p>
    <w:p>
      <w:pPr>
        <w:pStyle w:val="Heading2"/>
      </w:pPr>
      <w:bookmarkStart w:id="36" w:name="diagnose"/>
      <w:r>
        <w:t xml:space="preserve">Diagnose</w:t>
      </w:r>
      <w:bookmarkEnd w:id="36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 - the list is tried IN THIS ORDER, top first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  <w:r>
        <w:br/>
      </w:r>
      <w:r>
        <w:rPr>
          <w:rStyle w:val="CommentTok"/>
        </w:rPr>
        <w:t xml:space="preserve">#          ("SMB channel encryption" - anything unchecked is refused)</w:t>
      </w:r>
    </w:p>
    <w:p>
      <w:pPr>
        <w:pStyle w:val="FirstParagraph"/>
      </w:pPr>
      <w:r>
        <w:t xml:space="preserve">They have no cipher in common. SMB negotiates the cipher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 client</w:t>
      </w:r>
      <w:r>
        <w:t xml:space="preserve"> </w:t>
      </w:r>
      <w:r>
        <w:t xml:space="preserve">even names the storage account, so the service can’t pick one per account — if</w:t>
      </w:r>
      <w:r>
        <w:t xml:space="preserve"> </w:t>
      </w:r>
      <w:r>
        <w:t xml:space="preserve">the negotiated cipher isn’t on the account’s allowed list, the session setup is</w:t>
      </w:r>
      <w:r>
        <w:t xml:space="preserve"> </w:t>
      </w:r>
      <w:r>
        <w:t xml:space="preserve">refused and the error surfaces as an access denial.</w:t>
      </w:r>
    </w:p>
    <w:p>
      <w:pPr>
        <w:pStyle w:val="Heading2"/>
      </w:pPr>
      <w:bookmarkStart w:id="37" w:name="fix-on-the-client-not-the-account"/>
      <w:r>
        <w:t xml:space="preserve">Fix — on the client, not the account</w:t>
      </w:r>
      <w:bookmarkEnd w:id="37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t xml:space="preserve">The repair changes the</w:t>
      </w:r>
      <w:r>
        <w:t xml:space="preserve"> </w:t>
      </w:r>
      <w:r>
        <w:rPr>
          <w:b/>
        </w:rPr>
        <w:t xml:space="preserve">client’s</w:t>
      </w:r>
      <w:r>
        <w:t xml:space="preserve"> </w:t>
      </w:r>
      <w:r>
        <w:t xml:space="preserve">cipher order so an account-allowed cipher</w:t>
      </w:r>
      <w:r>
        <w:t xml:space="preserve"> </w:t>
      </w:r>
      <w:r>
        <w:t xml:space="preserve">leads:</w:t>
      </w:r>
    </w:p>
    <w:p>
      <w:pPr>
        <w:pStyle w:val="SourceCode"/>
      </w:pPr>
      <w:r>
        <w:rPr>
          <w:rStyle w:val="NormalTok"/>
        </w:rPr>
        <w:t xml:space="preserve">Set-SmbClientConfiguration -EncryptionCiphers </w:t>
      </w:r>
      <w:r>
        <w:rPr>
          <w:rStyle w:val="StringTok"/>
        </w:rPr>
        <w:t xml:space="preserve">"AES_256_GCM,AES_256_CCM,AES_128_GCM,AES_128_CCM"</w:t>
      </w:r>
    </w:p>
    <w:p>
      <w:pPr>
        <w:pStyle w:val="FirstParagraph"/>
      </w:pPr>
      <w:r>
        <w:t xml:space="preserve">Two deliberate choices in that line, both straight from real support practice: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account keeps its hardened setting.</w:t>
      </w:r>
      <w:r>
        <w:t xml:space="preserve"> </w:t>
      </w:r>
      <w:r>
        <w:t xml:space="preserve">“</w:t>
      </w:r>
      <w:r>
        <w:t xml:space="preserve">Maximum security</w:t>
      </w:r>
      <w:r>
        <w:t xml:space="preserve">”</w:t>
      </w:r>
      <w:r>
        <w:t xml:space="preserve"> </w:t>
      </w:r>
      <w:r>
        <w:t xml:space="preserve">on the storage</w:t>
      </w:r>
      <w:r>
        <w:t xml:space="preserve"> </w:t>
      </w:r>
      <w:r>
        <w:t xml:space="preserve">account is usually a decision someone made on purpose; the first move is to</w:t>
      </w:r>
      <w:r>
        <w:t xml:space="preserve"> </w:t>
      </w:r>
      <w:r>
        <w:t xml:space="preserve">bring the client up to it, not to weaken the account. (Re-allowing the cipher</w:t>
      </w:r>
      <w:r>
        <w:t xml:space="preserve"> </w:t>
      </w:r>
      <w:r>
        <w:t xml:space="preserve">on the account is the fallback when a fleet of unmanageable clients is</w:t>
      </w:r>
      <w:r>
        <w:t xml:space="preserve"> </w:t>
      </w:r>
      <w:r>
        <w:t xml:space="preserve">involved.)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weaker ciphers stay in the client list, just lower.</w:t>
      </w:r>
      <w:r>
        <w:t xml:space="preserve"> </w:t>
      </w:r>
      <w:r>
        <w:t xml:space="preserve">Removing them</w:t>
      </w:r>
      <w:r>
        <w:t xml:space="preserve"> </w:t>
      </w:r>
      <w:r>
        <w:t xml:space="preserve">entirely breaks compatibility elsewhere — notably, mounting with the</w:t>
      </w:r>
      <w:r>
        <w:t xml:space="preserve"> </w:t>
      </w:r>
      <w:r>
        <w:rPr>
          <w:b/>
        </w:rPr>
        <w:t xml:space="preserve">storage account key</w:t>
      </w:r>
      <w:r>
        <w:t xml:space="preserve"> </w:t>
      </w:r>
      <w:r>
        <w:t xml:space="preserve">needs AES-128-CCM. Order, not removal, is the tool.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X92ed23674135c47bbb946c3edb44bb64bc7bb9c"/>
      <w:r>
        <w:t xml:space="preserve">Lab 5 · Fix a mount failure (error 1396) — different root cause</w:t>
      </w:r>
      <w:bookmarkEnd w:id="38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capture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capture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TGS-REQ / REP</w:t>
            </w:r>
          </w:p>
        </w:tc>
        <w:tc>
          <w:p>
            <w:pPr>
              <w:pStyle w:val="Compact"/>
              <w:jc w:val="left"/>
            </w:pPr>
            <w:r>
              <w:t xml:space="preserve">ticket issued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issued</w:t>
            </w:r>
            <w:r>
              <w:t xml:space="preserve"> </w:t>
            </w:r>
            <w:r>
              <w:t xml:space="preserve">— the KDC is fine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SMB2 Session Setup</w:t>
            </w:r>
          </w:p>
        </w:tc>
        <w:tc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KRB_AP_ERR_MODIFIED</w:t>
            </w:r>
          </w:p>
        </w:tc>
      </w:tr>
    </w:tbl>
    <w:p>
      <w:pPr>
        <w:pStyle w:val="BodyText"/>
      </w:pPr>
      <w:r>
        <w:t xml:space="preserve">Then confirm from the KDC’s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lab-6-fix-a-broken-spn-error-0xc000018b"/>
      <w:r>
        <w:t xml:space="preserve">Lab 6 · Fix a broken SPN (error 0xc000018b)</w:t>
      </w:r>
      <w:bookmarkEnd w:id="39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lab-7-two-quick-ones"/>
      <w:r>
        <w:t xml:space="preserve">Lab 7 · Two quick ones</w:t>
      </w:r>
      <w:bookmarkEnd w:id="40"/>
    </w:p>
    <w:p>
      <w:pPr>
        <w:pStyle w:val="Heading2"/>
      </w:pPr>
      <w:bookmarkStart w:id="41" w:name="a-blocked-port-445"/>
      <w:r>
        <w:t xml:space="preserve">7a · Blocked port 445</w:t>
      </w:r>
      <w:bookmarkEnd w:id="41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42" w:name="b-lost-share-level-access"/>
      <w:r>
        <w:t xml:space="preserve">7b · Lost share-level access</w:t>
      </w:r>
      <w:bookmarkEnd w:id="42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X388e6b2f4e6dbe7ea8700b7813f407dbdb4d608"/>
      <w:r>
        <w:t xml:space="preserve">Optional · Advanced faults (evidence required)</w:t>
      </w:r>
      <w:bookmarkEnd w:id="43"/>
    </w:p>
    <w:p>
      <w:pPr>
        <w:pStyle w:val="FirstParagraph"/>
      </w:pPr>
      <w:r>
        <w:t xml:space="preserve">These three can’t be identified from the error message alone — you need the</w:t>
      </w:r>
      <w:r>
        <w:t xml:space="preserve"> </w:t>
      </w:r>
      <w:r>
        <w:t xml:space="preserve">trace or event 4769. That’s the point.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you’ll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registers the storage SPN on a second AD object.</w:t>
      </w:r>
      <w:r>
        <w:t xml:space="preserve"> </w:t>
      </w:r>
      <w:r>
        <w:t xml:space="preserve">On the DC,</w:t>
      </w:r>
      <w:r>
        <w:t xml:space="preserve"> </w:t>
      </w:r>
      <w:r>
        <w:rPr>
          <w:rStyle w:val="VerbatimChar"/>
        </w:rPr>
        <w:t xml:space="preserve">setspn -X</w:t>
      </w:r>
      <w:r>
        <w:t xml:space="preserve"> </w:t>
      </w:r>
      <w:r>
        <w:t xml:space="preserve">reveals the duplicate; the KDC can end up encrypting the</w:t>
      </w:r>
      <w:r>
        <w:t xml:space="preserve"> </w:t>
      </w:r>
      <w:r>
        <w:t xml:space="preserve">ticket for the wrong account. A classic, hard-to-spot production issue.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clean-up"/>
      <w:r>
        <w:t xml:space="preserve">Clean up</w:t>
      </w:r>
      <w:bookmarkEnd w:id="44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command-reference"/>
      <w:r>
        <w:t xml:space="preserve">Command reference</w:t>
      </w:r>
      <w:bookmarkEnd w:id="45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Status|Enforce|Repair|Rollback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6" w:name="error-cause-quick-map"/>
      <w:r>
        <w:t xml:space="preserve">Error → cause quick map</w:t>
      </w:r>
      <w:bookmarkEnd w:id="4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on the wire)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microsoft.com/devicelog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microsoft.com/device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cp:keywords/>
  <dcterms:created xsi:type="dcterms:W3CDTF">2026-08-15T16:36:25Z</dcterms:created>
  <dcterms:modified xsi:type="dcterms:W3CDTF">2026-08-15T16:36:25Z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