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b/>
          <w:bCs/>
          <w:sz w:val="26"/>
          <w:szCs w:val="26"/>
        </w:rPr>
        <w:t xml:space="preserve">Koneru Lakshmaiah Education Foundation (KL University Hyderabad)</w:t>
      </w:r>
    </w:p>
    <w:p>
      <w:pPr>
        <w:spacing w:after="60" w:before="40" w:line="276"/>
        <w:jc w:val="center"/>
      </w:pPr>
      <w:r>
        <w:rPr>
          <w:b w:val="false"/>
          <w:bCs w:val="false"/>
          <w:sz w:val="24"/>
          <w:szCs w:val="24"/>
        </w:rPr>
        <w:t xml:space="preserve">Department of Computer Science and Engineering</w:t>
      </w:r>
    </w:p>
    <w:p>
      <w:pPr>
        <w:spacing w:after="60" w:before="40" w:line="276"/>
        <w:jc w:val="center"/>
      </w:pPr>
      <w:r>
        <w:rPr>
          <w:b w:val="false"/>
          <w:bCs w:val="false"/>
          <w:sz w:val="24"/>
          <w:szCs w:val="24"/>
        </w:rPr>
        <w:t xml:space="preserve">Hyderabad, Telangana, India</w:t>
      </w:r>
    </w:p>
    <w:p>
      <w:pPr>
        <w:spacing w:after="300"/>
        <w:jc w:val="center"/>
      </w:pPr>
      <w:r>
        <w:drawing>
          <wp:inline distT="0" distB="0" distL="0" distR="0">
            <wp:extent cx="2362200" cy="9715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62200" cy="971550"/>
                    </a:xfrm>
                    <a:prstGeom prst="rect">
                      <a:avLst/>
                    </a:prstGeom>
                  </pic:spPr>
                </pic:pic>
              </a:graphicData>
            </a:graphic>
          </wp:inline>
        </w:drawing>
      </w:r>
    </w:p>
    <w:p>
      <w:pPr>
        <w:spacing w:after="60" w:before="400" w:line="276"/>
        <w:jc w:val="center"/>
      </w:pPr>
      <w:r>
        <w:rPr>
          <w:b/>
          <w:bCs/>
          <w:sz w:val="32"/>
          <w:szCs w:val="32"/>
        </w:rPr>
        <w:t xml:space="preserve">CLOUDNOTE AI: CLOUD-BASED INTELLIGENT</w:t>
      </w:r>
    </w:p>
    <w:p>
      <w:pPr>
        <w:spacing w:after="60" w:before="0" w:line="276"/>
        <w:jc w:val="center"/>
      </w:pPr>
      <w:r>
        <w:rPr>
          <w:b/>
          <w:bCs/>
          <w:sz w:val="32"/>
          <w:szCs w:val="32"/>
        </w:rPr>
        <w:t xml:space="preserve">VIDEO NOTE EXTRACTION AND</w:t>
      </w:r>
    </w:p>
    <w:p>
      <w:pPr>
        <w:spacing w:after="60" w:before="0" w:line="276"/>
        <w:jc w:val="center"/>
      </w:pPr>
      <w:r>
        <w:rPr>
          <w:b/>
          <w:bCs/>
          <w:sz w:val="32"/>
          <w:szCs w:val="32"/>
        </w:rPr>
        <w:t xml:space="preserve">SEMANTIC SEARCH PLATFORM</w:t>
      </w:r>
    </w:p>
    <w:p>
      <w:pPr>
        <w:spacing w:after="60" w:before="120" w:line="276"/>
        <w:jc w:val="center"/>
      </w:pPr>
      <w:r>
        <w:rPr>
          <w:b w:val="false"/>
          <w:bCs w:val="false"/>
          <w:sz w:val="26"/>
          <w:szCs w:val="26"/>
        </w:rPr>
        <w:t xml:space="preserve">CloudNote AI</w:t>
      </w:r>
    </w:p>
    <w:p>
      <w:pPr>
        <w:spacing w:after="60" w:before="600" w:line="276"/>
        <w:jc w:val="center"/>
      </w:pPr>
      <w:r>
        <w:rPr>
          <w:b/>
          <w:bCs/>
          <w:sz w:val="32"/>
          <w:szCs w:val="32"/>
        </w:rPr>
        <w:t xml:space="preserve">PROJECT ANALYSIS REPORT</w:t>
      </w:r>
    </w:p>
    <w:p>
      <w:pPr>
        <w:spacing w:after="60" w:before="80" w:line="276"/>
        <w:jc w:val="center"/>
      </w:pPr>
      <w:r>
        <w:rPr>
          <w:b w:val="false"/>
          <w:bCs w:val="false"/>
          <w:sz w:val="24"/>
          <w:szCs w:val="24"/>
        </w:rPr>
        <w:t xml:space="preserve">Engineering Capstone Project - 1 (23IE4053R/23IE4053A)</w:t>
      </w:r>
    </w:p>
    <w:p>
      <w:pPr>
        <w:spacing w:after="60" w:before="720" w:line="276"/>
        <w:jc w:val="center"/>
      </w:pPr>
      <w:r>
        <w:rPr>
          <w:b w:val="false"/>
          <w:bCs w:val="false"/>
          <w:i/>
          <w:iCs/>
          <w:sz w:val="24"/>
          <w:szCs w:val="24"/>
        </w:rPr>
        <w:t xml:space="preserve">Submitted by</w:t>
      </w:r>
    </w:p>
    <w:tbl>
      <w:tblPr>
        <w:tblW w:type="dxa" w:w="4817"/>
        <w:jc w:val="center"/>
        <w:tblBorders>
          <w:top w:val="none" w:color="FFFFFF" w:sz="0"/>
          <w:left w:val="none" w:color="FFFFFF" w:sz="0"/>
          <w:bottom w:val="none" w:color="FFFFFF" w:sz="0"/>
          <w:right w:val="none" w:color="FFFFFF" w:sz="0"/>
          <w:insideH w:val="none" w:color="FFFFFF" w:sz="0"/>
          <w:insideV w:val="none" w:color="FFFFFF" w:sz="0"/>
        </w:tblBorders>
      </w:tblPr>
      <w:tblGrid>
        <w:gridCol w:w="2990"/>
        <w:gridCol w:w="1827"/>
      </w:tblGrid>
      <w:tr>
        <w:tc>
          <w:tcPr>
            <w:tcW w:type="dxa" w:w="2990"/>
            <w:tcBorders>
              <w:top w:val="none" w:color="FFFFFF" w:sz="0"/>
              <w:left w:val="none" w:color="FFFFFF" w:sz="0"/>
              <w:bottom w:val="none" w:color="FFFFFF" w:sz="0"/>
              <w:right w:val="none" w:color="FFFFFF" w:sz="0"/>
            </w:tcBorders>
          </w:tcPr>
          <w:p>
            <w:pPr>
              <w:spacing w:after="40"/>
            </w:pPr>
            <w:r>
              <w:rPr>
                <w:sz w:val="24"/>
                <w:szCs w:val="24"/>
              </w:rPr>
              <w:t xml:space="preserve">K. Mithilesh Reddy</w:t>
            </w:r>
          </w:p>
        </w:tc>
        <w:tc>
          <w:tcPr>
            <w:tcW w:type="dxa" w:w="1827"/>
            <w:tcBorders>
              <w:top w:val="none" w:color="FFFFFF" w:sz="0"/>
              <w:left w:val="none" w:color="FFFFFF" w:sz="0"/>
              <w:bottom w:val="none" w:color="FFFFFF" w:sz="0"/>
              <w:right w:val="none" w:color="FFFFFF" w:sz="0"/>
            </w:tcBorders>
          </w:tcPr>
          <w:p>
            <w:pPr>
              <w:spacing w:after="40"/>
            </w:pPr>
            <w:r>
              <w:rPr>
                <w:sz w:val="24"/>
                <w:szCs w:val="24"/>
              </w:rPr>
              <w:t xml:space="preserve">2320030330</w:t>
            </w:r>
          </w:p>
        </w:tc>
      </w:tr>
      <w:tr>
        <w:tc>
          <w:tcPr>
            <w:tcW w:type="dxa" w:w="2990"/>
            <w:tcBorders>
              <w:top w:val="none" w:color="FFFFFF" w:sz="0"/>
              <w:left w:val="none" w:color="FFFFFF" w:sz="0"/>
              <w:bottom w:val="none" w:color="FFFFFF" w:sz="0"/>
              <w:right w:val="none" w:color="FFFFFF" w:sz="0"/>
            </w:tcBorders>
          </w:tcPr>
          <w:p>
            <w:pPr>
              <w:spacing w:after="40"/>
            </w:pPr>
            <w:r>
              <w:rPr>
                <w:sz w:val="24"/>
                <w:szCs w:val="24"/>
              </w:rPr>
              <w:t xml:space="preserve">Nitin Tulugu</w:t>
            </w:r>
          </w:p>
        </w:tc>
        <w:tc>
          <w:tcPr>
            <w:tcW w:type="dxa" w:w="1827"/>
            <w:tcBorders>
              <w:top w:val="none" w:color="FFFFFF" w:sz="0"/>
              <w:left w:val="none" w:color="FFFFFF" w:sz="0"/>
              <w:bottom w:val="none" w:color="FFFFFF" w:sz="0"/>
              <w:right w:val="none" w:color="FFFFFF" w:sz="0"/>
            </w:tcBorders>
          </w:tcPr>
          <w:p>
            <w:pPr>
              <w:spacing w:after="40"/>
            </w:pPr>
            <w:r>
              <w:rPr>
                <w:sz w:val="24"/>
                <w:szCs w:val="24"/>
              </w:rPr>
              <w:t xml:space="preserve">2320030186</w:t>
            </w:r>
          </w:p>
        </w:tc>
      </w:tr>
      <w:tr>
        <w:tc>
          <w:tcPr>
            <w:tcW w:type="dxa" w:w="2990"/>
            <w:tcBorders>
              <w:top w:val="none" w:color="FFFFFF" w:sz="0"/>
              <w:left w:val="none" w:color="FFFFFF" w:sz="0"/>
              <w:bottom w:val="none" w:color="FFFFFF" w:sz="0"/>
              <w:right w:val="none" w:color="FFFFFF" w:sz="0"/>
            </w:tcBorders>
          </w:tcPr>
          <w:p>
            <w:pPr>
              <w:spacing w:after="40"/>
            </w:pPr>
            <w:r>
              <w:rPr>
                <w:sz w:val="24"/>
                <w:szCs w:val="24"/>
              </w:rPr>
              <w:t xml:space="preserve">Sargu Sai Chetan</w:t>
            </w:r>
          </w:p>
        </w:tc>
        <w:tc>
          <w:tcPr>
            <w:tcW w:type="dxa" w:w="1827"/>
            <w:tcBorders>
              <w:top w:val="none" w:color="FFFFFF" w:sz="0"/>
              <w:left w:val="none" w:color="FFFFFF" w:sz="0"/>
              <w:bottom w:val="none" w:color="FFFFFF" w:sz="0"/>
              <w:right w:val="none" w:color="FFFFFF" w:sz="0"/>
            </w:tcBorders>
          </w:tcPr>
          <w:p>
            <w:pPr>
              <w:spacing w:after="40"/>
            </w:pPr>
            <w:r>
              <w:rPr>
                <w:sz w:val="24"/>
                <w:szCs w:val="24"/>
              </w:rPr>
              <w:t xml:space="preserve">2320030348</w:t>
            </w:r>
          </w:p>
        </w:tc>
      </w:tr>
    </w:tbl>
    <w:p>
      <w:pPr>
        <w:spacing w:after="60" w:before="480" w:line="276"/>
        <w:jc w:val="center"/>
      </w:pPr>
      <w:r>
        <w:rPr>
          <w:b w:val="false"/>
          <w:bCs w:val="false"/>
          <w:i/>
          <w:iCs/>
          <w:sz w:val="24"/>
          <w:szCs w:val="24"/>
        </w:rPr>
        <w:t xml:space="preserve">Under the guidance of</w:t>
      </w:r>
    </w:p>
    <w:p>
      <w:pPr>
        <w:spacing w:after="60" w:before="80" w:line="276"/>
        <w:jc w:val="center"/>
      </w:pPr>
      <w:r>
        <w:rPr>
          <w:b/>
          <w:bCs/>
          <w:sz w:val="26"/>
          <w:szCs w:val="26"/>
        </w:rPr>
        <w:t xml:space="preserve">Dr. G. Neelima</w:t>
      </w:r>
    </w:p>
    <w:p>
      <w:pPr>
        <w:spacing w:after="60" w:before="40" w:line="276"/>
        <w:jc w:val="center"/>
      </w:pPr>
      <w:r>
        <w:rPr>
          <w:b w:val="false"/>
          <w:bCs w:val="false"/>
          <w:sz w:val="24"/>
          <w:szCs w:val="24"/>
        </w:rPr>
        <w:t xml:space="preserve">Department of Computer Science and Engineering</w:t>
      </w:r>
    </w:p>
    <w:p>
      <w:pPr>
        <w:spacing w:after="60" w:before="800" w:line="276"/>
        <w:jc w:val="center"/>
        <w:sectPr>
          <w:pgSz w:w="11906" w:h="16838" w:orient="portrait"/>
          <w:pgMar w:top="1440" w:right="1440" w:bottom="1440" w:left="2160" w:header="708" w:footer="708" w:gutter="0"/>
          <w:pgNumType/>
          <w:docGrid w:linePitch="360"/>
        </w:sectPr>
      </w:pPr>
      <w:r>
        <w:rPr>
          <w:b/>
          <w:bCs/>
          <w:sz w:val="24"/>
          <w:szCs w:val="24"/>
        </w:rPr>
        <w:t xml:space="preserve">Academic Year 2026-27</w:t>
      </w:r>
    </w:p>
    <w:p>
      <w:pPr>
        <w:pageBreakBefore/>
        <w:spacing w:after="360"/>
        <w:jc w:val="center"/>
      </w:pPr>
      <w:r>
        <w:rPr>
          <w:b/>
          <w:bCs/>
          <w:sz w:val="32"/>
          <w:szCs w:val="32"/>
        </w:rPr>
        <w:t xml:space="preserve">TABLE OF CONTENTS</w:t>
      </w:r>
    </w:p>
    <w:p>
      <w:pPr>
        <w:tabs>
          <w:tab w:val="right" w:pos="8296" w:leader="dot"/>
        </w:tabs>
        <w:spacing w:after="100" w:before="80" w:line="276"/>
        <w:ind w:left="0" w:hanging="0"/>
      </w:pPr>
      <w:r>
        <w:rPr>
          <w:b w:val="false"/>
          <w:bCs w:val="false"/>
          <w:sz w:val="23"/>
          <w:szCs w:val="23"/>
        </w:rPr>
        <w:t xml:space="preserve">1. Executive Summary</w:t>
      </w:r>
      <w:r>
        <w:rPr>
          <w:sz w:val="22"/>
          <w:szCs w:val="22"/>
        </w:rPr>
        <w:t xml:space="preserve">	1</w:t>
      </w:r>
    </w:p>
    <w:p>
      <w:pPr>
        <w:tabs>
          <w:tab w:val="right" w:pos="8296" w:leader="dot"/>
        </w:tabs>
        <w:spacing w:after="100" w:before="80" w:line="276"/>
        <w:ind w:left="0" w:hanging="0"/>
      </w:pPr>
      <w:r>
        <w:rPr>
          <w:b w:val="false"/>
          <w:bCs w:val="false"/>
          <w:sz w:val="23"/>
          <w:szCs w:val="23"/>
        </w:rPr>
        <w:t xml:space="preserve">2. Objectives versus Outcomes</w:t>
      </w:r>
      <w:r>
        <w:rPr>
          <w:sz w:val="22"/>
          <w:szCs w:val="22"/>
        </w:rPr>
        <w:t xml:space="preserve">	1</w:t>
      </w:r>
    </w:p>
    <w:p>
      <w:pPr>
        <w:tabs>
          <w:tab w:val="right" w:pos="8296" w:leader="dot"/>
        </w:tabs>
        <w:spacing w:after="100" w:before="80" w:line="276"/>
        <w:ind w:left="0" w:hanging="0"/>
      </w:pPr>
      <w:r>
        <w:rPr>
          <w:b w:val="false"/>
          <w:bCs w:val="false"/>
          <w:sz w:val="23"/>
          <w:szCs w:val="23"/>
        </w:rPr>
        <w:t xml:space="preserve">3. Requirements Coverage Analysis</w:t>
      </w:r>
      <w:r>
        <w:rPr>
          <w:sz w:val="22"/>
          <w:szCs w:val="22"/>
        </w:rPr>
        <w:t xml:space="preserve">	2</w:t>
      </w:r>
    </w:p>
    <w:p>
      <w:pPr>
        <w:tabs>
          <w:tab w:val="right" w:pos="8296" w:leader="dot"/>
        </w:tabs>
        <w:spacing w:after="60" w:before="0" w:line="276"/>
        <w:ind w:left="360" w:hanging="0"/>
      </w:pPr>
      <w:r>
        <w:rPr>
          <w:b w:val="false"/>
          <w:bCs w:val="false"/>
          <w:sz w:val="22"/>
          <w:szCs w:val="22"/>
        </w:rPr>
        <w:t xml:space="preserve">3.1 Functional requirements by module</w:t>
      </w:r>
      <w:r>
        <w:rPr>
          <w:sz w:val="22"/>
          <w:szCs w:val="22"/>
        </w:rPr>
        <w:t xml:space="preserve">	2</w:t>
      </w:r>
    </w:p>
    <w:p>
      <w:pPr>
        <w:tabs>
          <w:tab w:val="right" w:pos="8296" w:leader="dot"/>
        </w:tabs>
        <w:spacing w:after="60" w:before="0" w:line="276"/>
        <w:ind w:left="360" w:hanging="0"/>
      </w:pPr>
      <w:r>
        <w:rPr>
          <w:b w:val="false"/>
          <w:bCs w:val="false"/>
          <w:sz w:val="22"/>
          <w:szCs w:val="22"/>
        </w:rPr>
        <w:t xml:space="preserve">3.2 Non-functional requirements</w:t>
      </w:r>
      <w:r>
        <w:rPr>
          <w:sz w:val="22"/>
          <w:szCs w:val="22"/>
        </w:rPr>
        <w:t xml:space="preserve">	2</w:t>
      </w:r>
    </w:p>
    <w:p>
      <w:pPr>
        <w:tabs>
          <w:tab w:val="right" w:pos="8296" w:leader="dot"/>
        </w:tabs>
        <w:spacing w:after="100" w:before="80" w:line="276"/>
        <w:ind w:left="0" w:hanging="0"/>
      </w:pPr>
      <w:r>
        <w:rPr>
          <w:b w:val="false"/>
          <w:bCs w:val="false"/>
          <w:sz w:val="23"/>
          <w:szCs w:val="23"/>
        </w:rPr>
        <w:t xml:space="preserve">4. Architecture and Design Decision Analysis</w:t>
      </w:r>
      <w:r>
        <w:rPr>
          <w:sz w:val="22"/>
          <w:szCs w:val="22"/>
        </w:rPr>
        <w:t xml:space="preserve">	3</w:t>
      </w:r>
    </w:p>
    <w:p>
      <w:pPr>
        <w:tabs>
          <w:tab w:val="right" w:pos="8296" w:leader="dot"/>
        </w:tabs>
        <w:spacing w:after="100" w:before="80" w:line="276"/>
        <w:ind w:left="0" w:hanging="0"/>
      </w:pPr>
      <w:r>
        <w:rPr>
          <w:b w:val="false"/>
          <w:bCs w:val="false"/>
          <w:sz w:val="23"/>
          <w:szCs w:val="23"/>
        </w:rPr>
        <w:t xml:space="preserve">5. Performance Analysis</w:t>
      </w:r>
      <w:r>
        <w:rPr>
          <w:sz w:val="22"/>
          <w:szCs w:val="22"/>
        </w:rPr>
        <w:t xml:space="preserve">	4</w:t>
      </w:r>
    </w:p>
    <w:p>
      <w:pPr>
        <w:tabs>
          <w:tab w:val="right" w:pos="8296" w:leader="dot"/>
        </w:tabs>
        <w:spacing w:after="60" w:before="0" w:line="276"/>
        <w:ind w:left="360" w:hanging="0"/>
      </w:pPr>
      <w:r>
        <w:rPr>
          <w:b w:val="false"/>
          <w:bCs w:val="false"/>
          <w:sz w:val="22"/>
          <w:szCs w:val="22"/>
        </w:rPr>
        <w:t xml:space="preserve">5.1 End-to-end API latency</w:t>
      </w:r>
      <w:r>
        <w:rPr>
          <w:sz w:val="22"/>
          <w:szCs w:val="22"/>
        </w:rPr>
        <w:t xml:space="preserve">	4</w:t>
      </w:r>
    </w:p>
    <w:p>
      <w:pPr>
        <w:tabs>
          <w:tab w:val="right" w:pos="8296" w:leader="dot"/>
        </w:tabs>
        <w:spacing w:after="60" w:before="0" w:line="276"/>
        <w:ind w:left="360" w:hanging="0"/>
      </w:pPr>
      <w:r>
        <w:rPr>
          <w:b w:val="false"/>
          <w:bCs w:val="false"/>
          <w:sz w:val="22"/>
          <w:szCs w:val="22"/>
        </w:rPr>
        <w:t xml:space="preserve">5.2 Cold versus warm Lambda execution</w:t>
      </w:r>
      <w:r>
        <w:rPr>
          <w:sz w:val="22"/>
          <w:szCs w:val="22"/>
        </w:rPr>
        <w:t xml:space="preserve">	4</w:t>
      </w:r>
    </w:p>
    <w:p>
      <w:pPr>
        <w:tabs>
          <w:tab w:val="right" w:pos="8296" w:leader="dot"/>
        </w:tabs>
        <w:spacing w:after="60" w:before="0" w:line="276"/>
        <w:ind w:left="360" w:hanging="0"/>
      </w:pPr>
      <w:r>
        <w:rPr>
          <w:b w:val="false"/>
          <w:bCs w:val="false"/>
          <w:sz w:val="22"/>
          <w:szCs w:val="22"/>
        </w:rPr>
        <w:t xml:space="preserve">5.3 Pipeline timing</w:t>
      </w:r>
      <w:r>
        <w:rPr>
          <w:sz w:val="22"/>
          <w:szCs w:val="22"/>
        </w:rPr>
        <w:t xml:space="preserve">	4</w:t>
      </w:r>
    </w:p>
    <w:p>
      <w:pPr>
        <w:tabs>
          <w:tab w:val="right" w:pos="8296" w:leader="dot"/>
        </w:tabs>
        <w:spacing w:after="60" w:before="0" w:line="276"/>
        <w:ind w:left="360" w:hanging="0"/>
      </w:pPr>
      <w:r>
        <w:rPr>
          <w:b w:val="false"/>
          <w:bCs w:val="false"/>
          <w:sz w:val="22"/>
          <w:szCs w:val="22"/>
        </w:rPr>
        <w:t xml:space="preserve">5.4 Front-end payload</w:t>
      </w:r>
      <w:r>
        <w:rPr>
          <w:sz w:val="22"/>
          <w:szCs w:val="22"/>
        </w:rPr>
        <w:t xml:space="preserve">	5</w:t>
      </w:r>
    </w:p>
    <w:p>
      <w:pPr>
        <w:tabs>
          <w:tab w:val="right" w:pos="8296" w:leader="dot"/>
        </w:tabs>
        <w:spacing w:after="60" w:before="0" w:line="276"/>
        <w:ind w:left="360" w:hanging="0"/>
      </w:pPr>
      <w:r>
        <w:rPr>
          <w:b w:val="false"/>
          <w:bCs w:val="false"/>
          <w:sz w:val="22"/>
          <w:szCs w:val="22"/>
        </w:rPr>
        <w:t xml:space="preserve">5.5 Language-model behaviour</w:t>
      </w:r>
      <w:r>
        <w:rPr>
          <w:sz w:val="22"/>
          <w:szCs w:val="22"/>
        </w:rPr>
        <w:t xml:space="preserve">	5</w:t>
      </w:r>
    </w:p>
    <w:p>
      <w:pPr>
        <w:tabs>
          <w:tab w:val="right" w:pos="8296" w:leader="dot"/>
        </w:tabs>
        <w:spacing w:after="100" w:before="80" w:line="276"/>
        <w:ind w:left="0" w:hanging="0"/>
      </w:pPr>
      <w:r>
        <w:rPr>
          <w:b w:val="false"/>
          <w:bCs w:val="false"/>
          <w:sz w:val="23"/>
          <w:szCs w:val="23"/>
        </w:rPr>
        <w:t xml:space="preserve">6. Security Analysis</w:t>
      </w:r>
      <w:r>
        <w:rPr>
          <w:sz w:val="22"/>
          <w:szCs w:val="22"/>
        </w:rPr>
        <w:t xml:space="preserve">	5</w:t>
      </w:r>
    </w:p>
    <w:p>
      <w:pPr>
        <w:tabs>
          <w:tab w:val="right" w:pos="8296" w:leader="dot"/>
        </w:tabs>
        <w:spacing w:after="60" w:before="0" w:line="276"/>
        <w:ind w:left="360" w:hanging="0"/>
      </w:pPr>
      <w:r>
        <w:rPr>
          <w:b w:val="false"/>
          <w:bCs w:val="false"/>
          <w:sz w:val="22"/>
          <w:szCs w:val="22"/>
        </w:rPr>
        <w:t xml:space="preserve">6.1 STRIDE threat model</w:t>
      </w:r>
      <w:r>
        <w:rPr>
          <w:sz w:val="22"/>
          <w:szCs w:val="22"/>
        </w:rPr>
        <w:t xml:space="preserve">	5</w:t>
      </w:r>
    </w:p>
    <w:p>
      <w:pPr>
        <w:tabs>
          <w:tab w:val="right" w:pos="8296" w:leader="dot"/>
        </w:tabs>
        <w:spacing w:after="60" w:before="0" w:line="276"/>
        <w:ind w:left="360" w:hanging="0"/>
      </w:pPr>
      <w:r>
        <w:rPr>
          <w:b w:val="false"/>
          <w:bCs w:val="false"/>
          <w:sz w:val="22"/>
          <w:szCs w:val="22"/>
        </w:rPr>
        <w:t xml:space="preserve">6.2 OWASP Top 10 (2021) mapping</w:t>
      </w:r>
      <w:r>
        <w:rPr>
          <w:sz w:val="22"/>
          <w:szCs w:val="22"/>
        </w:rPr>
        <w:t xml:space="preserve">	5</w:t>
      </w:r>
    </w:p>
    <w:p>
      <w:pPr>
        <w:tabs>
          <w:tab w:val="right" w:pos="8296" w:leader="dot"/>
        </w:tabs>
        <w:spacing w:after="60" w:before="0" w:line="276"/>
        <w:ind w:left="360" w:hanging="0"/>
      </w:pPr>
      <w:r>
        <w:rPr>
          <w:b w:val="false"/>
          <w:bCs w:val="false"/>
          <w:sz w:val="22"/>
          <w:szCs w:val="22"/>
        </w:rPr>
        <w:t xml:space="preserve">6.3 Security test results</w:t>
      </w:r>
      <w:r>
        <w:rPr>
          <w:sz w:val="22"/>
          <w:szCs w:val="22"/>
        </w:rPr>
        <w:t xml:space="preserve">	6</w:t>
      </w:r>
    </w:p>
    <w:p>
      <w:pPr>
        <w:tabs>
          <w:tab w:val="right" w:pos="8296" w:leader="dot"/>
        </w:tabs>
        <w:spacing w:after="60" w:before="0" w:line="276"/>
        <w:ind w:left="360" w:hanging="0"/>
      </w:pPr>
      <w:r>
        <w:rPr>
          <w:b w:val="false"/>
          <w:bCs w:val="false"/>
          <w:sz w:val="22"/>
          <w:szCs w:val="22"/>
        </w:rPr>
        <w:t xml:space="preserve">6.4 Compliance considerations</w:t>
      </w:r>
      <w:r>
        <w:rPr>
          <w:sz w:val="22"/>
          <w:szCs w:val="22"/>
        </w:rPr>
        <w:t xml:space="preserve">	6</w:t>
      </w:r>
    </w:p>
    <w:p>
      <w:pPr>
        <w:tabs>
          <w:tab w:val="right" w:pos="8296" w:leader="dot"/>
        </w:tabs>
        <w:spacing w:after="60" w:before="0" w:line="276"/>
        <w:ind w:left="360" w:hanging="0"/>
      </w:pPr>
      <w:r>
        <w:rPr>
          <w:b w:val="false"/>
          <w:bCs w:val="false"/>
          <w:sz w:val="22"/>
          <w:szCs w:val="22"/>
        </w:rPr>
        <w:t xml:space="preserve">6.5 Identified security gaps</w:t>
      </w:r>
      <w:r>
        <w:rPr>
          <w:sz w:val="22"/>
          <w:szCs w:val="22"/>
        </w:rPr>
        <w:t xml:space="preserve">	6</w:t>
      </w:r>
    </w:p>
    <w:p>
      <w:pPr>
        <w:tabs>
          <w:tab w:val="right" w:pos="8296" w:leader="dot"/>
        </w:tabs>
        <w:spacing w:after="100" w:before="80" w:line="276"/>
        <w:ind w:left="0" w:hanging="0"/>
      </w:pPr>
      <w:r>
        <w:rPr>
          <w:b w:val="false"/>
          <w:bCs w:val="false"/>
          <w:sz w:val="23"/>
          <w:szCs w:val="23"/>
        </w:rPr>
        <w:t xml:space="preserve">7. Data Analysis</w:t>
      </w:r>
      <w:r>
        <w:rPr>
          <w:sz w:val="22"/>
          <w:szCs w:val="22"/>
        </w:rPr>
        <w:t xml:space="preserve">	7</w:t>
      </w:r>
    </w:p>
    <w:p>
      <w:pPr>
        <w:tabs>
          <w:tab w:val="right" w:pos="8296" w:leader="dot"/>
        </w:tabs>
        <w:spacing w:after="60" w:before="0" w:line="276"/>
        <w:ind w:left="360" w:hanging="0"/>
      </w:pPr>
      <w:r>
        <w:rPr>
          <w:b w:val="false"/>
          <w:bCs w:val="false"/>
          <w:sz w:val="22"/>
          <w:szCs w:val="22"/>
        </w:rPr>
        <w:t xml:space="preserve">7.1 Data model composition</w:t>
      </w:r>
      <w:r>
        <w:rPr>
          <w:sz w:val="22"/>
          <w:szCs w:val="22"/>
        </w:rPr>
        <w:t xml:space="preserve">	7</w:t>
      </w:r>
    </w:p>
    <w:p>
      <w:pPr>
        <w:tabs>
          <w:tab w:val="right" w:pos="8296" w:leader="dot"/>
        </w:tabs>
        <w:spacing w:after="60" w:before="0" w:line="276"/>
        <w:ind w:left="360" w:hanging="0"/>
      </w:pPr>
      <w:r>
        <w:rPr>
          <w:b w:val="false"/>
          <w:bCs w:val="false"/>
          <w:sz w:val="22"/>
          <w:szCs w:val="22"/>
        </w:rPr>
        <w:t xml:space="preserve">7.2 Observations from the sample library</w:t>
      </w:r>
      <w:r>
        <w:rPr>
          <w:sz w:val="22"/>
          <w:szCs w:val="22"/>
        </w:rPr>
        <w:t xml:space="preserve">	8</w:t>
      </w:r>
    </w:p>
    <w:p>
      <w:pPr>
        <w:tabs>
          <w:tab w:val="right" w:pos="8296" w:leader="dot"/>
        </w:tabs>
        <w:spacing w:after="100" w:before="80" w:line="276"/>
        <w:ind w:left="0" w:hanging="0"/>
      </w:pPr>
      <w:r>
        <w:rPr>
          <w:b w:val="false"/>
          <w:bCs w:val="false"/>
          <w:sz w:val="23"/>
          <w:szCs w:val="23"/>
        </w:rPr>
        <w:t xml:space="preserve">8. Cost Analysis</w:t>
      </w:r>
      <w:r>
        <w:rPr>
          <w:sz w:val="22"/>
          <w:szCs w:val="22"/>
        </w:rPr>
        <w:t xml:space="preserve">	8</w:t>
      </w:r>
    </w:p>
    <w:p>
      <w:pPr>
        <w:tabs>
          <w:tab w:val="right" w:pos="8296" w:leader="dot"/>
        </w:tabs>
        <w:spacing w:after="60" w:before="0" w:line="276"/>
        <w:ind w:left="360" w:hanging="0"/>
      </w:pPr>
      <w:r>
        <w:rPr>
          <w:b w:val="false"/>
          <w:bCs w:val="false"/>
          <w:sz w:val="22"/>
          <w:szCs w:val="22"/>
        </w:rPr>
        <w:t xml:space="preserve">8.1 Serverless versus an always-on server</w:t>
      </w:r>
      <w:r>
        <w:rPr>
          <w:sz w:val="22"/>
          <w:szCs w:val="22"/>
        </w:rPr>
        <w:t xml:space="preserve">	8</w:t>
      </w:r>
    </w:p>
    <w:p>
      <w:pPr>
        <w:tabs>
          <w:tab w:val="right" w:pos="8296" w:leader="dot"/>
        </w:tabs>
        <w:spacing w:after="60" w:before="0" w:line="276"/>
        <w:ind w:left="360" w:hanging="0"/>
      </w:pPr>
      <w:r>
        <w:rPr>
          <w:b w:val="false"/>
          <w:bCs w:val="false"/>
          <w:sz w:val="22"/>
          <w:szCs w:val="22"/>
        </w:rPr>
        <w:t xml:space="preserve">8.2 Cost optimisation options</w:t>
      </w:r>
      <w:r>
        <w:rPr>
          <w:sz w:val="22"/>
          <w:szCs w:val="22"/>
        </w:rPr>
        <w:t xml:space="preserve">	8</w:t>
      </w:r>
    </w:p>
    <w:p>
      <w:pPr>
        <w:tabs>
          <w:tab w:val="right" w:pos="8296" w:leader="dot"/>
        </w:tabs>
        <w:spacing w:after="100" w:before="80" w:line="276"/>
        <w:ind w:left="0" w:hanging="0"/>
      </w:pPr>
      <w:r>
        <w:rPr>
          <w:b w:val="false"/>
          <w:bCs w:val="false"/>
          <w:sz w:val="23"/>
          <w:szCs w:val="23"/>
        </w:rPr>
        <w:t xml:space="preserve">9. Code Quality and Maintainability</w:t>
      </w:r>
      <w:r>
        <w:rPr>
          <w:sz w:val="22"/>
          <w:szCs w:val="22"/>
        </w:rPr>
        <w:t xml:space="preserve">	9</w:t>
      </w:r>
    </w:p>
    <w:p>
      <w:pPr>
        <w:tabs>
          <w:tab w:val="right" w:pos="8296" w:leader="dot"/>
        </w:tabs>
        <w:spacing w:after="60" w:before="0" w:line="276"/>
        <w:ind w:left="360" w:hanging="0"/>
      </w:pPr>
      <w:r>
        <w:rPr>
          <w:b w:val="false"/>
          <w:bCs w:val="false"/>
          <w:sz w:val="22"/>
          <w:szCs w:val="22"/>
        </w:rPr>
        <w:t xml:space="preserve">9.1 Maintainability strengths</w:t>
      </w:r>
      <w:r>
        <w:rPr>
          <w:sz w:val="22"/>
          <w:szCs w:val="22"/>
        </w:rPr>
        <w:t xml:space="preserve">	9</w:t>
      </w:r>
    </w:p>
    <w:p>
      <w:pPr>
        <w:tabs>
          <w:tab w:val="right" w:pos="8296" w:leader="dot"/>
        </w:tabs>
        <w:spacing w:after="60" w:before="0" w:line="276"/>
        <w:ind w:left="360" w:hanging="0"/>
      </w:pPr>
      <w:r>
        <w:rPr>
          <w:b w:val="false"/>
          <w:bCs w:val="false"/>
          <w:sz w:val="22"/>
          <w:szCs w:val="22"/>
        </w:rPr>
        <w:t xml:space="preserve">9.2 Technical debt</w:t>
      </w:r>
      <w:r>
        <w:rPr>
          <w:sz w:val="22"/>
          <w:szCs w:val="22"/>
        </w:rPr>
        <w:t xml:space="preserve">	9</w:t>
      </w:r>
    </w:p>
    <w:p>
      <w:pPr>
        <w:tabs>
          <w:tab w:val="right" w:pos="8296" w:leader="dot"/>
        </w:tabs>
        <w:spacing w:after="100" w:before="80" w:line="276"/>
        <w:ind w:left="0" w:hanging="0"/>
      </w:pPr>
      <w:r>
        <w:rPr>
          <w:b w:val="false"/>
          <w:bCs w:val="false"/>
          <w:sz w:val="23"/>
          <w:szCs w:val="23"/>
        </w:rPr>
        <w:t xml:space="preserve">10. Risk Analysis</w:t>
      </w:r>
      <w:r>
        <w:rPr>
          <w:sz w:val="22"/>
          <w:szCs w:val="22"/>
        </w:rPr>
        <w:t xml:space="preserve">	9</w:t>
      </w:r>
    </w:p>
    <w:p>
      <w:pPr>
        <w:tabs>
          <w:tab w:val="right" w:pos="8296" w:leader="dot"/>
        </w:tabs>
        <w:spacing w:after="100" w:before="80" w:line="276"/>
        <w:ind w:left="0" w:hanging="0"/>
      </w:pPr>
      <w:r>
        <w:rPr>
          <w:b w:val="false"/>
          <w:bCs w:val="false"/>
          <w:sz w:val="23"/>
          <w:szCs w:val="23"/>
        </w:rPr>
        <w:t xml:space="preserve">11. Limitations and Future Work</w:t>
      </w:r>
      <w:r>
        <w:rPr>
          <w:sz w:val="22"/>
          <w:szCs w:val="22"/>
        </w:rPr>
        <w:t xml:space="preserve">	10</w:t>
      </w:r>
    </w:p>
    <w:p>
      <w:pPr>
        <w:tabs>
          <w:tab w:val="right" w:pos="8296" w:leader="dot"/>
        </w:tabs>
        <w:spacing w:after="60" w:before="0" w:line="276"/>
        <w:ind w:left="360" w:hanging="0"/>
      </w:pPr>
      <w:r>
        <w:rPr>
          <w:b w:val="false"/>
          <w:bCs w:val="false"/>
          <w:sz w:val="22"/>
          <w:szCs w:val="22"/>
        </w:rPr>
        <w:t xml:space="preserve">11.1 Limitations</w:t>
      </w:r>
      <w:r>
        <w:rPr>
          <w:sz w:val="22"/>
          <w:szCs w:val="22"/>
        </w:rPr>
        <w:t xml:space="preserve">	10</w:t>
      </w:r>
    </w:p>
    <w:p>
      <w:pPr>
        <w:tabs>
          <w:tab w:val="right" w:pos="8296" w:leader="dot"/>
        </w:tabs>
        <w:spacing w:after="60" w:before="0" w:line="276"/>
        <w:ind w:left="360" w:hanging="0"/>
      </w:pPr>
      <w:r>
        <w:rPr>
          <w:b w:val="false"/>
          <w:bCs w:val="false"/>
          <w:sz w:val="22"/>
          <w:szCs w:val="22"/>
        </w:rPr>
        <w:t xml:space="preserve">11.2 Future work</w:t>
      </w:r>
      <w:r>
        <w:rPr>
          <w:sz w:val="22"/>
          <w:szCs w:val="22"/>
        </w:rPr>
        <w:t xml:space="preserve">	10</w:t>
      </w:r>
    </w:p>
    <w:p>
      <w:pPr>
        <w:tabs>
          <w:tab w:val="right" w:pos="8296" w:leader="dot"/>
        </w:tabs>
        <w:spacing w:after="100" w:before="80" w:line="276"/>
        <w:ind w:left="0" w:hanging="0"/>
        <w:sectPr>
          <w:footerReference w:type="default" r:id="rId6"/>
          <w:pgSz w:w="11906" w:h="16838" w:orient="portrait"/>
          <w:pgMar w:top="1440" w:right="1440" w:bottom="1440" w:left="2160" w:header="708" w:footer="708" w:gutter="0"/>
          <w:pgNumType w:start="1" w:fmt="lowerRoman"/>
          <w:docGrid w:linePitch="360"/>
        </w:sectPr>
      </w:pPr>
      <w:r>
        <w:rPr>
          <w:b w:val="false"/>
          <w:bCs w:val="false"/>
          <w:sz w:val="23"/>
          <w:szCs w:val="23"/>
        </w:rPr>
        <w:t xml:space="preserve">12. Conclusion</w:t>
      </w:r>
      <w:r>
        <w:rPr>
          <w:sz w:val="22"/>
          <w:szCs w:val="22"/>
        </w:rPr>
        <w:t xml:space="preserve">	10</w:t>
      </w:r>
    </w:p>
    <w:p>
      <w:pPr>
        <w:pStyle w:val="Heading1"/>
        <w:keepNext/>
        <w:spacing w:after="160" w:before="360"/>
      </w:pPr>
      <w:r>
        <w:rPr>
          <w:b/>
          <w:bCs/>
          <w:sz w:val="30"/>
          <w:szCs w:val="30"/>
        </w:rPr>
        <w:t xml:space="preserve">1. Executive Summary</w:t>
      </w:r>
    </w:p>
    <w:p>
      <w:pPr>
        <w:spacing w:after="120" w:before="0" w:line="360"/>
        <w:jc w:val="both"/>
      </w:pPr>
      <w:r>
        <w:t xml:space="preserve">This report analyses CloudNote AI, a cloud-based platform that turns recorded lectures into timestamped notes, answers questions from a learner's own recordings with citations, and recovers the context that individual recordings leave out by linking references between them. It complements the Final Project Report, which describes what was built; this document evaluates how well it was built, what it costs, how secure it is and what should change next.</w:t>
      </w:r>
    </w:p>
    <w:p>
      <w:pPr>
        <w:spacing w:after="120" w:before="0" w:line="360"/>
        <w:jc w:val="both"/>
      </w:pPr>
      <w:r>
        <w:t xml:space="preserve">The key findings are:</w:t>
      </w:r>
    </w:p>
    <w:p>
      <w:pPr>
        <w:pStyle w:val="ListParagraph"/>
        <w:numPr>
          <w:ilvl w:val="0"/>
          <w:numId w:val="2"/>
        </w:numPr>
        <w:spacing w:after="80" w:line="360"/>
        <w:jc w:val="both"/>
      </w:pPr>
      <w:r>
        <w:rPr>
          <w:b/>
          <w:bCs/>
        </w:rPr>
        <w:t xml:space="preserve">All objectives were met</w:t>
      </w:r>
      <w:r>
        <w:t xml:space="preserve"> and every functional requirement is implemented and exercised on the live deployment; 59 automated tests and 43 live checks passed with no failures.</w:t>
      </w:r>
    </w:p>
    <w:p>
      <w:pPr>
        <w:pStyle w:val="ListParagraph"/>
        <w:numPr>
          <w:ilvl w:val="0"/>
          <w:numId w:val="2"/>
        </w:numPr>
        <w:spacing w:after="80" w:line="360"/>
        <w:jc w:val="both"/>
      </w:pPr>
      <w:r>
        <w:rPr>
          <w:b/>
          <w:bCs/>
        </w:rPr>
        <w:t xml:space="preserve">The application is fast; the network is not.</w:t>
      </w:r>
      <w:r>
        <w:t xml:space="preserve"> The API function's median server-side time was 14.9 ms over 626 invocations, while end-to-end medians seen from India were about 0.5 to 1.6 s because the stack runs in us-east-1 and the client network was unstable.</w:t>
      </w:r>
    </w:p>
    <w:p>
      <w:pPr>
        <w:pStyle w:val="ListParagraph"/>
        <w:numPr>
          <w:ilvl w:val="0"/>
          <w:numId w:val="2"/>
        </w:numPr>
        <w:spacing w:after="80" w:line="360"/>
        <w:jc w:val="both"/>
      </w:pPr>
      <w:r>
        <w:rPr>
          <w:b/>
          <w:bCs/>
        </w:rPr>
        <w:t xml:space="preserve">Security controls held under deliberate misuse:</w:t>
      </w:r>
      <w:r>
        <w:t xml:space="preserve"> unauthenticated, forged-token, cross-user, unsigned-storage and injection attempts were all refused.</w:t>
      </w:r>
    </w:p>
    <w:p>
      <w:pPr>
        <w:pStyle w:val="ListParagraph"/>
        <w:numPr>
          <w:ilvl w:val="0"/>
          <w:numId w:val="2"/>
        </w:numPr>
        <w:spacing w:after="80" w:line="360"/>
        <w:jc w:val="both"/>
      </w:pPr>
      <w:r>
        <w:rPr>
          <w:b/>
          <w:bCs/>
        </w:rPr>
        <w:t xml:space="preserve">Cost so far is zero:</w:t>
      </w:r>
      <w:r>
        <w:t xml:space="preserve"> Cost Explorer reported 0.00 USD for October 2026. Transcription is the only significant cost driver at scale.</w:t>
      </w:r>
    </w:p>
    <w:p>
      <w:pPr>
        <w:pStyle w:val="ListParagraph"/>
        <w:numPr>
          <w:ilvl w:val="0"/>
          <w:numId w:val="2"/>
        </w:numPr>
        <w:spacing w:after="80" w:line="360"/>
        <w:jc w:val="both"/>
      </w:pPr>
      <w:r>
        <w:rPr>
          <w:b/>
          <w:bCs/>
        </w:rPr>
        <w:t xml:space="preserve">Main risks:</w:t>
      </w:r>
      <w:r>
        <w:t xml:space="preserve"> reliance on free-tier language models while the Bedrock quota is zero, open sign-up, and accuracy of reference recovery not yet measured on real lecture series.</w:t>
      </w:r>
    </w:p>
    <w:p>
      <w:pPr>
        <w:pStyle w:val="Heading1"/>
        <w:keepNext/>
        <w:spacing w:after="160" w:before="360"/>
      </w:pPr>
      <w:r>
        <w:rPr>
          <w:b/>
          <w:bCs/>
          <w:sz w:val="30"/>
          <w:szCs w:val="30"/>
        </w:rPr>
        <w:t xml:space="preserve">2. Objectives versus Outcomes</w:t>
      </w:r>
    </w:p>
    <w:p>
      <w:pPr>
        <w:keepNext/>
        <w:spacing w:after="100" w:before="200"/>
        <w:jc w:val="center"/>
      </w:pPr>
      <w:r>
        <w:rPr>
          <w:b/>
          <w:bCs/>
          <w:sz w:val="22"/>
          <w:szCs w:val="22"/>
        </w:rPr>
        <w:t xml:space="preserve">Table 2.1: Objectives and outcomes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87"/>
        <w:gridCol w:w="4085"/>
        <w:gridCol w:w="1634"/>
      </w:tblGrid>
      <w:tr>
        <w:trPr>
          <w:cantSplit/>
          <w:tblHeader/>
        </w:trPr>
        <w:tc>
          <w:tcPr>
            <w:tcW w:type="dxa" w:w="2587"/>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Objective</w:t>
            </w:r>
          </w:p>
        </w:tc>
        <w:tc>
          <w:tcPr>
            <w:tcW w:type="dxa" w:w="408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Outcome</w:t>
            </w:r>
          </w:p>
        </w:tc>
        <w:tc>
          <w:tcPr>
            <w:tcW w:type="dxa" w:w="163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Status</w:t>
            </w:r>
          </w:p>
        </w:tc>
      </w:tr>
      <w:tr>
        <w:trPr>
          <w:cantSplit/>
        </w:trPr>
        <w:tc>
          <w:tcPr>
            <w:tcW w:type="dxa" w:w="25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Timestamped transcription</w:t>
            </w:r>
          </w:p>
        </w:tc>
        <w:tc>
          <w:tcPr>
            <w:tcW w:type="dxa" w:w="40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Amazon Transcribe with EventBridge completion; SRT, WebVTT, Transcribe JSON and text import; real clip transcribed in 16.4 s on 31 Oct</w:t>
            </w:r>
          </w:p>
        </w:tc>
        <w:tc>
          <w:tcPr>
            <w:tcW w:type="dxa" w:w="16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Achieved</w:t>
            </w:r>
          </w:p>
        </w:tc>
      </w:tr>
      <w:tr>
        <w:trPr>
          <w:cantSplit/>
        </w:trPr>
        <w:tc>
          <w:tcPr>
            <w:tcW w:type="dxa" w:w="25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Verifiable notes</w:t>
            </w:r>
          </w:p>
        </w:tc>
        <w:tc>
          <w:tcPr>
            <w:tcW w:type="dxa" w:w="40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Model notes tied to chunk numbers, invalid items dropped; extractive fallback; source label on every recording</w:t>
            </w:r>
          </w:p>
        </w:tc>
        <w:tc>
          <w:tcPr>
            <w:tcW w:type="dxa" w:w="16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Achieved</w:t>
            </w:r>
          </w:p>
        </w:tc>
      </w:tr>
      <w:tr>
        <w:trPr>
          <w:cantSplit/>
        </w:trPr>
        <w:tc>
          <w:tcPr>
            <w:tcW w:type="dxa" w:w="25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Grounded question answering</w:t>
            </w:r>
          </w:p>
        </w:tc>
        <w:tc>
          <w:tcPr>
            <w:tcW w:type="dxa" w:w="40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Ask tab answers from transcript moments and ask-your-notes answer with enforced citations; off-topic questions declined</w:t>
            </w:r>
          </w:p>
        </w:tc>
        <w:tc>
          <w:tcPr>
            <w:tcW w:type="dxa" w:w="16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Achieved</w:t>
            </w:r>
          </w:p>
        </w:tc>
      </w:tr>
      <w:tr>
        <w:trPr>
          <w:cantSplit/>
        </w:trPr>
        <w:tc>
          <w:tcPr>
            <w:tcW w:type="dxa" w:w="25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Cross-video context recovery</w:t>
            </w:r>
          </w:p>
        </w:tc>
        <w:tc>
          <w:tcPr>
            <w:tcW w:type="dxa" w:w="40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6 backward and 7 forward patterns, candidate scoring, remembered references, single notifications, library map</w:t>
            </w:r>
          </w:p>
        </w:tc>
        <w:tc>
          <w:tcPr>
            <w:tcW w:type="dxa" w:w="16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Achieved; accuracy on real series not yet measured</w:t>
            </w:r>
          </w:p>
        </w:tc>
      </w:tr>
      <w:tr>
        <w:trPr>
          <w:cantSplit/>
        </w:trPr>
        <w:tc>
          <w:tcPr>
            <w:tcW w:type="dxa" w:w="25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Secure serverless deployment</w:t>
            </w:r>
          </w:p>
        </w:tc>
        <w:tc>
          <w:tcPr>
            <w:tcW w:type="dxa" w:w="40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Cognito, JWT authorizer, per-user partitions, private S3, CSP/HSTS, one SAM stack</w:t>
            </w:r>
          </w:p>
        </w:tc>
        <w:tc>
          <w:tcPr>
            <w:tcW w:type="dxa" w:w="16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Achieved</w:t>
            </w:r>
          </w:p>
        </w:tc>
      </w:tr>
      <w:tr>
        <w:trPr>
          <w:cantSplit/>
        </w:trPr>
        <w:tc>
          <w:tcPr>
            <w:tcW w:type="dxa" w:w="25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Honest evaluation</w:t>
            </w:r>
          </w:p>
        </w:tc>
        <w:tc>
          <w:tcPr>
            <w:tcW w:type="dxa" w:w="40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Live tests, CloudWatch timing, cost data, limitations documented</w:t>
            </w:r>
          </w:p>
        </w:tc>
        <w:tc>
          <w:tcPr>
            <w:tcW w:type="dxa" w:w="16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Achieved</w:t>
            </w:r>
          </w:p>
        </w:tc>
      </w:tr>
    </w:tbl>
    <w:p>
      <w:pPr>
        <w:spacing w:after="120"/>
      </w:pPr>
    </w:p>
    <w:p>
      <w:pPr>
        <w:pStyle w:val="Heading1"/>
        <w:keepNext/>
        <w:spacing w:after="160" w:before="360"/>
      </w:pPr>
      <w:r>
        <w:rPr>
          <w:b/>
          <w:bCs/>
          <w:sz w:val="30"/>
          <w:szCs w:val="30"/>
        </w:rPr>
        <w:t xml:space="preserve">3. Requirements Coverage Analysis</w:t>
      </w:r>
    </w:p>
    <w:p>
      <w:pPr>
        <w:pStyle w:val="Heading2"/>
        <w:keepNext/>
        <w:spacing w:after="120" w:before="240"/>
      </w:pPr>
      <w:r>
        <w:rPr>
          <w:b/>
          <w:bCs/>
          <w:sz w:val="28"/>
          <w:szCs w:val="28"/>
        </w:rPr>
        <w:t xml:space="preserve">3.1 Functional requirements by module</w:t>
      </w:r>
    </w:p>
    <w:p>
      <w:pPr>
        <w:keepNext/>
        <w:spacing w:after="100" w:before="200"/>
        <w:jc w:val="center"/>
      </w:pPr>
      <w:r>
        <w:rPr>
          <w:b/>
          <w:bCs/>
          <w:sz w:val="22"/>
          <w:szCs w:val="22"/>
        </w:rPr>
        <w:t xml:space="preserve">Table 3.1: Functional requirement coverage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84"/>
        <w:gridCol w:w="992"/>
        <w:gridCol w:w="1116"/>
        <w:gridCol w:w="4214"/>
      </w:tblGrid>
      <w:tr>
        <w:trPr>
          <w:cantSplit/>
          <w:tblHeader/>
        </w:trPr>
        <w:tc>
          <w:tcPr>
            <w:tcW w:type="dxa" w:w="198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Module</w:t>
            </w:r>
          </w:p>
        </w:tc>
        <w:tc>
          <w:tcPr>
            <w:tcW w:type="dxa" w:w="992"/>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FRs</w:t>
            </w:r>
          </w:p>
        </w:tc>
        <w:tc>
          <w:tcPr>
            <w:tcW w:type="dxa" w:w="111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Covered</w:t>
            </w:r>
          </w:p>
        </w:tc>
        <w:tc>
          <w:tcPr>
            <w:tcW w:type="dxa" w:w="421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Evidence</w:t>
            </w:r>
          </w:p>
        </w:tc>
      </w:tr>
      <w:tr>
        <w:trPr>
          <w:cantSplit/>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Common and authentication</w:t>
            </w:r>
          </w:p>
        </w:tc>
        <w:tc>
          <w:tcPr>
            <w:tcW w:type="dxa" w:w="9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5</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5</w:t>
            </w:r>
          </w:p>
        </w:tc>
        <w:tc>
          <w:tcPr>
            <w:tcW w:type="dxa" w:w="42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AUTH-01 to AUTH-13, ISOL-14 to ISOL-17; domain restriction implemented but disabled by choice</w:t>
            </w:r>
          </w:p>
        </w:tc>
      </w:tr>
      <w:tr>
        <w:trPr>
          <w:cantSplit/>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Library and ingestion</w:t>
            </w:r>
          </w:p>
        </w:tc>
        <w:tc>
          <w:tcPr>
            <w:tcW w:type="dxa" w:w="9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6</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6</w:t>
            </w:r>
          </w:p>
        </w:tc>
        <w:tc>
          <w:tcPr>
            <w:tcW w:type="dxa" w:w="42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STOR-26 to STOR-33, TRAN-31; API tests for import, limits, deletion</w:t>
            </w:r>
          </w:p>
        </w:tc>
      </w:tr>
      <w:tr>
        <w:trPr>
          <w:cantSplit/>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Notes and questions</w:t>
            </w:r>
          </w:p>
        </w:tc>
        <w:tc>
          <w:tcPr>
            <w:tcW w:type="dxa" w:w="9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6</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6</w:t>
            </w:r>
          </w:p>
        </w:tc>
        <w:tc>
          <w:tcPr>
            <w:tcW w:type="dxa" w:w="42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FEAT-34, FEAT-35, FEAT-38; core notes and ask tests</w:t>
            </w:r>
          </w:p>
        </w:tc>
      </w:tr>
      <w:tr>
        <w:trPr>
          <w:cantSplit/>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Context recovery</w:t>
            </w:r>
          </w:p>
        </w:tc>
        <w:tc>
          <w:tcPr>
            <w:tcW w:type="dxa" w:w="9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6</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6</w:t>
            </w:r>
          </w:p>
        </w:tc>
        <w:tc>
          <w:tcPr>
            <w:tcW w:type="dxa" w:w="42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Engine and API reference tests; FEAT-36, FEAT-37</w:t>
            </w:r>
          </w:p>
        </w:tc>
      </w:tr>
    </w:tbl>
    <w:p>
      <w:pPr>
        <w:spacing w:after="120"/>
      </w:pPr>
    </w:p>
    <w:p>
      <w:pPr>
        <w:pStyle w:val="Heading2"/>
        <w:keepNext/>
        <w:spacing w:after="120" w:before="240"/>
      </w:pPr>
      <w:r>
        <w:rPr>
          <w:b/>
          <w:bCs/>
          <w:sz w:val="28"/>
          <w:szCs w:val="28"/>
        </w:rPr>
        <w:t xml:space="preserve">3.2 Non-functional requirements</w:t>
      </w:r>
    </w:p>
    <w:p>
      <w:pPr>
        <w:keepNext/>
        <w:spacing w:after="100" w:before="200"/>
        <w:jc w:val="center"/>
      </w:pPr>
      <w:r>
        <w:rPr>
          <w:b/>
          <w:bCs/>
          <w:sz w:val="22"/>
          <w:szCs w:val="22"/>
        </w:rPr>
        <w:t xml:space="preserve">Table 3.2: Non-functional requirement assessment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7"/>
        <w:gridCol w:w="4672"/>
        <w:gridCol w:w="1557"/>
      </w:tblGrid>
      <w:tr>
        <w:trPr>
          <w:cantSplit/>
          <w:tblHeader/>
        </w:trPr>
        <w:tc>
          <w:tcPr>
            <w:tcW w:type="dxa" w:w="2077"/>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Requirement</w:t>
            </w:r>
          </w:p>
        </w:tc>
        <w:tc>
          <w:tcPr>
            <w:tcW w:type="dxa" w:w="4672"/>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Assessment</w:t>
            </w:r>
          </w:p>
        </w:tc>
        <w:tc>
          <w:tcPr>
            <w:tcW w:type="dxa" w:w="1557"/>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Status</w:t>
            </w:r>
          </w:p>
        </w:tc>
      </w:tr>
      <w:tr>
        <w:trPr>
          <w:cantSplit/>
        </w:trPr>
        <w:tc>
          <w:tcPr>
            <w:tcW w:type="dxa" w:w="20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Authentication and isolation</w:t>
            </w:r>
          </w:p>
        </w:tc>
        <w:tc>
          <w:tcPr>
            <w:tcW w:type="dxa" w:w="4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JWT checked at the gateway; partition key from verified claims; cross-user access returned 404</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Met</w:t>
            </w:r>
          </w:p>
        </w:tc>
      </w:tr>
      <w:tr>
        <w:trPr>
          <w:cantSplit/>
        </w:trPr>
        <w:tc>
          <w:tcPr>
            <w:tcW w:type="dxa" w:w="20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Storage and transport security</w:t>
            </w:r>
          </w:p>
        </w:tc>
        <w:tc>
          <w:tcPr>
            <w:tcW w:type="dxa" w:w="4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Private buckets, presigned and signed URLs, HTTPS only, HSTS, CSP</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Met</w:t>
            </w:r>
          </w:p>
        </w:tc>
      </w:tr>
      <w:tr>
        <w:trPr>
          <w:cantSplit/>
        </w:trPr>
        <w:tc>
          <w:tcPr>
            <w:tcW w:type="dxa" w:w="20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Honest AI output</w:t>
            </w:r>
          </w:p>
        </w:tc>
        <w:tc>
          <w:tcPr>
            <w:tcW w:type="dxa" w:w="4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Citations enforced; provenance labels on notes, answers and explanations</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Met</w:t>
            </w:r>
          </w:p>
        </w:tc>
      </w:tr>
      <w:tr>
        <w:trPr>
          <w:cantSplit/>
        </w:trPr>
        <w:tc>
          <w:tcPr>
            <w:tcW w:type="dxa" w:w="20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Performance</w:t>
            </w:r>
          </w:p>
        </w:tc>
        <w:tc>
          <w:tcPr>
            <w:tcW w:type="dxa" w:w="4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Server median 14.9 ms; end-to-end from India 0.5 to 1.6 s median</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Met server-side; network-bound for India</w:t>
            </w:r>
          </w:p>
        </w:tc>
      </w:tr>
      <w:tr>
        <w:trPr>
          <w:cantSplit/>
        </w:trPr>
        <w:tc>
          <w:tcPr>
            <w:tcW w:type="dxa" w:w="20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Reliability</w:t>
            </w:r>
          </w:p>
        </w:tc>
        <w:tc>
          <w:tcPr>
            <w:tcW w:type="dxa" w:w="4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Fallback chain worked when Bedrock and Gemini failed</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Met</w:t>
            </w:r>
          </w:p>
        </w:tc>
      </w:tr>
      <w:tr>
        <w:trPr>
          <w:cantSplit/>
        </w:trPr>
        <w:tc>
          <w:tcPr>
            <w:tcW w:type="dxa" w:w="20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Recovery</w:t>
            </w:r>
          </w:p>
        </w:tc>
        <w:tc>
          <w:tcPr>
            <w:tcW w:type="dxa" w:w="4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DynamoDB PITR; data retained on stack deletion</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Met</w:t>
            </w:r>
          </w:p>
        </w:tc>
      </w:tr>
      <w:tr>
        <w:trPr>
          <w:cantSplit/>
        </w:trPr>
        <w:tc>
          <w:tcPr>
            <w:tcW w:type="dxa" w:w="20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Usability</w:t>
            </w:r>
          </w:p>
        </w:tc>
        <w:tc>
          <w:tcPr>
            <w:tcW w:type="dxa" w:w="4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Responsive layout and command bar; no formal study</w:t>
            </w:r>
          </w:p>
        </w:tc>
        <w:tc>
          <w:tcPr>
            <w:tcW w:type="dxa" w:w="15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Partly met</w:t>
            </w:r>
          </w:p>
        </w:tc>
      </w:tr>
    </w:tbl>
    <w:p>
      <w:pPr>
        <w:spacing w:after="120"/>
      </w:pPr>
    </w:p>
    <w:p>
      <w:pPr>
        <w:pStyle w:val="Heading1"/>
        <w:keepNext/>
        <w:spacing w:after="160" w:before="360"/>
      </w:pPr>
      <w:r>
        <w:rPr>
          <w:b/>
          <w:bCs/>
          <w:sz w:val="30"/>
          <w:szCs w:val="30"/>
        </w:rPr>
        <w:t xml:space="preserve">4. Architecture and Design Decision Analysis</w:t>
      </w:r>
    </w:p>
    <w:p>
      <w:pPr>
        <w:keepNext/>
        <w:spacing w:after="80" w:before="160"/>
        <w:jc w:val="center"/>
      </w:pPr>
      <w:r>
        <w:drawing>
          <wp:inline distT="0" distB="0" distL="0" distR="0">
            <wp:extent cx="5238750" cy="24765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476500"/>
                    </a:xfrm>
                    <a:prstGeom prst="rect">
                      <a:avLst/>
                    </a:prstGeom>
                  </pic:spPr>
                </pic:pic>
              </a:graphicData>
            </a:graphic>
          </wp:inline>
        </w:drawing>
      </w:r>
    </w:p>
    <w:p>
      <w:pPr>
        <w:spacing w:after="200"/>
        <w:jc w:val="center"/>
      </w:pPr>
      <w:r>
        <w:rPr>
          <w:b/>
          <w:bCs/>
          <w:sz w:val="22"/>
          <w:szCs w:val="22"/>
        </w:rPr>
        <w:t xml:space="preserve">Figure 4.1: Deployed architecture</w:t>
      </w:r>
    </w:p>
    <w:p>
      <w:pPr>
        <w:keepNext/>
        <w:spacing w:after="100" w:before="200"/>
        <w:jc w:val="center"/>
      </w:pPr>
      <w:r>
        <w:rPr>
          <w:b/>
          <w:bCs/>
          <w:sz w:val="22"/>
          <w:szCs w:val="22"/>
        </w:rPr>
        <w:t xml:space="preserve">Table 4.1: Key design decisions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30"/>
        <w:gridCol w:w="1749"/>
        <w:gridCol w:w="1749"/>
        <w:gridCol w:w="3278"/>
      </w:tblGrid>
      <w:tr>
        <w:trPr>
          <w:cantSplit/>
          <w:tblHeader/>
        </w:trPr>
        <w:tc>
          <w:tcPr>
            <w:tcW w:type="dxa" w:w="153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Decision</w:t>
            </w:r>
          </w:p>
        </w:tc>
        <w:tc>
          <w:tcPr>
            <w:tcW w:type="dxa" w:w="174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Chosen</w:t>
            </w:r>
          </w:p>
        </w:tc>
        <w:tc>
          <w:tcPr>
            <w:tcW w:type="dxa" w:w="174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Alternative</w:t>
            </w:r>
          </w:p>
        </w:tc>
        <w:tc>
          <w:tcPr>
            <w:tcW w:type="dxa" w:w="3278"/>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Rationale and trade-off</w:t>
            </w:r>
          </w:p>
        </w:tc>
      </w:tr>
      <w:tr>
        <w:trPr>
          <w:cantSplit/>
        </w:trPr>
        <w:tc>
          <w:tcPr>
            <w:tcW w:type="dxa" w:w="15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Compute</w:t>
            </w:r>
          </w:p>
        </w:tc>
        <w:tc>
          <w:tcPr>
            <w:tcW w:type="dxa" w:w="1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Lambda (serverless)</w:t>
            </w:r>
          </w:p>
        </w:tc>
        <w:tc>
          <w:tcPr>
            <w:tcW w:type="dxa" w:w="1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EC2 or containers</w:t>
            </w:r>
          </w:p>
        </w:tc>
        <w:tc>
          <w:tcPr>
            <w:tcW w:type="dxa" w:w="32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No idle cost and no patching; accepts cold starts (median init 361 ms) and time limits</w:t>
            </w:r>
          </w:p>
        </w:tc>
      </w:tr>
      <w:tr>
        <w:trPr>
          <w:cantSplit/>
        </w:trPr>
        <w:tc>
          <w:tcPr>
            <w:tcW w:type="dxa" w:w="15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Database</w:t>
            </w:r>
          </w:p>
        </w:tc>
        <w:tc>
          <w:tcPr>
            <w:tcW w:type="dxa" w:w="1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DynamoDB single table</w:t>
            </w:r>
          </w:p>
        </w:tc>
        <w:tc>
          <w:tcPr>
            <w:tcW w:type="dxa" w:w="1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Relational database</w:t>
            </w:r>
          </w:p>
        </w:tc>
        <w:tc>
          <w:tcPr>
            <w:tcW w:type="dxa" w:w="32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Per-user partitions give isolation by design and near-zero idle cost; cross-user analytics are harder</w:t>
            </w:r>
          </w:p>
        </w:tc>
      </w:tr>
      <w:tr>
        <w:trPr>
          <w:cantSplit/>
        </w:trPr>
        <w:tc>
          <w:tcPr>
            <w:tcW w:type="dxa" w:w="15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Authorisation</w:t>
            </w:r>
          </w:p>
        </w:tc>
        <w:tc>
          <w:tcPr>
            <w:tcW w:type="dxa" w:w="1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API Gateway JWT authorizer</w:t>
            </w:r>
          </w:p>
        </w:tc>
        <w:tc>
          <w:tcPr>
            <w:tcW w:type="dxa" w:w="1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Checks in application code</w:t>
            </w:r>
          </w:p>
        </w:tc>
        <w:tc>
          <w:tcPr>
            <w:tcW w:type="dxa" w:w="32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Rejects requests before code runs; one place to configure</w:t>
            </w:r>
          </w:p>
        </w:tc>
      </w:tr>
      <w:tr>
        <w:trPr>
          <w:cantSplit/>
        </w:trPr>
        <w:tc>
          <w:tcPr>
            <w:tcW w:type="dxa" w:w="15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Media path</w:t>
            </w:r>
          </w:p>
        </w:tc>
        <w:tc>
          <w:tcPr>
            <w:tcW w:type="dxa" w:w="1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Presigned S3 upload</w:t>
            </w:r>
          </w:p>
        </w:tc>
        <w:tc>
          <w:tcPr>
            <w:tcW w:type="dxa" w:w="1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Upload through Lambda</w:t>
            </w:r>
          </w:p>
        </w:tc>
        <w:tc>
          <w:tcPr>
            <w:tcW w:type="dxa" w:w="32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Avoids payload limits and Lambda time; requires CORS on the bucket</w:t>
            </w:r>
          </w:p>
        </w:tc>
      </w:tr>
      <w:tr>
        <w:trPr>
          <w:cantSplit/>
        </w:trPr>
        <w:tc>
          <w:tcPr>
            <w:tcW w:type="dxa" w:w="15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Speech</w:t>
            </w:r>
          </w:p>
        </w:tc>
        <w:tc>
          <w:tcPr>
            <w:tcW w:type="dxa" w:w="1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Amazon Transcribe</w:t>
            </w:r>
          </w:p>
        </w:tc>
        <w:tc>
          <w:tcPr>
            <w:tcW w:type="dxa" w:w="1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Self-hosted Whisper</w:t>
            </w:r>
          </w:p>
        </w:tc>
        <w:tc>
          <w:tcPr>
            <w:tcW w:type="dxa" w:w="32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Managed, event-driven, no GPU hosting; billed per audio second</w:t>
            </w:r>
          </w:p>
        </w:tc>
      </w:tr>
      <w:tr>
        <w:trPr>
          <w:cantSplit/>
        </w:trPr>
        <w:tc>
          <w:tcPr>
            <w:tcW w:type="dxa" w:w="15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Language model</w:t>
            </w:r>
          </w:p>
        </w:tc>
        <w:tc>
          <w:tcPr>
            <w:tcW w:type="dxa" w:w="1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Chain: Bedrock, Groq, Gemini</w:t>
            </w:r>
          </w:p>
        </w:tc>
        <w:tc>
          <w:tcPr>
            <w:tcW w:type="dxa" w:w="1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Single provider</w:t>
            </w:r>
          </w:p>
        </w:tc>
        <w:tc>
          <w:tcPr>
            <w:tcW w:type="dxa" w:w="32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Survived a zero Bedrock quota; free tiers rate-limit bursts and send text outside AWS</w:t>
            </w:r>
          </w:p>
        </w:tc>
      </w:tr>
      <w:tr>
        <w:trPr>
          <w:cantSplit/>
        </w:trPr>
        <w:tc>
          <w:tcPr>
            <w:tcW w:type="dxa" w:w="15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Search</w:t>
            </w:r>
          </w:p>
        </w:tc>
        <w:tc>
          <w:tcPr>
            <w:tcW w:type="dxa" w:w="1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TF-IDF, Titan when available</w:t>
            </w:r>
          </w:p>
        </w:tc>
        <w:tc>
          <w:tcPr>
            <w:tcW w:type="dxa" w:w="1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Vector database</w:t>
            </w:r>
          </w:p>
        </w:tc>
        <w:tc>
          <w:tcPr>
            <w:tcW w:type="dxa" w:w="32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No extra service for small libraries; misses paraphrases until embeddings are enabled</w:t>
            </w:r>
          </w:p>
        </w:tc>
      </w:tr>
      <w:tr>
        <w:trPr>
          <w:cantSplit/>
        </w:trPr>
        <w:tc>
          <w:tcPr>
            <w:tcW w:type="dxa" w:w="15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Reference detection</w:t>
            </w:r>
          </w:p>
        </w:tc>
        <w:tc>
          <w:tcPr>
            <w:tcW w:type="dxa" w:w="1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Hand-written patterns</w:t>
            </w:r>
          </w:p>
        </w:tc>
        <w:tc>
          <w:tcPr>
            <w:tcW w:type="dxa" w:w="1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Trained classifier</w:t>
            </w:r>
          </w:p>
        </w:tc>
        <w:tc>
          <w:tcPr>
            <w:tcW w:type="dxa" w:w="32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Explainable, no training data; recall on unscripted speech unknown</w:t>
            </w:r>
          </w:p>
        </w:tc>
      </w:tr>
      <w:tr>
        <w:trPr>
          <w:cantSplit/>
        </w:trPr>
        <w:tc>
          <w:tcPr>
            <w:tcW w:type="dxa" w:w="15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Linking</w:t>
            </w:r>
          </w:p>
        </w:tc>
        <w:tc>
          <w:tcPr>
            <w:tcW w:type="dxa" w:w="1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User confirmation</w:t>
            </w:r>
          </w:p>
        </w:tc>
        <w:tc>
          <w:tcPr>
            <w:tcW w:type="dxa" w:w="1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Automatic linking</w:t>
            </w:r>
          </w:p>
        </w:tc>
        <w:tc>
          <w:tcPr>
            <w:tcW w:type="dxa" w:w="32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Prevents silent mistakes at the cost of one click</w:t>
            </w:r>
          </w:p>
        </w:tc>
      </w:tr>
      <w:tr>
        <w:trPr>
          <w:cantSplit/>
        </w:trPr>
        <w:tc>
          <w:tcPr>
            <w:tcW w:type="dxa" w:w="15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Region</w:t>
            </w:r>
          </w:p>
        </w:tc>
        <w:tc>
          <w:tcPr>
            <w:tcW w:type="dxa" w:w="1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us-east-1</w:t>
            </w:r>
          </w:p>
        </w:tc>
        <w:tc>
          <w:tcPr>
            <w:tcW w:type="dxa" w:w="17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ap-south-1 (Mumbai)</w:t>
            </w:r>
          </w:p>
        </w:tc>
        <w:tc>
          <w:tcPr>
            <w:tcW w:type="dxa" w:w="32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Broadest model availability; adds about 0.3 s round trip for users in India</w:t>
            </w:r>
          </w:p>
        </w:tc>
      </w:tr>
    </w:tbl>
    <w:p>
      <w:pPr>
        <w:spacing w:after="120"/>
      </w:pPr>
    </w:p>
    <w:p>
      <w:pPr>
        <w:pStyle w:val="Heading1"/>
        <w:keepNext/>
        <w:spacing w:after="160" w:before="360"/>
      </w:pPr>
      <w:r>
        <w:rPr>
          <w:b/>
          <w:bCs/>
          <w:sz w:val="30"/>
          <w:szCs w:val="30"/>
        </w:rPr>
        <w:t xml:space="preserve">5. Performance Analysis</w:t>
      </w:r>
    </w:p>
    <w:p>
      <w:pPr>
        <w:pStyle w:val="Heading2"/>
        <w:keepNext/>
        <w:spacing w:after="120" w:before="240"/>
      </w:pPr>
      <w:r>
        <w:rPr>
          <w:b/>
          <w:bCs/>
          <w:sz w:val="28"/>
          <w:szCs w:val="28"/>
        </w:rPr>
        <w:t xml:space="preserve">5.1 End-to-end API latency</w:t>
      </w:r>
    </w:p>
    <w:p>
      <w:pPr>
        <w:spacing w:after="120" w:before="0" w:line="360"/>
        <w:jc w:val="both"/>
      </w:pPr>
      <w:r>
        <w:t xml:space="preserve">Measured on 31 October 2026 from a client in India over one reused HTTPS connection; the network was unstable during the run.</w:t>
      </w:r>
    </w:p>
    <w:p>
      <w:pPr>
        <w:keepNext/>
        <w:spacing w:after="100" w:before="200"/>
        <w:jc w:val="center"/>
      </w:pPr>
      <w:r>
        <w:rPr>
          <w:b/>
          <w:bCs/>
          <w:sz w:val="22"/>
          <w:szCs w:val="22"/>
        </w:rPr>
        <w:t xml:space="preserve">Table 5.1: End-to-end latency from India (ms)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176"/>
        <w:gridCol w:w="733"/>
        <w:gridCol w:w="1099"/>
        <w:gridCol w:w="1099"/>
        <w:gridCol w:w="1099"/>
        <w:gridCol w:w="1100"/>
      </w:tblGrid>
      <w:tr>
        <w:trPr>
          <w:cantSplit/>
          <w:tblHeader/>
        </w:trPr>
        <w:tc>
          <w:tcPr>
            <w:tcW w:type="dxa" w:w="317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Endpoint</w:t>
            </w:r>
          </w:p>
        </w:tc>
        <w:tc>
          <w:tcPr>
            <w:tcW w:type="dxa" w:w="733"/>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19"/>
                <w:szCs w:val="19"/>
              </w:rPr>
              <w:t xml:space="preserve">n</w:t>
            </w:r>
          </w:p>
        </w:tc>
        <w:tc>
          <w:tcPr>
            <w:tcW w:type="dxa" w:w="109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19"/>
                <w:szCs w:val="19"/>
              </w:rPr>
              <w:t xml:space="preserve">Min</w:t>
            </w:r>
          </w:p>
        </w:tc>
        <w:tc>
          <w:tcPr>
            <w:tcW w:type="dxa" w:w="109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19"/>
                <w:szCs w:val="19"/>
              </w:rPr>
              <w:t xml:space="preserve">Median</w:t>
            </w:r>
          </w:p>
        </w:tc>
        <w:tc>
          <w:tcPr>
            <w:tcW w:type="dxa" w:w="109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19"/>
                <w:szCs w:val="19"/>
              </w:rPr>
              <w:t xml:space="preserve">p95</w:t>
            </w:r>
          </w:p>
        </w:tc>
        <w:tc>
          <w:tcPr>
            <w:tcW w:type="dxa" w:w="11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19"/>
                <w:szCs w:val="19"/>
              </w:rPr>
              <w:t xml:space="preserve">Max</w:t>
            </w:r>
          </w:p>
        </w:tc>
      </w:tr>
      <w:tr>
        <w:trPr>
          <w:cantSplit/>
        </w:trPr>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GET /api/me</w:t>
            </w:r>
          </w:p>
        </w:tc>
        <w:tc>
          <w:tcPr>
            <w:tcW w:type="dxa" w:w="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40</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433</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744.6</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3,448.6</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4,076.6</w:t>
            </w:r>
          </w:p>
        </w:tc>
      </w:tr>
      <w:tr>
        <w:trPr>
          <w:cantSplit/>
        </w:trPr>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GET /api/videos</w:t>
            </w:r>
          </w:p>
        </w:tc>
        <w:tc>
          <w:tcPr>
            <w:tcW w:type="dxa" w:w="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40</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477.8</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755</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2,106.3</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3,745.4</w:t>
            </w:r>
          </w:p>
        </w:tc>
      </w:tr>
      <w:tr>
        <w:trPr>
          <w:cantSplit/>
        </w:trPr>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GET /api/videos/:id</w:t>
            </w:r>
          </w:p>
        </w:tc>
        <w:tc>
          <w:tcPr>
            <w:tcW w:type="dxa" w:w="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40</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355.9</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800.6</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4,413.8</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7,393.1</w:t>
            </w:r>
          </w:p>
        </w:tc>
      </w:tr>
      <w:tr>
        <w:trPr>
          <w:cantSplit/>
        </w:trPr>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GET /api/notes</w:t>
            </w:r>
          </w:p>
        </w:tc>
        <w:tc>
          <w:tcPr>
            <w:tcW w:type="dxa" w:w="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40</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445.7</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1,591.1</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5,916.7</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6,116.6</w:t>
            </w:r>
          </w:p>
        </w:tc>
      </w:tr>
      <w:tr>
        <w:trPr>
          <w:cantSplit/>
        </w:trPr>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GET /api/search?q=</w:t>
            </w:r>
          </w:p>
        </w:tc>
        <w:tc>
          <w:tcPr>
            <w:tcW w:type="dxa" w:w="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40</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338</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541.4</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1,915.1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8,970.4</w:t>
            </w:r>
          </w:p>
        </w:tc>
      </w:tr>
      <w:tr>
        <w:trPr>
          <w:cantSplit/>
        </w:trPr>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GET /api/map</w:t>
            </w:r>
          </w:p>
        </w:tc>
        <w:tc>
          <w:tcPr>
            <w:tcW w:type="dxa" w:w="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40</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370.5</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553.5</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813.8</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839.3</w:t>
            </w:r>
          </w:p>
        </w:tc>
      </w:tr>
      <w:tr>
        <w:trPr>
          <w:cantSplit/>
        </w:trPr>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GET /api/notifications</w:t>
            </w:r>
          </w:p>
        </w:tc>
        <w:tc>
          <w:tcPr>
            <w:tcW w:type="dxa" w:w="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40</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374.7</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570.5</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1,377.6</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1,606.6</w:t>
            </w:r>
          </w:p>
        </w:tc>
      </w:tr>
      <w:tr>
        <w:trPr>
          <w:cantSplit/>
        </w:trPr>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POST /api/notes/ask (AI)</w:t>
            </w:r>
          </w:p>
        </w:tc>
        <w:tc>
          <w:tcPr>
            <w:tcW w:type="dxa" w:w="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10</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1,329.6</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1,945.8</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10,333.4</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10,333.4</w:t>
            </w:r>
          </w:p>
        </w:tc>
      </w:tr>
    </w:tbl>
    <w:p>
      <w:pPr>
        <w:spacing w:after="120"/>
      </w:pPr>
    </w:p>
    <w:p>
      <w:pPr>
        <w:pStyle w:val="Heading2"/>
        <w:keepNext/>
        <w:spacing w:after="120" w:before="240"/>
      </w:pPr>
      <w:r>
        <w:rPr>
          <w:b/>
          <w:bCs/>
          <w:sz w:val="28"/>
          <w:szCs w:val="28"/>
        </w:rPr>
        <w:t xml:space="preserve">5.2 Cold versus warm Lambda execution</w:t>
      </w:r>
    </w:p>
    <w:p>
      <w:pPr>
        <w:keepNext/>
        <w:spacing w:after="100" w:before="200"/>
        <w:jc w:val="center"/>
      </w:pPr>
      <w:r>
        <w:rPr>
          <w:b/>
          <w:bCs/>
          <w:sz w:val="22"/>
          <w:szCs w:val="22"/>
        </w:rPr>
        <w:t xml:space="preserve">Table 5.2: Server-side Lambda duration from CloudWatch</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7"/>
        <w:gridCol w:w="831"/>
        <w:gridCol w:w="1038"/>
        <w:gridCol w:w="1038"/>
        <w:gridCol w:w="1038"/>
        <w:gridCol w:w="1246"/>
        <w:gridCol w:w="1038"/>
      </w:tblGrid>
      <w:tr>
        <w:trPr>
          <w:cantSplit/>
          <w:tblHeader/>
        </w:trPr>
        <w:tc>
          <w:tcPr>
            <w:tcW w:type="dxa" w:w="2077"/>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Function</w:t>
            </w:r>
          </w:p>
        </w:tc>
        <w:tc>
          <w:tcPr>
            <w:tcW w:type="dxa" w:w="83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19"/>
                <w:szCs w:val="19"/>
              </w:rPr>
              <w:t xml:space="preserve">n</w:t>
            </w:r>
          </w:p>
        </w:tc>
        <w:tc>
          <w:tcPr>
            <w:tcW w:type="dxa" w:w="1038"/>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19"/>
                <w:szCs w:val="19"/>
              </w:rPr>
              <w:t xml:space="preserve">Median</w:t>
            </w:r>
          </w:p>
        </w:tc>
        <w:tc>
          <w:tcPr>
            <w:tcW w:type="dxa" w:w="1038"/>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19"/>
                <w:szCs w:val="19"/>
              </w:rPr>
              <w:t xml:space="preserve">p95</w:t>
            </w:r>
          </w:p>
        </w:tc>
        <w:tc>
          <w:tcPr>
            <w:tcW w:type="dxa" w:w="1038"/>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19"/>
                <w:szCs w:val="19"/>
              </w:rPr>
              <w:t xml:space="preserve">Cold starts</w:t>
            </w:r>
          </w:p>
        </w:tc>
        <w:tc>
          <w:tcPr>
            <w:tcW w:type="dxa" w:w="124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19"/>
                <w:szCs w:val="19"/>
              </w:rPr>
              <w:t xml:space="preserve">Init median</w:t>
            </w:r>
          </w:p>
        </w:tc>
        <w:tc>
          <w:tcPr>
            <w:tcW w:type="dxa" w:w="1038"/>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19"/>
                <w:szCs w:val="19"/>
              </w:rPr>
              <w:t xml:space="preserve">Max memory</w:t>
            </w:r>
          </w:p>
        </w:tc>
      </w:tr>
      <w:tr>
        <w:trPr>
          <w:cantSplit/>
        </w:trPr>
        <w:tc>
          <w:tcPr>
            <w:tcW w:type="dxa" w:w="20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API</w:t>
            </w:r>
          </w:p>
        </w:tc>
        <w:tc>
          <w:tcPr>
            <w:tcW w:type="dxa" w:w="83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626</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14.9 ms</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232.5 ms</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2</w:t>
            </w:r>
          </w:p>
        </w:tc>
        <w:tc>
          <w:tcPr>
            <w:tcW w:type="dxa" w:w="12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361 ms</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135 MB</w:t>
            </w:r>
          </w:p>
        </w:tc>
      </w:tr>
      <w:tr>
        <w:trPr>
          <w:cantSplit/>
        </w:trPr>
        <w:tc>
          <w:tcPr>
            <w:tcW w:type="dxa" w:w="20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Worker</w:t>
            </w:r>
          </w:p>
        </w:tc>
        <w:tc>
          <w:tcPr>
            <w:tcW w:type="dxa" w:w="83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6</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3,283.3 ms</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4,781.1 ms</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2</w:t>
            </w:r>
          </w:p>
        </w:tc>
        <w:tc>
          <w:tcPr>
            <w:tcW w:type="dxa" w:w="12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451.6 ms</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136 MB</w:t>
            </w:r>
          </w:p>
        </w:tc>
      </w:tr>
    </w:tbl>
    <w:p>
      <w:pPr>
        <w:spacing w:after="120"/>
      </w:pPr>
    </w:p>
    <w:p>
      <w:pPr>
        <w:spacing w:after="120" w:before="0" w:line="360"/>
        <w:jc w:val="both"/>
      </w:pPr>
      <w:r>
        <w:t xml:space="preserve">The gap between the 14.9 ms server median and the end-to-end medians shows that the network, not the application, dominates. The minimum end-to-end time of about 340 ms matches the round trip from India to North Virginia. Memory use (at most 135 MB) is far below the 1024 MB configured, so memory could be lowered, although Lambda CPU scales with memory.</w:t>
      </w:r>
    </w:p>
    <w:p>
      <w:pPr>
        <w:pStyle w:val="Heading2"/>
        <w:keepNext/>
        <w:spacing w:after="120" w:before="240"/>
      </w:pPr>
      <w:r>
        <w:rPr>
          <w:b/>
          <w:bCs/>
          <w:sz w:val="28"/>
          <w:szCs w:val="28"/>
        </w:rPr>
        <w:t xml:space="preserve">5.3 Pipeline timing</w:t>
      </w:r>
    </w:p>
    <w:p>
      <w:pPr>
        <w:keepNext/>
        <w:spacing w:after="100" w:before="200"/>
        <w:jc w:val="center"/>
      </w:pPr>
      <w:r>
        <w:rPr>
          <w:b/>
          <w:bCs/>
          <w:sz w:val="22"/>
          <w:szCs w:val="22"/>
        </w:rPr>
        <w:t xml:space="preserve">Table 5.3: Pipeline timing on the live deployment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272"/>
        <w:gridCol w:w="712"/>
        <w:gridCol w:w="1424"/>
        <w:gridCol w:w="1898"/>
      </w:tblGrid>
      <w:tr>
        <w:trPr>
          <w:cantSplit/>
          <w:tblHeader/>
        </w:trPr>
        <w:tc>
          <w:tcPr>
            <w:tcW w:type="dxa" w:w="4272"/>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Operation</w:t>
            </w:r>
          </w:p>
        </w:tc>
        <w:tc>
          <w:tcPr>
            <w:tcW w:type="dxa" w:w="712"/>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19"/>
                <w:szCs w:val="19"/>
              </w:rPr>
              <w:t xml:space="preserve">Runs</w:t>
            </w:r>
          </w:p>
        </w:tc>
        <w:tc>
          <w:tcPr>
            <w:tcW w:type="dxa" w:w="142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19"/>
                <w:szCs w:val="19"/>
              </w:rPr>
              <w:t xml:space="preserve">Median</w:t>
            </w:r>
          </w:p>
        </w:tc>
        <w:tc>
          <w:tcPr>
            <w:tcW w:type="dxa" w:w="1898"/>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19"/>
                <w:szCs w:val="19"/>
              </w:rPr>
              <w:t xml:space="preserve">Range</w:t>
            </w:r>
          </w:p>
        </w:tc>
      </w:tr>
      <w:tr>
        <w:trPr>
          <w:cantSplit/>
        </w:trPr>
        <w:tc>
          <w:tcPr>
            <w:tcW w:type="dxa" w:w="4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Transcript import to AI notes (29 Oct)</w:t>
            </w:r>
          </w:p>
        </w:tc>
        <w:tc>
          <w:tcPr>
            <w:tcW w:type="dxa" w:w="7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3</w:t>
            </w:r>
          </w:p>
        </w:tc>
        <w:tc>
          <w:tcPr>
            <w:tcW w:type="dxa" w:w="14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4.6 s</w:t>
            </w:r>
          </w:p>
        </w:tc>
        <w:tc>
          <w:tcPr>
            <w:tcW w:type="dxa" w:w="18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4.4 to 4.9 s</w:t>
            </w:r>
          </w:p>
        </w:tc>
      </w:tr>
      <w:tr>
        <w:trPr>
          <w:cantSplit/>
        </w:trPr>
        <w:tc>
          <w:tcPr>
            <w:tcW w:type="dxa" w:w="4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Upload, Transcribe, AI notes, 11-s clip (29 Oct)</w:t>
            </w:r>
          </w:p>
        </w:tc>
        <w:tc>
          <w:tcPr>
            <w:tcW w:type="dxa" w:w="7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3</w:t>
            </w:r>
          </w:p>
        </w:tc>
        <w:tc>
          <w:tcPr>
            <w:tcW w:type="dxa" w:w="14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17.3 s</w:t>
            </w:r>
          </w:p>
        </w:tc>
        <w:tc>
          <w:tcPr>
            <w:tcW w:type="dxa" w:w="18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8.4 to 21.2 s</w:t>
            </w:r>
          </w:p>
        </w:tc>
      </w:tr>
      <w:tr>
        <w:trPr>
          <w:cantSplit/>
        </w:trPr>
        <w:tc>
          <w:tcPr>
            <w:tcW w:type="dxa" w:w="4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Upload, Transcribe, AI notes, 11-s clip (31 Oct)</w:t>
            </w:r>
          </w:p>
        </w:tc>
        <w:tc>
          <w:tcPr>
            <w:tcW w:type="dxa" w:w="7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w:t>
            </w:r>
          </w:p>
        </w:tc>
        <w:tc>
          <w:tcPr>
            <w:tcW w:type="dxa" w:w="14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16.4 s</w:t>
            </w:r>
          </w:p>
        </w:tc>
        <w:tc>
          <w:tcPr>
            <w:tcW w:type="dxa" w:w="18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w:t>
            </w:r>
          </w:p>
        </w:tc>
      </w:tr>
      <w:tr>
        <w:trPr>
          <w:cantSplit/>
        </w:trPr>
        <w:tc>
          <w:tcPr>
            <w:tcW w:type="dxa" w:w="4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Ask your notes (29 Oct)</w:t>
            </w:r>
          </w:p>
        </w:tc>
        <w:tc>
          <w:tcPr>
            <w:tcW w:type="dxa" w:w="7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10</w:t>
            </w:r>
          </w:p>
        </w:tc>
        <w:tc>
          <w:tcPr>
            <w:tcW w:type="dxa" w:w="14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2.5 s</w:t>
            </w:r>
          </w:p>
        </w:tc>
        <w:tc>
          <w:tcPr>
            <w:tcW w:type="dxa" w:w="18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2.0 to 21.9 s</w:t>
            </w:r>
          </w:p>
        </w:tc>
      </w:tr>
      <w:tr>
        <w:trPr>
          <w:cantSplit/>
        </w:trPr>
        <w:tc>
          <w:tcPr>
            <w:tcW w:type="dxa" w:w="4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Know more (29 Oct)</w:t>
            </w:r>
          </w:p>
        </w:tc>
        <w:tc>
          <w:tcPr>
            <w:tcW w:type="dxa" w:w="7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5</w:t>
            </w:r>
          </w:p>
        </w:tc>
        <w:tc>
          <w:tcPr>
            <w:tcW w:type="dxa" w:w="14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4.1 s</w:t>
            </w:r>
          </w:p>
        </w:tc>
        <w:tc>
          <w:tcPr>
            <w:tcW w:type="dxa" w:w="18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2.3 to 15.0 s</w:t>
            </w:r>
          </w:p>
        </w:tc>
      </w:tr>
    </w:tbl>
    <w:p>
      <w:pPr>
        <w:spacing w:after="120"/>
      </w:pPr>
    </w:p>
    <w:p>
      <w:pPr>
        <w:pStyle w:val="Heading2"/>
        <w:keepNext/>
        <w:spacing w:after="120" w:before="240"/>
      </w:pPr>
      <w:r>
        <w:rPr>
          <w:b/>
          <w:bCs/>
          <w:sz w:val="28"/>
          <w:szCs w:val="28"/>
        </w:rPr>
        <w:t xml:space="preserve">5.4 Front-end payload</w:t>
      </w:r>
    </w:p>
    <w:p>
      <w:pPr>
        <w:spacing w:after="120" w:before="0" w:line="360"/>
        <w:jc w:val="both"/>
      </w:pPr>
      <w:r>
        <w:t xml:space="preserve">The application bundle is 139.7 KB of JavaScript (47.4 KB gzip-compressed) and 35.3 KB of CSS (8.1 KB compressed), with no framework. CloudFront serves it from the edge; fonts are cached for a year.</w:t>
      </w:r>
    </w:p>
    <w:p>
      <w:pPr>
        <w:pStyle w:val="Heading2"/>
        <w:keepNext/>
        <w:spacing w:after="120" w:before="240"/>
      </w:pPr>
      <w:r>
        <w:rPr>
          <w:b/>
          <w:bCs/>
          <w:sz w:val="28"/>
          <w:szCs w:val="28"/>
        </w:rPr>
        <w:t xml:space="preserve">5.5 Language-model behaviour</w:t>
      </w:r>
    </w:p>
    <w:p>
      <w:pPr>
        <w:spacing w:after="120" w:before="0" w:line="360"/>
        <w:jc w:val="both"/>
      </w:pPr>
      <w:r>
        <w:t xml:space="preserve">Bedrock failed every call (quota zero), so Groq answered most requests in about 2 to 3 s. When Groq returned HTTP 429 under bursts, the chain moved to Gemini, which was often overloaded; the slowest observed answer took 21.9 s before falling back to keyword results. A paid or quota-raised Bedrock model would remove this variance.</w:t>
      </w:r>
    </w:p>
    <w:p>
      <w:pPr>
        <w:pStyle w:val="Heading1"/>
        <w:keepNext/>
        <w:spacing w:after="160" w:before="360"/>
      </w:pPr>
      <w:r>
        <w:rPr>
          <w:b/>
          <w:bCs/>
          <w:sz w:val="30"/>
          <w:szCs w:val="30"/>
        </w:rPr>
        <w:t xml:space="preserve">6. Security Analysis</w:t>
      </w:r>
    </w:p>
    <w:p>
      <w:pPr>
        <w:pStyle w:val="Heading2"/>
        <w:keepNext/>
        <w:spacing w:after="120" w:before="240"/>
      </w:pPr>
      <w:r>
        <w:rPr>
          <w:b/>
          <w:bCs/>
          <w:sz w:val="28"/>
          <w:szCs w:val="28"/>
        </w:rPr>
        <w:t xml:space="preserve">6.1 STRIDE threat model</w:t>
      </w:r>
    </w:p>
    <w:p>
      <w:pPr>
        <w:keepNext/>
        <w:spacing w:after="100" w:before="200"/>
        <w:jc w:val="center"/>
      </w:pPr>
      <w:r>
        <w:rPr>
          <w:b/>
          <w:bCs/>
          <w:sz w:val="22"/>
          <w:szCs w:val="22"/>
        </w:rPr>
        <w:t xml:space="preserve">Table 6.1: STRIDE threat model</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62"/>
        <w:gridCol w:w="3020"/>
        <w:gridCol w:w="3524"/>
      </w:tblGrid>
      <w:tr>
        <w:trPr>
          <w:cantSplit/>
          <w:tblHeader/>
        </w:trPr>
        <w:tc>
          <w:tcPr>
            <w:tcW w:type="dxa" w:w="1762"/>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Threat</w:t>
            </w:r>
          </w:p>
        </w:tc>
        <w:tc>
          <w:tcPr>
            <w:tcW w:type="dxa" w:w="302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Example</w:t>
            </w:r>
          </w:p>
        </w:tc>
        <w:tc>
          <w:tcPr>
            <w:tcW w:type="dxa" w:w="352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Mitigation</w:t>
            </w:r>
          </w:p>
        </w:tc>
      </w:tr>
      <w:tr>
        <w:trPr>
          <w:cantSplit/>
        </w:trPr>
        <w:tc>
          <w:tcPr>
            <w:tcW w:type="dxa" w:w="1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Spoofing</w:t>
            </w:r>
          </w:p>
        </w:tc>
        <w:tc>
          <w:tcPr>
            <w:tcW w:type="dxa" w:w="30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Calling the API as another user</w:t>
            </w:r>
          </w:p>
        </w:tc>
        <w:tc>
          <w:tcPr>
            <w:tcW w:type="dxa" w:w="35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Cognito-signed JWT validated by API Gateway; user id taken from verified claims</w:t>
            </w:r>
          </w:p>
        </w:tc>
      </w:tr>
      <w:tr>
        <w:trPr>
          <w:cantSplit/>
        </w:trPr>
        <w:tc>
          <w:tcPr>
            <w:tcW w:type="dxa" w:w="1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Tampering</w:t>
            </w:r>
          </w:p>
        </w:tc>
        <w:tc>
          <w:tcPr>
            <w:tcW w:type="dxa" w:w="30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Editing another user's references or notes</w:t>
            </w:r>
          </w:p>
        </w:tc>
        <w:tc>
          <w:tcPr>
            <w:tcW w:type="dxa" w:w="35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Partition per user; conditional writes; no user id accepted from the request</w:t>
            </w:r>
          </w:p>
        </w:tc>
      </w:tr>
      <w:tr>
        <w:trPr>
          <w:cantSplit/>
        </w:trPr>
        <w:tc>
          <w:tcPr>
            <w:tcW w:type="dxa" w:w="1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Repudiation</w:t>
            </w:r>
          </w:p>
        </w:tc>
        <w:tc>
          <w:tcPr>
            <w:tcW w:type="dxa" w:w="30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Denying an action</w:t>
            </w:r>
          </w:p>
        </w:tc>
        <w:tc>
          <w:tcPr>
            <w:tcW w:type="dxa" w:w="35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CloudWatch logs per request; no user-visible audit trail (gap)</w:t>
            </w:r>
          </w:p>
        </w:tc>
      </w:tr>
      <w:tr>
        <w:trPr>
          <w:cantSplit/>
        </w:trPr>
        <w:tc>
          <w:tcPr>
            <w:tcW w:type="dxa" w:w="1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Information disclosure</w:t>
            </w:r>
          </w:p>
        </w:tc>
        <w:tc>
          <w:tcPr>
            <w:tcW w:type="dxa" w:w="30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Reading media or another library</w:t>
            </w:r>
          </w:p>
        </w:tc>
        <w:tc>
          <w:tcPr>
            <w:tcW w:type="dxa" w:w="35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Private encrypted S3, signed expiring URLs, 404 for foreign ids</w:t>
            </w:r>
          </w:p>
        </w:tc>
      </w:tr>
      <w:tr>
        <w:trPr>
          <w:cantSplit/>
        </w:trPr>
        <w:tc>
          <w:tcPr>
            <w:tcW w:type="dxa" w:w="1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Denial of service</w:t>
            </w:r>
          </w:p>
        </w:tc>
        <w:tc>
          <w:tcPr>
            <w:tcW w:type="dxa" w:w="30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Flooding uploads or AI calls</w:t>
            </w:r>
          </w:p>
        </w:tc>
        <w:tc>
          <w:tcPr>
            <w:tcW w:type="dxa" w:w="35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API throttling (about 25 requests/s), 30-video and 500 MB limits; no WAF (gap)</w:t>
            </w:r>
          </w:p>
        </w:tc>
      </w:tr>
      <w:tr>
        <w:trPr>
          <w:cantSplit/>
        </w:trPr>
        <w:tc>
          <w:tcPr>
            <w:tcW w:type="dxa" w:w="1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Elevation of privilege</w:t>
            </w:r>
          </w:p>
        </w:tc>
        <w:tc>
          <w:tcPr>
            <w:tcW w:type="dxa" w:w="30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Lambda reaching other resources</w:t>
            </w:r>
          </w:p>
        </w:tc>
        <w:tc>
          <w:tcPr>
            <w:tcW w:type="dxa" w:w="35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Per-function least-privilege IAM policies</w:t>
            </w:r>
          </w:p>
        </w:tc>
      </w:tr>
    </w:tbl>
    <w:p>
      <w:pPr>
        <w:spacing w:after="120"/>
      </w:pPr>
    </w:p>
    <w:p>
      <w:pPr>
        <w:pStyle w:val="Heading2"/>
        <w:keepNext/>
        <w:spacing w:after="120" w:before="240"/>
      </w:pPr>
      <w:r>
        <w:rPr>
          <w:b/>
          <w:bCs/>
          <w:sz w:val="28"/>
          <w:szCs w:val="28"/>
        </w:rPr>
        <w:t xml:space="preserve">6.2 OWASP Top 10 (2021) mapping</w:t>
      </w:r>
    </w:p>
    <w:p>
      <w:pPr>
        <w:keepNext/>
        <w:spacing w:after="100" w:before="200"/>
        <w:jc w:val="center"/>
      </w:pPr>
      <w:r>
        <w:rPr>
          <w:b/>
          <w:bCs/>
          <w:sz w:val="22"/>
          <w:szCs w:val="22"/>
        </w:rPr>
        <w:t xml:space="preserve">Table 6.2: OWASP Top 10 mapping</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9"/>
        <w:gridCol w:w="5537"/>
      </w:tblGrid>
      <w:tr>
        <w:trPr>
          <w:cantSplit/>
          <w:tblHeader/>
        </w:trPr>
        <w:tc>
          <w:tcPr>
            <w:tcW w:type="dxa" w:w="276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Category</w:t>
            </w:r>
          </w:p>
        </w:tc>
        <w:tc>
          <w:tcPr>
            <w:tcW w:type="dxa" w:w="5537"/>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CloudNote AI control</w:t>
            </w:r>
          </w:p>
        </w:tc>
      </w:tr>
      <w:tr>
        <w:trPr>
          <w:cantSplit/>
        </w:trPr>
        <w:tc>
          <w:tcPr>
            <w:tcW w:type="dxa" w:w="27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A01 Broken Access Control</w:t>
            </w:r>
          </w:p>
        </w:tc>
        <w:tc>
          <w:tcPr>
            <w:tcW w:type="dxa" w:w="55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Gateway authorizer; per-user partitions; cross-user tests ISOL-14 to ISOL-17 passed</w:t>
            </w:r>
          </w:p>
        </w:tc>
      </w:tr>
      <w:tr>
        <w:trPr>
          <w:cantSplit/>
        </w:trPr>
        <w:tc>
          <w:tcPr>
            <w:tcW w:type="dxa" w:w="27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A02 Cryptographic Failures</w:t>
            </w:r>
          </w:p>
        </w:tc>
        <w:tc>
          <w:tcPr>
            <w:tcW w:type="dxa" w:w="55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TLS everywhere, HSTS; S3 server-side encryption; DynamoDB encryption at rest (AWS default)</w:t>
            </w:r>
          </w:p>
        </w:tc>
      </w:tr>
      <w:tr>
        <w:trPr>
          <w:cantSplit/>
        </w:trPr>
        <w:tc>
          <w:tcPr>
            <w:tcW w:type="dxa" w:w="27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A03 Injection</w:t>
            </w:r>
          </w:p>
        </w:tc>
        <w:tc>
          <w:tcPr>
            <w:tcW w:type="dxa" w:w="55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No string-built queries; prompt-injection test produced no answer; model output never executed</w:t>
            </w:r>
          </w:p>
        </w:tc>
      </w:tr>
      <w:tr>
        <w:trPr>
          <w:cantSplit/>
        </w:trPr>
        <w:tc>
          <w:tcPr>
            <w:tcW w:type="dxa" w:w="27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A04 Insecure Design</w:t>
            </w:r>
          </w:p>
        </w:tc>
        <w:tc>
          <w:tcPr>
            <w:tcW w:type="dxa" w:w="55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User confirmation before linking; citations enforced</w:t>
            </w:r>
          </w:p>
        </w:tc>
      </w:tr>
      <w:tr>
        <w:trPr>
          <w:cantSplit/>
        </w:trPr>
        <w:tc>
          <w:tcPr>
            <w:tcW w:type="dxa" w:w="27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A05 Security Misconfiguration</w:t>
            </w:r>
          </w:p>
        </w:tc>
        <w:tc>
          <w:tcPr>
            <w:tcW w:type="dxa" w:w="55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Public access blocked on buckets; CSP and frame denial; one template reviewed with cfn-lint</w:t>
            </w:r>
          </w:p>
        </w:tc>
      </w:tr>
      <w:tr>
        <w:trPr>
          <w:cantSplit/>
        </w:trPr>
        <w:tc>
          <w:tcPr>
            <w:tcW w:type="dxa" w:w="27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A06 Vulnerable Components</w:t>
            </w:r>
          </w:p>
        </w:tc>
        <w:tc>
          <w:tcPr>
            <w:tcW w:type="dxa" w:w="55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No frontend framework; AWS SDK from the Lambda runtime; dependency scanning not automated (gap)</w:t>
            </w:r>
          </w:p>
        </w:tc>
      </w:tr>
      <w:tr>
        <w:trPr>
          <w:cantSplit/>
        </w:trPr>
        <w:tc>
          <w:tcPr>
            <w:tcW w:type="dxa" w:w="27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A07 Identification and Authentication Failures</w:t>
            </w:r>
          </w:p>
        </w:tc>
        <w:tc>
          <w:tcPr>
            <w:tcW w:type="dxa" w:w="55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Cognito password policy; same error for unknown user and wrong password; no MFA (gap)</w:t>
            </w:r>
          </w:p>
        </w:tc>
      </w:tr>
      <w:tr>
        <w:trPr>
          <w:cantSplit/>
        </w:trPr>
        <w:tc>
          <w:tcPr>
            <w:tcW w:type="dxa" w:w="27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A08 Software and Data Integrity Failures</w:t>
            </w:r>
          </w:p>
        </w:tc>
        <w:tc>
          <w:tcPr>
            <w:tcW w:type="dxa" w:w="55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Infrastructure as code; deployment from a reviewed repository</w:t>
            </w:r>
          </w:p>
        </w:tc>
      </w:tr>
      <w:tr>
        <w:trPr>
          <w:cantSplit/>
        </w:trPr>
        <w:tc>
          <w:tcPr>
            <w:tcW w:type="dxa" w:w="27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A09 Logging and Monitoring Failures</w:t>
            </w:r>
          </w:p>
        </w:tc>
        <w:tc>
          <w:tcPr>
            <w:tcW w:type="dxa" w:w="55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CloudWatch logs for all functions; no alarms yet (gap)</w:t>
            </w:r>
          </w:p>
        </w:tc>
      </w:tr>
      <w:tr>
        <w:trPr>
          <w:cantSplit/>
        </w:trPr>
        <w:tc>
          <w:tcPr>
            <w:tcW w:type="dxa" w:w="27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A10 Server-Side Request Forgery</w:t>
            </w:r>
          </w:p>
        </w:tc>
        <w:tc>
          <w:tcPr>
            <w:tcW w:type="dxa" w:w="55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Backend calls only fixed AWS, Groq and Gemini endpoints</w:t>
            </w:r>
          </w:p>
        </w:tc>
      </w:tr>
    </w:tbl>
    <w:p>
      <w:pPr>
        <w:spacing w:after="120"/>
      </w:pPr>
    </w:p>
    <w:p>
      <w:pPr>
        <w:pStyle w:val="Heading2"/>
        <w:keepNext/>
        <w:spacing w:after="120" w:before="240"/>
      </w:pPr>
      <w:r>
        <w:rPr>
          <w:b/>
          <w:bCs/>
          <w:sz w:val="28"/>
          <w:szCs w:val="28"/>
        </w:rPr>
        <w:t xml:space="preserve">6.3 Security test results</w:t>
      </w:r>
    </w:p>
    <w:p>
      <w:pPr>
        <w:keepNext/>
        <w:spacing w:after="100" w:before="200"/>
        <w:jc w:val="center"/>
      </w:pPr>
      <w:r>
        <w:rPr>
          <w:b/>
          <w:bCs/>
          <w:sz w:val="22"/>
          <w:szCs w:val="22"/>
        </w:rPr>
        <w:t xml:space="preserve">Table 6.3: Live security test results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984"/>
        <w:gridCol w:w="1661"/>
        <w:gridCol w:w="1661"/>
      </w:tblGrid>
      <w:tr>
        <w:trPr>
          <w:cantSplit/>
          <w:tblHeader/>
        </w:trPr>
        <w:tc>
          <w:tcPr>
            <w:tcW w:type="dxa" w:w="498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Category</w:t>
            </w:r>
          </w:p>
        </w:tc>
        <w:tc>
          <w:tcPr>
            <w:tcW w:type="dxa" w:w="166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19"/>
                <w:szCs w:val="19"/>
              </w:rPr>
              <w:t xml:space="preserve">Checks</w:t>
            </w:r>
          </w:p>
        </w:tc>
        <w:tc>
          <w:tcPr>
            <w:tcW w:type="dxa" w:w="166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19"/>
                <w:szCs w:val="19"/>
              </w:rPr>
              <w:t xml:space="preserve">Passed</w:t>
            </w:r>
          </w:p>
        </w:tc>
      </w:tr>
      <w:tr>
        <w:trPr>
          <w:cantSplit/>
        </w:trPr>
        <w:tc>
          <w:tcPr>
            <w:tcW w:type="dxa" w:w="4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Authentication</w:t>
            </w:r>
          </w:p>
        </w:tc>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13</w:t>
            </w:r>
          </w:p>
        </w:tc>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13</w:t>
            </w:r>
          </w:p>
        </w:tc>
      </w:tr>
      <w:tr>
        <w:trPr>
          <w:cantSplit/>
        </w:trPr>
        <w:tc>
          <w:tcPr>
            <w:tcW w:type="dxa" w:w="4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Isolation</w:t>
            </w:r>
          </w:p>
        </w:tc>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4</w:t>
            </w:r>
          </w:p>
        </w:tc>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4</w:t>
            </w:r>
          </w:p>
        </w:tc>
      </w:tr>
      <w:tr>
        <w:trPr>
          <w:cantSplit/>
        </w:trPr>
        <w:tc>
          <w:tcPr>
            <w:tcW w:type="dxa" w:w="4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Input validation</w:t>
            </w:r>
          </w:p>
        </w:tc>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6</w:t>
            </w:r>
          </w:p>
        </w:tc>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6</w:t>
            </w:r>
          </w:p>
        </w:tc>
      </w:tr>
      <w:tr>
        <w:trPr>
          <w:cantSplit/>
        </w:trPr>
        <w:tc>
          <w:tcPr>
            <w:tcW w:type="dxa" w:w="4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Injection</w:t>
            </w:r>
          </w:p>
        </w:tc>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2</w:t>
            </w:r>
          </w:p>
        </w:tc>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2</w:t>
            </w:r>
          </w:p>
        </w:tc>
      </w:tr>
      <w:tr>
        <w:trPr>
          <w:cantSplit/>
        </w:trPr>
        <w:tc>
          <w:tcPr>
            <w:tcW w:type="dxa" w:w="4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Storage</w:t>
            </w:r>
          </w:p>
        </w:tc>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6</w:t>
            </w:r>
          </w:p>
        </w:tc>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6</w:t>
            </w:r>
          </w:p>
        </w:tc>
      </w:tr>
      <w:tr>
        <w:trPr>
          <w:cantSplit/>
        </w:trPr>
        <w:tc>
          <w:tcPr>
            <w:tcW w:type="dxa" w:w="4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Headers and transport</w:t>
            </w:r>
          </w:p>
        </w:tc>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5</w:t>
            </w:r>
          </w:p>
        </w:tc>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5</w:t>
            </w:r>
          </w:p>
        </w:tc>
      </w:tr>
    </w:tbl>
    <w:p>
      <w:pPr>
        <w:spacing w:after="120"/>
      </w:pPr>
    </w:p>
    <w:p>
      <w:pPr>
        <w:pStyle w:val="Heading2"/>
        <w:keepNext/>
        <w:spacing w:after="120" w:before="240"/>
      </w:pPr>
      <w:r>
        <w:rPr>
          <w:b/>
          <w:bCs/>
          <w:sz w:val="28"/>
          <w:szCs w:val="28"/>
        </w:rPr>
        <w:t xml:space="preserve">6.4 Compliance considerations</w:t>
      </w:r>
    </w:p>
    <w:p>
      <w:pPr>
        <w:spacing w:after="120" w:before="0" w:line="360"/>
        <w:jc w:val="both"/>
      </w:pPr>
      <w:r>
        <w:t xml:space="preserve">Recordings can contain personal data of lecturers and students. Under India's Digital Personal Data Protection Act, 2023, a production service would need a clear purpose statement, consent, the ability to delete data (already supported per recording), and disclosure of processors. While Groq or Gemini is used, transcript text is processed outside AWS by those providers; this must be disclosed, or the service should run only on Bedrock.</w:t>
      </w:r>
    </w:p>
    <w:p>
      <w:pPr>
        <w:pStyle w:val="Heading2"/>
        <w:keepNext/>
        <w:spacing w:after="120" w:before="240"/>
      </w:pPr>
      <w:r>
        <w:rPr>
          <w:b/>
          <w:bCs/>
          <w:sz w:val="28"/>
          <w:szCs w:val="28"/>
        </w:rPr>
        <w:t xml:space="preserve">6.5 Identified security gaps</w:t>
      </w:r>
    </w:p>
    <w:p>
      <w:pPr>
        <w:pStyle w:val="ListParagraph"/>
        <w:numPr>
          <w:ilvl w:val="0"/>
          <w:numId w:val="3"/>
        </w:numPr>
        <w:spacing w:after="80" w:line="360"/>
        <w:jc w:val="both"/>
      </w:pPr>
      <w:r>
        <w:t xml:space="preserve">Open sign-up without e-mail verification; anyone with the link can use transcription credits.</w:t>
      </w:r>
    </w:p>
    <w:p>
      <w:pPr>
        <w:pStyle w:val="ListParagraph"/>
        <w:numPr>
          <w:ilvl w:val="0"/>
          <w:numId w:val="3"/>
        </w:numPr>
        <w:spacing w:after="80" w:line="360"/>
        <w:jc w:val="both"/>
      </w:pPr>
      <w:r>
        <w:t xml:space="preserve">No multi-factor authentication or password reset.</w:t>
      </w:r>
    </w:p>
    <w:p>
      <w:pPr>
        <w:pStyle w:val="ListParagraph"/>
        <w:numPr>
          <w:ilvl w:val="0"/>
          <w:numId w:val="3"/>
        </w:numPr>
        <w:spacing w:after="80" w:line="360"/>
        <w:jc w:val="both"/>
      </w:pPr>
      <w:r>
        <w:t xml:space="preserve">No AWS WAF or per-user rate limits beyond API Gateway throttling.</w:t>
      </w:r>
    </w:p>
    <w:p>
      <w:pPr>
        <w:pStyle w:val="ListParagraph"/>
        <w:numPr>
          <w:ilvl w:val="0"/>
          <w:numId w:val="3"/>
        </w:numPr>
        <w:spacing w:after="80" w:line="360"/>
        <w:jc w:val="both"/>
      </w:pPr>
      <w:r>
        <w:t xml:space="preserve">Model API keys live in Lambda environment variables rather than Secrets Manager.</w:t>
      </w:r>
    </w:p>
    <w:p>
      <w:pPr>
        <w:pStyle w:val="ListParagraph"/>
        <w:numPr>
          <w:ilvl w:val="0"/>
          <w:numId w:val="3"/>
        </w:numPr>
        <w:spacing w:after="80" w:line="360"/>
        <w:jc w:val="both"/>
      </w:pPr>
      <w:r>
        <w:t xml:space="preserve">Media bucket CORS allows any origin (uploads still need presigned URLs).</w:t>
      </w:r>
    </w:p>
    <w:p>
      <w:pPr>
        <w:pStyle w:val="ListParagraph"/>
        <w:numPr>
          <w:ilvl w:val="0"/>
          <w:numId w:val="3"/>
        </w:numPr>
        <w:spacing w:after="80" w:line="360"/>
        <w:jc w:val="both"/>
      </w:pPr>
      <w:r>
        <w:t xml:space="preserve">No user-visible audit log and no CloudWatch alarms or budget alarm configured in the stack.</w:t>
      </w:r>
    </w:p>
    <w:p>
      <w:pPr>
        <w:pStyle w:val="ListParagraph"/>
        <w:numPr>
          <w:ilvl w:val="0"/>
          <w:numId w:val="3"/>
        </w:numPr>
        <w:spacing w:after="80" w:line="360"/>
        <w:jc w:val="both"/>
      </w:pPr>
      <w:r>
        <w:t xml:space="preserve">The deployment IAM user has AdministratorAccess and should be removed after deployment.</w:t>
      </w:r>
    </w:p>
    <w:p>
      <w:pPr>
        <w:pStyle w:val="Heading1"/>
        <w:keepNext/>
        <w:spacing w:after="160" w:before="360"/>
      </w:pPr>
      <w:r>
        <w:rPr>
          <w:b/>
          <w:bCs/>
          <w:sz w:val="30"/>
          <w:szCs w:val="30"/>
        </w:rPr>
        <w:t xml:space="preserve">7. Data Analysis</w:t>
      </w:r>
    </w:p>
    <w:p>
      <w:pPr>
        <w:pStyle w:val="Heading2"/>
        <w:keepNext/>
        <w:spacing w:after="120" w:before="240"/>
      </w:pPr>
      <w:r>
        <w:rPr>
          <w:b/>
          <w:bCs/>
          <w:sz w:val="28"/>
          <w:szCs w:val="28"/>
        </w:rPr>
        <w:t xml:space="preserve">7.1 Data model composition</w:t>
      </w:r>
    </w:p>
    <w:p>
      <w:pPr>
        <w:keepNext/>
        <w:spacing w:after="80" w:before="160"/>
        <w:jc w:val="center"/>
      </w:pPr>
      <w:r>
        <w:drawing>
          <wp:inline distT="0" distB="0" distL="0" distR="0">
            <wp:extent cx="5238750" cy="44196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4419600"/>
                    </a:xfrm>
                    <a:prstGeom prst="rect">
                      <a:avLst/>
                    </a:prstGeom>
                  </pic:spPr>
                </pic:pic>
              </a:graphicData>
            </a:graphic>
          </wp:inline>
        </w:drawing>
      </w:r>
    </w:p>
    <w:p>
      <w:pPr>
        <w:spacing w:after="200"/>
        <w:jc w:val="center"/>
      </w:pPr>
      <w:r>
        <w:rPr>
          <w:b/>
          <w:bCs/>
          <w:sz w:val="22"/>
          <w:szCs w:val="22"/>
        </w:rPr>
        <w:t xml:space="preserve">Figure 7.1: Single-table data model</w:t>
      </w:r>
    </w:p>
    <w:p>
      <w:pPr>
        <w:spacing w:after="120" w:before="0" w:line="360"/>
        <w:jc w:val="both"/>
      </w:pPr>
      <w:r>
        <w:t xml:space="preserve">Each user's partition contains video items, transcript chunks (about 60 words each), notes, own notes, references, notifications and one library version item. A one-hour lecture produces roughly 100 to 150 chunks, so a library of 30 recordings stays in the low thousands of items, well within DynamoDB's single-partition throughput for one learner. Media files dominate storage and live in S3, not in the table.</w:t>
      </w:r>
    </w:p>
    <w:p>
      <w:pPr>
        <w:pStyle w:val="Heading2"/>
        <w:keepNext/>
        <w:spacing w:after="120" w:before="240"/>
      </w:pPr>
      <w:r>
        <w:rPr>
          <w:b/>
          <w:bCs/>
          <w:sz w:val="28"/>
          <w:szCs w:val="28"/>
        </w:rPr>
        <w:t xml:space="preserve">7.2 Observations from the sample library</w:t>
      </w:r>
    </w:p>
    <w:p>
      <w:pPr>
        <w:spacing w:after="120" w:before="0" w:line="360"/>
        <w:jc w:val="both"/>
      </w:pPr>
      <w:r>
        <w:t xml:space="preserve">The four illustrative sample recordings contain backward references, a follow-up kept by a later recording and a follow-up kept by none, so the library map shows linked edges, open gaps and follow-ups. A real 18-minute graph-traversal lecture uploaded by the team produced 131 moments with AI notes, and on a graph-traversal transcript the Ask tab answered "what is DFS" with an explanation citing the moments at 9:30, 12:10 and 15:36. These are demonstrations, not measured accuracy.</w:t>
      </w:r>
    </w:p>
    <w:p>
      <w:pPr>
        <w:pStyle w:val="Heading1"/>
        <w:keepNext/>
        <w:spacing w:after="160" w:before="360"/>
      </w:pPr>
      <w:r>
        <w:rPr>
          <w:b/>
          <w:bCs/>
          <w:sz w:val="30"/>
          <w:szCs w:val="30"/>
        </w:rPr>
        <w:t xml:space="preserve">8. Cost Analysis</w:t>
      </w:r>
    </w:p>
    <w:p>
      <w:pPr>
        <w:spacing w:after="120" w:before="0" w:line="360"/>
        <w:jc w:val="both"/>
      </w:pPr>
      <w:r>
        <w:t xml:space="preserve">AWS Cost Explorer reported 0.00 USD for October 2026. Table 8.1 estimates transcription, the dominant cost, at about 0.024 USD per audio minute (us-east-1 standard batch price at the time of writing).</w:t>
      </w:r>
    </w:p>
    <w:p>
      <w:pPr>
        <w:keepNext/>
        <w:spacing w:after="100" w:before="200"/>
        <w:jc w:val="center"/>
      </w:pPr>
      <w:r>
        <w:rPr>
          <w:b/>
          <w:bCs/>
          <w:sz w:val="22"/>
          <w:szCs w:val="22"/>
        </w:rPr>
        <w:t xml:space="preserve">Table 8.1: Estimated transcription cost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932"/>
        <w:gridCol w:w="1687"/>
        <w:gridCol w:w="1687"/>
      </w:tblGrid>
      <w:tr>
        <w:trPr>
          <w:cantSplit/>
          <w:tblHeader/>
        </w:trPr>
        <w:tc>
          <w:tcPr>
            <w:tcW w:type="dxa" w:w="4932"/>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Scenario</w:t>
            </w:r>
          </w:p>
        </w:tc>
        <w:tc>
          <w:tcPr>
            <w:tcW w:type="dxa" w:w="1687"/>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19"/>
                <w:szCs w:val="19"/>
              </w:rPr>
              <w:t xml:space="preserve">Audio minutes</w:t>
            </w:r>
          </w:p>
        </w:tc>
        <w:tc>
          <w:tcPr>
            <w:tcW w:type="dxa" w:w="1687"/>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19"/>
                <w:szCs w:val="19"/>
              </w:rPr>
              <w:t xml:space="preserve">Approx. USD</w:t>
            </w:r>
          </w:p>
        </w:tc>
      </w:tr>
      <w:tr>
        <w:trPr>
          <w:cantSplit/>
        </w:trPr>
        <w:tc>
          <w:tcPr>
            <w:tcW w:type="dxa" w:w="49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Capstone demo: 4 recordings of 5 minutes</w:t>
            </w:r>
          </w:p>
        </w:tc>
        <w:tc>
          <w:tcPr>
            <w:tcW w:type="dxa" w:w="16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20</w:t>
            </w:r>
          </w:p>
        </w:tc>
        <w:tc>
          <w:tcPr>
            <w:tcW w:type="dxa" w:w="16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0.48</w:t>
            </w:r>
          </w:p>
        </w:tc>
      </w:tr>
      <w:tr>
        <w:trPr>
          <w:cantSplit/>
        </w:trPr>
        <w:tc>
          <w:tcPr>
            <w:tcW w:type="dxa" w:w="49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One student, one course: 30 lectures of 50 minutes</w:t>
            </w:r>
          </w:p>
        </w:tc>
        <w:tc>
          <w:tcPr>
            <w:tcW w:type="dxa" w:w="16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1,500</w:t>
            </w:r>
          </w:p>
        </w:tc>
        <w:tc>
          <w:tcPr>
            <w:tcW w:type="dxa" w:w="16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36</w:t>
            </w:r>
          </w:p>
        </w:tc>
      </w:tr>
      <w:tr>
        <w:trPr>
          <w:cantSplit/>
        </w:trPr>
        <w:tc>
          <w:tcPr>
            <w:tcW w:type="dxa" w:w="49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60 students uploading the same 30 lectures each</w:t>
            </w:r>
          </w:p>
        </w:tc>
        <w:tc>
          <w:tcPr>
            <w:tcW w:type="dxa" w:w="16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90,000</w:t>
            </w:r>
          </w:p>
        </w:tc>
        <w:tc>
          <w:tcPr>
            <w:tcW w:type="dxa" w:w="16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2,160</w:t>
            </w:r>
          </w:p>
        </w:tc>
      </w:tr>
      <w:tr>
        <w:trPr>
          <w:cantSplit/>
        </w:trPr>
        <w:tc>
          <w:tcPr>
            <w:tcW w:type="dxa" w:w="49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Same class, lectures shared once</w:t>
            </w:r>
          </w:p>
        </w:tc>
        <w:tc>
          <w:tcPr>
            <w:tcW w:type="dxa" w:w="16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1,500</w:t>
            </w:r>
          </w:p>
        </w:tc>
        <w:tc>
          <w:tcPr>
            <w:tcW w:type="dxa" w:w="16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36</w:t>
            </w:r>
          </w:p>
        </w:tc>
      </w:tr>
    </w:tbl>
    <w:p>
      <w:pPr>
        <w:spacing w:after="120"/>
      </w:pPr>
    </w:p>
    <w:p>
      <w:pPr>
        <w:pStyle w:val="Heading2"/>
        <w:keepNext/>
        <w:spacing w:after="120" w:before="240"/>
      </w:pPr>
      <w:r>
        <w:rPr>
          <w:b/>
          <w:bCs/>
          <w:sz w:val="28"/>
          <w:szCs w:val="28"/>
        </w:rPr>
        <w:t xml:space="preserve">8.1 Serverless versus an always-on server</w:t>
      </w:r>
    </w:p>
    <w:p>
      <w:pPr>
        <w:spacing w:after="120" w:before="0" w:line="360"/>
        <w:jc w:val="both"/>
      </w:pPr>
      <w:r>
        <w:t xml:space="preserve">An always-on virtual machine large enough to run the API would cost a fixed monthly amount even with no users, plus patching and monitoring effort. The serverless design costs nothing when idle and scales automatically; its costs grow with use, so it suits a course project and small classes well. At sustained high load a container or instance could become cheaper, but transcription would still dominate.</w:t>
      </w:r>
    </w:p>
    <w:p>
      <w:pPr>
        <w:pStyle w:val="Heading2"/>
        <w:keepNext/>
        <w:spacing w:after="120" w:before="240"/>
      </w:pPr>
      <w:r>
        <w:rPr>
          <w:b/>
          <w:bCs/>
          <w:sz w:val="28"/>
          <w:szCs w:val="28"/>
        </w:rPr>
        <w:t xml:space="preserve">8.2 Cost optimisation options</w:t>
      </w:r>
    </w:p>
    <w:p>
      <w:pPr>
        <w:pStyle w:val="ListParagraph"/>
        <w:numPr>
          <w:ilvl w:val="0"/>
          <w:numId w:val="2"/>
        </w:numPr>
        <w:spacing w:after="80" w:line="360"/>
        <w:jc w:val="both"/>
      </w:pPr>
      <w:r>
        <w:t xml:space="preserve">Import existing captions as transcripts instead of transcribing.</w:t>
      </w:r>
    </w:p>
    <w:p>
      <w:pPr>
        <w:pStyle w:val="ListParagraph"/>
        <w:numPr>
          <w:ilvl w:val="0"/>
          <w:numId w:val="2"/>
        </w:numPr>
        <w:spacing w:after="80" w:line="360"/>
        <w:jc w:val="both"/>
      </w:pPr>
      <w:r>
        <w:t xml:space="preserve">Share course libraries so each lecture is transcribed once.</w:t>
      </w:r>
    </w:p>
    <w:p>
      <w:pPr>
        <w:pStyle w:val="ListParagraph"/>
        <w:numPr>
          <w:ilvl w:val="0"/>
          <w:numId w:val="2"/>
        </w:numPr>
        <w:spacing w:after="80" w:line="360"/>
        <w:jc w:val="both"/>
      </w:pPr>
      <w:r>
        <w:t xml:space="preserve">Restrict sign-up and add an AWS Budgets alarm.</w:t>
      </w:r>
    </w:p>
    <w:p>
      <w:pPr>
        <w:pStyle w:val="ListParagraph"/>
        <w:numPr>
          <w:ilvl w:val="0"/>
          <w:numId w:val="2"/>
        </w:numPr>
        <w:spacing w:after="80" w:line="360"/>
        <w:jc w:val="both"/>
      </w:pPr>
      <w:r>
        <w:t xml:space="preserve">Lower Lambda memory for the API after measuring CPU-bound paths.</w:t>
      </w:r>
    </w:p>
    <w:p>
      <w:pPr>
        <w:pStyle w:val="ListParagraph"/>
        <w:numPr>
          <w:ilvl w:val="0"/>
          <w:numId w:val="2"/>
        </w:numPr>
        <w:spacing w:after="80" w:line="360"/>
        <w:jc w:val="both"/>
      </w:pPr>
      <w:r>
        <w:t xml:space="preserve">Use Bedrock (paid per token, small) instead of rate-limited free tiers for reliability.</w:t>
      </w:r>
    </w:p>
    <w:p>
      <w:pPr>
        <w:pStyle w:val="Heading1"/>
        <w:keepNext/>
        <w:spacing w:after="160" w:before="360"/>
      </w:pPr>
      <w:r>
        <w:rPr>
          <w:b/>
          <w:bCs/>
          <w:sz w:val="30"/>
          <w:szCs w:val="30"/>
        </w:rPr>
        <w:t xml:space="preserve">9. Code Quality and Maintainability</w:t>
      </w:r>
    </w:p>
    <w:p>
      <w:pPr>
        <w:keepNext/>
        <w:spacing w:after="100" w:before="200"/>
        <w:jc w:val="center"/>
      </w:pPr>
      <w:r>
        <w:rPr>
          <w:b/>
          <w:bCs/>
          <w:sz w:val="22"/>
          <w:szCs w:val="22"/>
        </w:rPr>
        <w:t xml:space="preserve">Table 9.1: Code size (non-blank lines)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155"/>
        <w:gridCol w:w="1432"/>
        <w:gridCol w:w="1719"/>
      </w:tblGrid>
      <w:tr>
        <w:trPr>
          <w:cantSplit/>
          <w:tblHeader/>
        </w:trPr>
        <w:tc>
          <w:tcPr>
            <w:tcW w:type="dxa" w:w="515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Part</w:t>
            </w:r>
          </w:p>
        </w:tc>
        <w:tc>
          <w:tcPr>
            <w:tcW w:type="dxa" w:w="1432"/>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19"/>
                <w:szCs w:val="19"/>
              </w:rPr>
              <w:t xml:space="preserve">Files</w:t>
            </w:r>
          </w:p>
        </w:tc>
        <w:tc>
          <w:tcPr>
            <w:tcW w:type="dxa" w:w="171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19"/>
                <w:szCs w:val="19"/>
              </w:rPr>
              <w:t xml:space="preserve">Lines</w:t>
            </w:r>
          </w:p>
        </w:tc>
      </w:tr>
      <w:tr>
        <w:trPr>
          <w:cantSplit/>
        </w:trPr>
        <w:tc>
          <w:tcPr>
            <w:tcW w:type="dxa" w:w="5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Web application (JavaScript, CSS, HTML)</w:t>
            </w:r>
          </w:p>
        </w:tc>
        <w:tc>
          <w:tcPr>
            <w:tcW w:type="dxa" w:w="14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21</w:t>
            </w:r>
          </w:p>
        </w:tc>
        <w:tc>
          <w:tcPr>
            <w:tcW w:type="dxa" w:w="17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1,667</w:t>
            </w:r>
          </w:p>
        </w:tc>
      </w:tr>
      <w:tr>
        <w:trPr>
          <w:cantSplit/>
        </w:trPr>
        <w:tc>
          <w:tcPr>
            <w:tcW w:type="dxa" w:w="5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Backend</w:t>
            </w:r>
          </w:p>
        </w:tc>
        <w:tc>
          <w:tcPr>
            <w:tcW w:type="dxa" w:w="14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15</w:t>
            </w:r>
          </w:p>
        </w:tc>
        <w:tc>
          <w:tcPr>
            <w:tcW w:type="dxa" w:w="17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1,276</w:t>
            </w:r>
          </w:p>
        </w:tc>
      </w:tr>
      <w:tr>
        <w:trPr>
          <w:cantSplit/>
        </w:trPr>
        <w:tc>
          <w:tcPr>
            <w:tcW w:type="dxa" w:w="5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Shared engine</w:t>
            </w:r>
          </w:p>
        </w:tc>
        <w:tc>
          <w:tcPr>
            <w:tcW w:type="dxa" w:w="14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2</w:t>
            </w:r>
          </w:p>
        </w:tc>
        <w:tc>
          <w:tcPr>
            <w:tcW w:type="dxa" w:w="17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350</w:t>
            </w:r>
          </w:p>
        </w:tc>
      </w:tr>
      <w:tr>
        <w:trPr>
          <w:cantSplit/>
        </w:trPr>
        <w:tc>
          <w:tcPr>
            <w:tcW w:type="dxa" w:w="5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Infrastructure</w:t>
            </w:r>
          </w:p>
        </w:tc>
        <w:tc>
          <w:tcPr>
            <w:tcW w:type="dxa" w:w="14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3</w:t>
            </w:r>
          </w:p>
        </w:tc>
        <w:tc>
          <w:tcPr>
            <w:tcW w:type="dxa" w:w="17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354</w:t>
            </w:r>
          </w:p>
        </w:tc>
      </w:tr>
      <w:tr>
        <w:trPr>
          <w:cantSplit/>
        </w:trPr>
        <w:tc>
          <w:tcPr>
            <w:tcW w:type="dxa" w:w="5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Tests</w:t>
            </w:r>
          </w:p>
        </w:tc>
        <w:tc>
          <w:tcPr>
            <w:tcW w:type="dxa" w:w="14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16</w:t>
            </w:r>
          </w:p>
        </w:tc>
        <w:tc>
          <w:tcPr>
            <w:tcW w:type="dxa" w:w="17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19"/>
                <w:szCs w:val="19"/>
              </w:rPr>
              <w:t xml:space="preserve">981</w:t>
            </w:r>
          </w:p>
        </w:tc>
      </w:tr>
    </w:tbl>
    <w:p>
      <w:pPr>
        <w:spacing w:after="120"/>
      </w:pPr>
    </w:p>
    <w:p>
      <w:pPr>
        <w:pStyle w:val="Heading2"/>
        <w:keepNext/>
        <w:spacing w:after="120" w:before="240"/>
      </w:pPr>
      <w:r>
        <w:rPr>
          <w:b/>
          <w:bCs/>
          <w:sz w:val="28"/>
          <w:szCs w:val="28"/>
        </w:rPr>
        <w:t xml:space="preserve">9.1 Maintainability strengths</w:t>
      </w:r>
    </w:p>
    <w:p>
      <w:pPr>
        <w:pStyle w:val="ListParagraph"/>
        <w:numPr>
          <w:ilvl w:val="0"/>
          <w:numId w:val="2"/>
        </w:numPr>
        <w:spacing w:after="80" w:line="360"/>
        <w:jc w:val="both"/>
      </w:pPr>
      <w:r>
        <w:t xml:space="preserve">One language across browser, backend and shared engine.</w:t>
      </w:r>
    </w:p>
    <w:p>
      <w:pPr>
        <w:pStyle w:val="ListParagraph"/>
        <w:numPr>
          <w:ilvl w:val="0"/>
          <w:numId w:val="2"/>
        </w:numPr>
        <w:spacing w:after="80" w:line="360"/>
        <w:jc w:val="both"/>
      </w:pPr>
      <w:r>
        <w:t xml:space="preserve">Provider interfaces let the same code run locally (memory and disk) and on AWS.</w:t>
      </w:r>
    </w:p>
    <w:p>
      <w:pPr>
        <w:pStyle w:val="ListParagraph"/>
        <w:numPr>
          <w:ilvl w:val="0"/>
          <w:numId w:val="2"/>
        </w:numPr>
        <w:spacing w:after="80" w:line="360"/>
        <w:jc w:val="both"/>
      </w:pPr>
      <w:r>
        <w:t xml:space="preserve">All infrastructure in one template; deploy and destroy are single commands.</w:t>
      </w:r>
    </w:p>
    <w:p>
      <w:pPr>
        <w:pStyle w:val="ListParagraph"/>
        <w:numPr>
          <w:ilvl w:val="0"/>
          <w:numId w:val="2"/>
        </w:numPr>
        <w:spacing w:after="80" w:line="360"/>
        <w:jc w:val="both"/>
      </w:pPr>
      <w:r>
        <w:t xml:space="preserve">59 automated tests cover parsing, notes, references, API behaviour, isolation and failure paths.</w:t>
      </w:r>
    </w:p>
    <w:p>
      <w:pPr>
        <w:pStyle w:val="Heading2"/>
        <w:keepNext/>
        <w:spacing w:after="120" w:before="240"/>
      </w:pPr>
      <w:r>
        <w:rPr>
          <w:b/>
          <w:bCs/>
          <w:sz w:val="28"/>
          <w:szCs w:val="28"/>
        </w:rPr>
        <w:t xml:space="preserve">9.2 Technical debt</w:t>
      </w:r>
    </w:p>
    <w:p>
      <w:pPr>
        <w:pStyle w:val="ListParagraph"/>
        <w:numPr>
          <w:ilvl w:val="0"/>
          <w:numId w:val="2"/>
        </w:numPr>
        <w:spacing w:after="80" w:line="360"/>
        <w:jc w:val="both"/>
      </w:pPr>
      <w:r>
        <w:t xml:space="preserve">The AWS and Cognito test suites need a local AWS mock (moto) and are not run routinely.</w:t>
      </w:r>
    </w:p>
    <w:p>
      <w:pPr>
        <w:pStyle w:val="ListParagraph"/>
        <w:numPr>
          <w:ilvl w:val="0"/>
          <w:numId w:val="2"/>
        </w:numPr>
        <w:spacing w:after="80" w:line="360"/>
        <w:jc w:val="both"/>
      </w:pPr>
      <w:r>
        <w:t xml:space="preserve">No continuous integration pipeline or dependency scanning.</w:t>
      </w:r>
    </w:p>
    <w:p>
      <w:pPr>
        <w:pStyle w:val="ListParagraph"/>
        <w:numPr>
          <w:ilvl w:val="0"/>
          <w:numId w:val="2"/>
        </w:numPr>
        <w:spacing w:after="80" w:line="360"/>
        <w:jc w:val="both"/>
      </w:pPr>
      <w:r>
        <w:t xml:space="preserve">Some UI modules are long single files without component tests.</w:t>
      </w:r>
    </w:p>
    <w:p>
      <w:pPr>
        <w:pStyle w:val="ListParagraph"/>
        <w:numPr>
          <w:ilvl w:val="0"/>
          <w:numId w:val="2"/>
        </w:numPr>
        <w:spacing w:after="80" w:line="360"/>
        <w:jc w:val="both"/>
      </w:pPr>
      <w:r>
        <w:t xml:space="preserve">The per-container in-memory search index will not scale beyond a few hundred recordings per user.</w:t>
      </w:r>
    </w:p>
    <w:p>
      <w:pPr>
        <w:pStyle w:val="ListParagraph"/>
        <w:numPr>
          <w:ilvl w:val="0"/>
          <w:numId w:val="2"/>
        </w:numPr>
        <w:spacing w:after="80" w:line="360"/>
        <w:jc w:val="both"/>
      </w:pPr>
      <w:r>
        <w:t xml:space="preserve">Configuration such as thresholds is in environment variables without a settings screen.</w:t>
      </w:r>
    </w:p>
    <w:p>
      <w:pPr>
        <w:pStyle w:val="Heading1"/>
        <w:keepNext/>
        <w:spacing w:after="160" w:before="360"/>
      </w:pPr>
      <w:r>
        <w:rPr>
          <w:b/>
          <w:bCs/>
          <w:sz w:val="30"/>
          <w:szCs w:val="30"/>
        </w:rPr>
        <w:t xml:space="preserve">10. Risk Analysis</w:t>
      </w:r>
    </w:p>
    <w:p>
      <w:pPr>
        <w:keepNext/>
        <w:spacing w:after="100" w:before="200"/>
        <w:jc w:val="center"/>
      </w:pPr>
      <w:r>
        <w:rPr>
          <w:b/>
          <w:bCs/>
          <w:sz w:val="22"/>
          <w:szCs w:val="22"/>
        </w:rPr>
        <w:t xml:space="preserve">Table 10.1: Risk register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932"/>
        <w:gridCol w:w="1099"/>
        <w:gridCol w:w="1099"/>
        <w:gridCol w:w="3176"/>
      </w:tblGrid>
      <w:tr>
        <w:trPr>
          <w:cantSplit/>
          <w:tblHeader/>
        </w:trPr>
        <w:tc>
          <w:tcPr>
            <w:tcW w:type="dxa" w:w="2932"/>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8"/>
                <w:szCs w:val="18"/>
              </w:rPr>
              <w:t xml:space="preserve">Risk</w:t>
            </w:r>
          </w:p>
        </w:tc>
        <w:tc>
          <w:tcPr>
            <w:tcW w:type="dxa" w:w="109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8"/>
                <w:szCs w:val="18"/>
              </w:rPr>
              <w:t xml:space="preserve">Likelihood</w:t>
            </w:r>
          </w:p>
        </w:tc>
        <w:tc>
          <w:tcPr>
            <w:tcW w:type="dxa" w:w="109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8"/>
                <w:szCs w:val="18"/>
              </w:rPr>
              <w:t xml:space="preserve">Impact</w:t>
            </w:r>
          </w:p>
        </w:tc>
        <w:tc>
          <w:tcPr>
            <w:tcW w:type="dxa" w:w="317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8"/>
                <w:szCs w:val="18"/>
              </w:rPr>
              <w:t xml:space="preserve">Mitigation</w:t>
            </w:r>
          </w:p>
        </w:tc>
      </w:tr>
      <w:tr>
        <w:trPr>
          <w:cantSplit/>
        </w:trPr>
        <w:tc>
          <w:tcPr>
            <w:tcW w:type="dxa" w:w="29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Free-tier model provider rate-limits or changes terms</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High</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Medium</w:t>
            </w:r>
          </w:p>
        </w:tc>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Fallback chain; request Bedrock quota</w:t>
            </w:r>
          </w:p>
        </w:tc>
      </w:tr>
      <w:tr>
        <w:trPr>
          <w:cantSplit/>
        </w:trPr>
        <w:tc>
          <w:tcPr>
            <w:tcW w:type="dxa" w:w="29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Bedrock quota stays at zero</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Medium</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Medium</w:t>
            </w:r>
          </w:p>
        </w:tc>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Groq fallback; AWS Support case</w:t>
            </w:r>
          </w:p>
        </w:tc>
      </w:tr>
      <w:tr>
        <w:trPr>
          <w:cantSplit/>
        </w:trPr>
        <w:tc>
          <w:tcPr>
            <w:tcW w:type="dxa" w:w="29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Open sign-up leads to transcription spend</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Medium</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High</w:t>
            </w:r>
          </w:p>
        </w:tc>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Domain restriction, budget alarm, per-user limits</w:t>
            </w:r>
          </w:p>
        </w:tc>
      </w:tr>
      <w:tr>
        <w:trPr>
          <w:cantSplit/>
        </w:trPr>
        <w:tc>
          <w:tcPr>
            <w:tcW w:type="dxa" w:w="29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Transcript text sent to third-party providers</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High while used</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Medium</w:t>
            </w:r>
          </w:p>
        </w:tc>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Disclosure; move to Bedrock</w:t>
            </w:r>
          </w:p>
        </w:tc>
      </w:tr>
      <w:tr>
        <w:trPr>
          <w:cantSplit/>
        </w:trPr>
        <w:tc>
          <w:tcPr>
            <w:tcW w:type="dxa" w:w="29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Reference recovery mislinks on real speech</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Medium</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Medium</w:t>
            </w:r>
          </w:p>
        </w:tc>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User confirmation; labelled evaluation planned</w:t>
            </w:r>
          </w:p>
        </w:tc>
      </w:tr>
      <w:tr>
        <w:trPr>
          <w:cantSplit/>
        </w:trPr>
        <w:tc>
          <w:tcPr>
            <w:tcW w:type="dxa" w:w="29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Deployment key misuse</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Low</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High</w:t>
            </w:r>
          </w:p>
        </w:tc>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Delete IAM key; never commit keys</w:t>
            </w:r>
          </w:p>
        </w:tc>
      </w:tr>
      <w:tr>
        <w:trPr>
          <w:cantSplit/>
        </w:trPr>
        <w:tc>
          <w:tcPr>
            <w:tcW w:type="dxa" w:w="29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Region latency for Indian users</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High</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Low</w:t>
            </w:r>
          </w:p>
        </w:tc>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Deploy in ap-south-1 when models are available</w:t>
            </w:r>
          </w:p>
        </w:tc>
      </w:tr>
    </w:tbl>
    <w:p>
      <w:pPr>
        <w:spacing w:after="120"/>
      </w:pPr>
    </w:p>
    <w:p>
      <w:pPr>
        <w:pStyle w:val="Heading1"/>
        <w:keepNext/>
        <w:spacing w:after="160" w:before="360"/>
      </w:pPr>
      <w:r>
        <w:rPr>
          <w:b/>
          <w:bCs/>
          <w:sz w:val="30"/>
          <w:szCs w:val="30"/>
        </w:rPr>
        <w:t xml:space="preserve">11. Limitations and Future Work</w:t>
      </w:r>
    </w:p>
    <w:p>
      <w:pPr>
        <w:pStyle w:val="Heading2"/>
        <w:keepNext/>
        <w:spacing w:after="120" w:before="240"/>
      </w:pPr>
      <w:r>
        <w:rPr>
          <w:b/>
          <w:bCs/>
          <w:sz w:val="28"/>
          <w:szCs w:val="28"/>
        </w:rPr>
        <w:t xml:space="preserve">11.1 Limitations</w:t>
      </w:r>
    </w:p>
    <w:p>
      <w:pPr>
        <w:pStyle w:val="ListParagraph"/>
        <w:numPr>
          <w:ilvl w:val="0"/>
          <w:numId w:val="2"/>
        </w:numPr>
        <w:spacing w:after="80" w:line="360"/>
        <w:jc w:val="both"/>
      </w:pPr>
      <w:r>
        <w:t xml:space="preserve">Reference recovery exercised on illustrative samples, not scored on real lecture series.</w:t>
      </w:r>
    </w:p>
    <w:p>
      <w:pPr>
        <w:pStyle w:val="ListParagraph"/>
        <w:numPr>
          <w:ilvl w:val="0"/>
          <w:numId w:val="2"/>
        </w:numPr>
        <w:spacing w:after="80" w:line="360"/>
        <w:jc w:val="both"/>
      </w:pPr>
      <w:r>
        <w:t xml:space="preserve">English-only reference patterns.</w:t>
      </w:r>
    </w:p>
    <w:p>
      <w:pPr>
        <w:pStyle w:val="ListParagraph"/>
        <w:numPr>
          <w:ilvl w:val="0"/>
          <w:numId w:val="2"/>
        </w:numPr>
        <w:spacing w:after="80" w:line="360"/>
        <w:jc w:val="both"/>
      </w:pPr>
      <w:r>
        <w:t xml:space="preserve">Semantic search disabled while Bedrock is unavailable.</w:t>
      </w:r>
    </w:p>
    <w:p>
      <w:pPr>
        <w:pStyle w:val="ListParagraph"/>
        <w:numPr>
          <w:ilvl w:val="0"/>
          <w:numId w:val="2"/>
        </w:numPr>
        <w:spacing w:after="80" w:line="360"/>
        <w:jc w:val="both"/>
      </w:pPr>
      <w:r>
        <w:t xml:space="preserve">Small performance samples from one client location; no usability or learning study.</w:t>
      </w:r>
    </w:p>
    <w:p>
      <w:pPr>
        <w:pStyle w:val="Heading2"/>
        <w:keepNext/>
        <w:spacing w:after="120" w:before="240"/>
      </w:pPr>
      <w:r>
        <w:rPr>
          <w:b/>
          <w:bCs/>
          <w:sz w:val="28"/>
          <w:szCs w:val="28"/>
        </w:rPr>
        <w:t xml:space="preserve">11.2 Future work</w:t>
      </w:r>
    </w:p>
    <w:p>
      <w:pPr>
        <w:pStyle w:val="ListParagraph"/>
        <w:numPr>
          <w:ilvl w:val="0"/>
          <w:numId w:val="4"/>
        </w:numPr>
        <w:spacing w:after="80" w:line="360"/>
        <w:jc w:val="both"/>
      </w:pPr>
      <w:r>
        <w:t xml:space="preserve">Labelled dataset of real lecture series and measured recall and precision.</w:t>
      </w:r>
    </w:p>
    <w:p>
      <w:pPr>
        <w:pStyle w:val="ListParagraph"/>
        <w:numPr>
          <w:ilvl w:val="0"/>
          <w:numId w:val="4"/>
        </w:numPr>
        <w:spacing w:after="80" w:line="360"/>
        <w:jc w:val="both"/>
      </w:pPr>
      <w:r>
        <w:t xml:space="preserve">Bedrock and Titan embeddings with tuned thresholds.</w:t>
      </w:r>
    </w:p>
    <w:p>
      <w:pPr>
        <w:pStyle w:val="ListParagraph"/>
        <w:numPr>
          <w:ilvl w:val="0"/>
          <w:numId w:val="4"/>
        </w:numPr>
        <w:spacing w:after="80" w:line="360"/>
        <w:jc w:val="both"/>
      </w:pPr>
      <w:r>
        <w:t xml:space="preserve">Hindi and Telugu reference patterns.</w:t>
      </w:r>
    </w:p>
    <w:p>
      <w:pPr>
        <w:pStyle w:val="ListParagraph"/>
        <w:numPr>
          <w:ilvl w:val="0"/>
          <w:numId w:val="4"/>
        </w:numPr>
        <w:spacing w:after="80" w:line="360"/>
        <w:jc w:val="both"/>
      </w:pPr>
      <w:r>
        <w:t xml:space="preserve">Shared course libraries and instructor gaps reports.</w:t>
      </w:r>
    </w:p>
    <w:p>
      <w:pPr>
        <w:pStyle w:val="ListParagraph"/>
        <w:numPr>
          <w:ilvl w:val="0"/>
          <w:numId w:val="4"/>
        </w:numPr>
        <w:spacing w:after="80" w:line="360"/>
        <w:jc w:val="both"/>
      </w:pPr>
      <w:r>
        <w:t xml:space="preserve">Production safeguards: verification, MFA, WAF, alarms, Secrets Manager.</w:t>
      </w:r>
    </w:p>
    <w:p>
      <w:pPr>
        <w:pStyle w:val="ListParagraph"/>
        <w:numPr>
          <w:ilvl w:val="0"/>
          <w:numId w:val="4"/>
        </w:numPr>
        <w:spacing w:after="80" w:line="360"/>
        <w:jc w:val="both"/>
      </w:pPr>
      <w:r>
        <w:t xml:space="preserve">Deployment in ap-south-1 and a user study with students.</w:t>
      </w:r>
    </w:p>
    <w:p>
      <w:pPr>
        <w:pStyle w:val="Heading1"/>
        <w:keepNext/>
        <w:spacing w:after="160" w:before="360"/>
      </w:pPr>
      <w:r>
        <w:rPr>
          <w:b/>
          <w:bCs/>
          <w:sz w:val="30"/>
          <w:szCs w:val="30"/>
        </w:rPr>
        <w:t xml:space="preserve">12. Conclusion</w:t>
      </w:r>
    </w:p>
    <w:p>
      <w:pPr>
        <w:spacing w:after="120" w:before="0" w:line="360"/>
        <w:jc w:val="both"/>
      </w:pPr>
      <w:r>
        <w:t xml:space="preserve">CloudNote AI meets its objectives as a working, deployed and tested system. Its application logic is fast, its security controls held under deliberate misuse, and it has cost nothing to run so far. The analysis identifies three priorities before wider use: restrict and harden sign-up, move language-model work to a dependable provider within AWS, and measure reference recovery on real lecture series.</w:t>
      </w:r>
    </w:p>
    <w:sectPr>
      <w:footerReference w:type="default" r:id="rId7"/>
      <w:pgSz w:w="11906" w:h="16838" w:orient="portrait"/>
      <w:pgMar w:top="1440" w:right="1440" w:bottom="1440" w:left="216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e9cd56758c179d14844af75b2f43f68c224b7e2d.png"/><Relationship Id="rId10" Type="http://schemas.openxmlformats.org/officeDocument/2006/relationships/image" Target="media/ba8fd7c1c992ae0bf807b803d9cb6b0f5c92c0f5.png"/><Relationship Id="rId11" Type="http://schemas.openxmlformats.org/officeDocument/2006/relationships/image" Target="media/843aa7227666e779d4fe79562d0b0f133706a5c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CloudNote AI Project Analysis Report</dc:title>
  <dc:creator>CloudNote AI Project Team</dc:creator>
  <dc:description>CloudNote AI Project Analysis Report</dc:description>
  <cp:lastModifiedBy>Un-named</cp:lastModifiedBy>
  <cp:revision>1</cp:revision>
  <dcterms:created xsi:type="dcterms:W3CDTF">2026-10-31T05:00:50.395Z</dcterms:created>
  <dcterms:modified xsi:type="dcterms:W3CDTF">2026-10-31T05:00:50.396Z</dcterms:modified>
</cp:coreProperties>
</file>

<file path=docProps/custom.xml><?xml version="1.0" encoding="utf-8"?>
<Properties xmlns="http://schemas.openxmlformats.org/officeDocument/2006/custom-properties" xmlns:vt="http://schemas.openxmlformats.org/officeDocument/2006/docPropsVTypes"/>
</file>