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Results Table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Mann-Whitney U Tests Comparing Gesture Measures Between Groups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1609"/>
        <w:gridCol w:w="1633"/>
        <w:gridCol w:w="961"/>
        <w:gridCol w:w="961"/>
        <w:gridCol w:w="839"/>
        <w:gridCol w:w="110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(PL)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(TD)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Gestures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Representative Gestures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of Representative Gestures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</w:tbl>
    <w:p>
      <w:pPr>
        <w:pStyle w:val="Normal"/>
      </w:pPr>
      <w:r>
        <w:t xml:space="preserve">Note. W = Wilcoxon rank sum test statistic. r = effect size (rank biserial correlation). Bolded p-values indicate p &lt; .05.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kristenjohnson</cp:lastModifiedBy>
  <cp:revision>9</cp:revision>
  <dcterms:created xsi:type="dcterms:W3CDTF">2017-02-28T11:18:00Z</dcterms:created>
  <dcterms:modified xsi:type="dcterms:W3CDTF">2025-04-30T10:29:09Z</dcterms:modified>
  <cp:category/>
</cp:coreProperties>
</file>