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3E622" w14:textId="281DDFF9" w:rsidR="008C2255" w:rsidRPr="008C2255" w:rsidRDefault="008C2255" w:rsidP="008C2255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8C2255">
        <w:rPr>
          <w:rFonts w:ascii="Arial" w:hAnsi="Arial" w:cs="Arial"/>
          <w:b/>
          <w:bCs/>
          <w:sz w:val="48"/>
          <w:szCs w:val="48"/>
        </w:rPr>
        <w:t>Датчик движения ИК HC-SR501</w:t>
      </w:r>
    </w:p>
    <w:p w14:paraId="3EF91DE6" w14:textId="7BBA6CE8" w:rsidR="008C2255" w:rsidRPr="008C2255" w:rsidRDefault="008C2255" w:rsidP="008C2255">
      <w:pPr>
        <w:spacing w:after="0"/>
        <w:jc w:val="center"/>
        <w:rPr>
          <w:rFonts w:ascii="Arial" w:hAnsi="Arial" w:cs="Arial"/>
          <w:sz w:val="38"/>
          <w:szCs w:val="38"/>
        </w:rPr>
      </w:pPr>
      <w:r w:rsidRPr="008C2255">
        <w:rPr>
          <w:rFonts w:ascii="Arial" w:hAnsi="Arial" w:cs="Arial"/>
          <w:sz w:val="38"/>
          <w:szCs w:val="38"/>
        </w:rPr>
        <w:t>Описание</w:t>
      </w:r>
    </w:p>
    <w:p w14:paraId="7630C2D2" w14:textId="77777777" w:rsidR="008C2255" w:rsidRPr="008C2255" w:rsidRDefault="008C2255" w:rsidP="008C2255">
      <w:pPr>
        <w:spacing w:after="0"/>
        <w:jc w:val="center"/>
        <w:rPr>
          <w:sz w:val="38"/>
          <w:szCs w:val="38"/>
        </w:rPr>
      </w:pPr>
    </w:p>
    <w:p w14:paraId="1DCCBAAF" w14:textId="5D17EBB4" w:rsidR="00F12C76" w:rsidRDefault="008C2255" w:rsidP="008C2255">
      <w:p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Датчик движения </w:t>
      </w:r>
      <w:r w:rsidRPr="008C2255">
        <w:rPr>
          <w:rFonts w:ascii="Arial" w:hAnsi="Arial" w:cs="Arial"/>
          <w:sz w:val="24"/>
          <w:szCs w:val="20"/>
        </w:rPr>
        <w:t>HC-SR501</w:t>
      </w:r>
      <w:r>
        <w:rPr>
          <w:rFonts w:ascii="Arial" w:hAnsi="Arial" w:cs="Arial"/>
          <w:sz w:val="24"/>
          <w:szCs w:val="20"/>
        </w:rPr>
        <w:t xml:space="preserve"> – это </w:t>
      </w:r>
      <w:r w:rsidRPr="008C2255">
        <w:rPr>
          <w:rFonts w:ascii="Arial" w:hAnsi="Arial" w:cs="Arial"/>
          <w:sz w:val="24"/>
          <w:szCs w:val="20"/>
        </w:rPr>
        <w:t>компактный модуль, содержащий ИК-датчик, схему обработки сигнала и выходные контакты.  Он обычно имеет три вывода: питание (VCC), земля (GND) и выходной сигнал (OUT).  Выходной сигнал — это цифровой сигнал, который переходит в высокое состояние (HIGH), когда датчик обнаруживает движение, и в низкое состояние (LOW) в состоянии покоя.</w:t>
      </w:r>
    </w:p>
    <w:p w14:paraId="175F0F78" w14:textId="70ABCAA7" w:rsidR="008C2255" w:rsidRDefault="008C2255" w:rsidP="008C2255">
      <w:p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                                  </w:t>
      </w:r>
    </w:p>
    <w:p w14:paraId="5D705EC3" w14:textId="16BEB7A0" w:rsidR="008C2255" w:rsidRDefault="008C2255" w:rsidP="008C2255">
      <w:pPr>
        <w:spacing w:after="0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w:drawing>
          <wp:inline distT="0" distB="0" distL="0" distR="0" wp14:anchorId="2D9720A9" wp14:editId="19CCBB54">
            <wp:extent cx="3070860" cy="2559050"/>
            <wp:effectExtent l="0" t="0" r="0" b="0"/>
            <wp:docPr id="1903856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56493" name="Рисунок 19038564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156" cy="25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211E" w14:textId="77777777" w:rsidR="008C2255" w:rsidRDefault="008C2255" w:rsidP="008C2255">
      <w:pPr>
        <w:spacing w:after="0"/>
        <w:jc w:val="both"/>
        <w:rPr>
          <w:rFonts w:ascii="Arial" w:hAnsi="Arial" w:cs="Arial"/>
          <w:sz w:val="24"/>
          <w:szCs w:val="20"/>
        </w:rPr>
      </w:pPr>
    </w:p>
    <w:p w14:paraId="4C71EF7E" w14:textId="517016B5" w:rsidR="008C2255" w:rsidRDefault="008C2255" w:rsidP="008C2255">
      <w:pPr>
        <w:spacing w:after="0"/>
        <w:jc w:val="center"/>
        <w:rPr>
          <w:rFonts w:ascii="Arial" w:hAnsi="Arial" w:cs="Arial"/>
          <w:sz w:val="38"/>
          <w:szCs w:val="38"/>
        </w:rPr>
      </w:pPr>
      <w:r w:rsidRPr="008C2255">
        <w:rPr>
          <w:rFonts w:ascii="Arial" w:hAnsi="Arial" w:cs="Arial"/>
          <w:sz w:val="38"/>
          <w:szCs w:val="38"/>
        </w:rPr>
        <w:t>Общая характеристика</w:t>
      </w:r>
    </w:p>
    <w:p w14:paraId="015A455B" w14:textId="77777777" w:rsidR="008C2255" w:rsidRDefault="008C2255" w:rsidP="008C2255">
      <w:pPr>
        <w:spacing w:after="0"/>
        <w:jc w:val="center"/>
        <w:rPr>
          <w:rFonts w:ascii="Arial" w:hAnsi="Arial" w:cs="Arial"/>
          <w:sz w:val="38"/>
          <w:szCs w:val="38"/>
        </w:rPr>
      </w:pPr>
    </w:p>
    <w:p w14:paraId="161FAAC7" w14:textId="36D8410D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Тип: пироэлектрический инфракрасный (ИК) датчик движения.</w:t>
      </w:r>
    </w:p>
    <w:p w14:paraId="57E73F60" w14:textId="11A4DC78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Обнаружение: движение людей и животных (теплокровных существ).</w:t>
      </w:r>
    </w:p>
    <w:p w14:paraId="5D7730B9" w14:textId="29B9A7E3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Дальность обнаружения: обычно от 3 до 7 метров, но может варьироваться в зависимости от настроек и окружающей среды.</w:t>
      </w:r>
    </w:p>
    <w:p w14:paraId="409503CC" w14:textId="559BAD20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Угол обзора: обычно около 110 градусов.</w:t>
      </w:r>
    </w:p>
    <w:p w14:paraId="2FBF73BD" w14:textId="73C953D8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Время задержки (Time Delay): настраивается с помощью потенциометра (от нескольких секунд до минут).  Определяет, как долго датчик остаётся активным после обнаружения движения.</w:t>
      </w:r>
    </w:p>
    <w:p w14:paraId="5EC7F033" w14:textId="20FBB243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Время срабатывания (Trigger Time): настраивается с помощью потенциометра. Определяет чувствительность датчика и время, необходимое для регистрации движения.</w:t>
      </w:r>
    </w:p>
    <w:p w14:paraId="3756CCDD" w14:textId="120E8090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 xml:space="preserve">Выход: </w:t>
      </w:r>
      <w:r>
        <w:rPr>
          <w:rFonts w:ascii="Arial" w:hAnsi="Arial" w:cs="Arial"/>
          <w:sz w:val="24"/>
          <w:szCs w:val="24"/>
        </w:rPr>
        <w:t>ц</w:t>
      </w:r>
      <w:r w:rsidRPr="008C2255">
        <w:rPr>
          <w:rFonts w:ascii="Arial" w:hAnsi="Arial" w:cs="Arial"/>
          <w:sz w:val="24"/>
          <w:szCs w:val="24"/>
        </w:rPr>
        <w:t>ифровой сигнал (HIGH/LOW).</w:t>
      </w:r>
    </w:p>
    <w:p w14:paraId="17FE0930" w14:textId="5C5122E2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  <w:r w:rsidRPr="008C2255">
        <w:rPr>
          <w:rFonts w:ascii="Arial" w:hAnsi="Arial" w:cs="Arial"/>
          <w:sz w:val="24"/>
          <w:szCs w:val="24"/>
        </w:rPr>
        <w:t>Питание: обычно 5 В постоянного тока.</w:t>
      </w:r>
    </w:p>
    <w:p w14:paraId="09598633" w14:textId="0415E3E0" w:rsidR="008C2255" w:rsidRPr="008C2255" w:rsidRDefault="008C2255" w:rsidP="008C2255">
      <w:pPr>
        <w:spacing w:after="0"/>
        <w:rPr>
          <w:rFonts w:ascii="Arial" w:hAnsi="Arial" w:cs="Arial"/>
          <w:sz w:val="24"/>
          <w:szCs w:val="24"/>
        </w:rPr>
      </w:pPr>
    </w:p>
    <w:sectPr w:rsidR="008C2255" w:rsidRPr="008C225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55"/>
    <w:rsid w:val="005D5EB0"/>
    <w:rsid w:val="006C0B77"/>
    <w:rsid w:val="006E2BC0"/>
    <w:rsid w:val="008242FF"/>
    <w:rsid w:val="00870751"/>
    <w:rsid w:val="008C2255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F802"/>
  <w15:chartTrackingRefBased/>
  <w15:docId w15:val="{83AA5AC5-1941-439A-8F64-819AED1C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lev</dc:creator>
  <cp:keywords/>
  <dc:description/>
  <cp:lastModifiedBy>km lev</cp:lastModifiedBy>
  <cp:revision>2</cp:revision>
  <dcterms:created xsi:type="dcterms:W3CDTF">2025-02-25T04:24:00Z</dcterms:created>
  <dcterms:modified xsi:type="dcterms:W3CDTF">2025-02-25T04:24:00Z</dcterms:modified>
</cp:coreProperties>
</file>