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6"/>
        <w:gridCol w:w="5046"/>
      </w:tblGrid>
      <w:tr>
        <w:trPr>
          <w:cantSplit/>
        </w:trPr>
        <w:tc>
          <w:tcPr>
            <w:tcW w:type="dxa" w:w="8220"/>
            <w:tcBorders>
              <w:top w:val="nil"/>
              <w:left w:val="nil"/>
              <w:bottom w:val="nil"/>
              <w:right w:val="nil"/>
            </w:tcBorders>
            <w:tcMar>
              <w:top w:w="45" w:type="dxa"/>
              <w:start w:w="85" w:type="dxa"/>
              <w:bottom w:w="45" w:type="dxa"/>
              <w:end w:w="85" w:type="dxa"/>
            </w:tcMar>
            <w:shd w:fill="18324B" w:val="clear"/>
            <w:vAlign w:val="center"/>
          </w:tcPr>
          <w:p>
            <w:pPr>
              <w:keepNext/>
              <w:keepLines w:val="0"/>
              <w:spacing w:before="0" w:after="0" w:line="240" w:lineRule="auto"/>
            </w:pPr>
            <w:r>
              <w:rPr>
                <w:rFonts w:ascii="Noto Sans" w:hAnsi="Noto Sans" w:eastAsia="Noto Sans"/>
                <w:b/>
                <w:caps/>
                <w:color w:val="FFFFFF"/>
                <w:sz w:val="15"/>
              </w:rPr>
              <w:t>INFORME DE INVESTIGACIÓN</w:t>
            </w:r>
          </w:p>
        </w:tc>
        <w:tc>
          <w:tcPr>
            <w:tcW w:type="dxa" w:w="2438"/>
            <w:tcBorders>
              <w:top w:val="nil"/>
              <w:left w:val="nil"/>
              <w:bottom w:val="nil"/>
              <w:right w:val="nil"/>
            </w:tcBorders>
            <w:tcMar>
              <w:top w:w="45" w:type="dxa"/>
              <w:start w:w="85" w:type="dxa"/>
              <w:bottom w:w="45" w:type="dxa"/>
              <w:end w:w="85" w:type="dxa"/>
            </w:tcMar>
            <w:shd w:fill="0A7A78" w:val="clear"/>
            <w:vAlign w:val="center"/>
          </w:tcPr>
          <w:p>
            <w:pPr>
              <w:keepNext/>
              <w:keepLines w:val="0"/>
              <w:spacing w:before="0" w:after="0" w:line="240" w:lineRule="auto"/>
              <w:jc w:val="right"/>
            </w:pPr>
            <w:r>
              <w:rPr>
                <w:rFonts w:ascii="Noto Sans" w:hAnsi="Noto Sans" w:eastAsia="Noto Sans"/>
                <w:b/>
                <w:color w:val="FFFFFF"/>
                <w:sz w:val="15"/>
              </w:rPr>
              <w:t>INFORME COMPLETO</w:t>
            </w:r>
          </w:p>
        </w:tc>
      </w:tr>
    </w:tbl>
    <w:p>
      <w:pPr>
        <w:keepNext w:val="0"/>
        <w:keepLines w:val="0"/>
        <w:spacing w:before="0" w:after="100" w:line="228" w:lineRule="auto"/>
      </w:pPr>
      <w:r>
        <w:rPr>
          <w:rFonts w:ascii="Noto Sans" w:hAnsi="Noto Sans" w:eastAsia="Noto Sans"/>
          <w:b/>
          <w:color w:val="18324B"/>
          <w:sz w:val="62"/>
        </w:rPr>
        <w:t>IA generativa para</w:t>
        <w:br/>
        <w:t>aprender y enseñar mejor</w:t>
      </w:r>
    </w:p>
    <w:p>
      <w:pPr>
        <w:keepNext w:val="0"/>
        <w:keepLines w:val="0"/>
        <w:spacing w:before="0" w:after="160" w:line="252" w:lineRule="auto"/>
      </w:pPr>
      <w:r>
        <w:rPr>
          <w:rFonts w:ascii="Noto Sans" w:hAnsi="Noto Sans" w:eastAsia="Noto Sans"/>
          <w:b/>
          <w:color w:val="0A7A78"/>
          <w:sz w:val="26"/>
        </w:rPr>
        <w:t>Sistemas modernos, arquitectura, evidencia causal y agenda de evaluación</w:t>
      </w:r>
    </w:p>
    <w:p>
      <w:pPr>
        <w:keepNext w:val="0"/>
        <w:keepLines w:val="0"/>
        <w:spacing w:before="0" w:after="180" w:line="259" w:lineRule="auto"/>
      </w:pPr>
      <w:r>
        <w:rPr>
          <w:rFonts w:ascii="Noto Sans" w:hAnsi="Noto Sans" w:eastAsia="Noto Sans"/>
          <w:color w:val="738087"/>
          <w:sz w:val="16"/>
        </w:rPr>
        <w:t>Corte de evidencia: 10 de agosto de 2026</w:t>
      </w:r>
    </w:p>
    <w:tbl>
      <w:tblPr>
        <w:tblW w:type="auto" w:w="0"/>
        <w:jc w:val="center"/>
        <w:tblLayout w:type="fixed"/>
        <w:tblLook w:firstColumn="1" w:firstRow="1" w:lastColumn="0" w:lastRow="0" w:noHBand="0" w:noVBand="1" w:val="04A0"/>
      </w:tblPr>
      <w:tblGrid>
        <w:gridCol w:w="5046"/>
        <w:gridCol w:w="5046"/>
      </w:tblGrid>
      <w:tr>
        <w:trPr>
          <w:cantSplit/>
        </w:trPr>
        <w:tc>
          <w:tcPr>
            <w:tcW w:type="dxa" w:w="170"/>
            <w:tcBorders>
              <w:top w:val="nil"/>
              <w:left w:val="nil"/>
              <w:bottom w:val="nil"/>
              <w:right w:val="nil"/>
            </w:tcBorders>
            <w:shd w:fill="0A7A78" w:val="clear"/>
            <w:tcMar>
              <w:top w:w="40" w:type="dxa"/>
              <w:start w:w="15" w:type="dxa"/>
              <w:bottom w:w="40" w:type="dxa"/>
              <w:end w:w="15" w:type="dxa"/>
            </w:tcMar>
          </w:tcPr>
          <w:p/>
        </w:tc>
        <w:tc>
          <w:tcPr>
            <w:tcW w:type="dxa" w:w="9184"/>
            <w:tcBorders>
              <w:top w:val="nil"/>
              <w:left w:val="nil"/>
              <w:bottom w:val="nil"/>
              <w:right w:val="nil"/>
            </w:tcBorders>
            <w:shd w:fill="DCEFED" w:val="clear"/>
            <w:tcMar>
              <w:top w:w="80" w:type="dxa"/>
              <w:start w:w="120" w:type="dxa"/>
              <w:bottom w:w="80" w:type="dxa"/>
              <w:end w:w="120" w:type="dxa"/>
            </w:tcMar>
          </w:tcPr>
          <w:p>
            <w:pPr>
              <w:keepNext w:val="0"/>
              <w:keepLines w:val="0"/>
              <w:spacing w:before="0" w:after="0" w:line="259" w:lineRule="auto"/>
            </w:pPr>
            <w:r>
              <w:rPr>
                <w:rFonts w:ascii="Noto Sans" w:hAnsi="Noto Sans" w:eastAsia="Noto Sans"/>
                <w:b/>
                <w:color w:val="18324B"/>
                <w:sz w:val="19"/>
              </w:rPr>
              <w:t>Tesis central.</w:t>
            </w:r>
            <w:r>
              <w:t xml:space="preserve">  </w:t>
            </w:r>
            <w:r>
              <w:rPr>
                <w:rFonts w:ascii="Noto Sans" w:hAnsi="Noto Sans" w:eastAsia="Noto Sans"/>
                <w:color w:val="263238"/>
                <w:sz w:val="19"/>
              </w:rPr>
              <w:t>La unidad relevante no es el modelo de lenguaje, sino el sistema pedagógico completo: currículo verificable, modelo del estudiante, política de tutoría, herramientas, límites, conducción humana y medición independiente.</w:t>
            </w:r>
          </w:p>
        </w:tc>
      </w:tr>
    </w:tbl>
    <w:p>
      <w:pPr>
        <w:spacing w:after="20"/>
      </w:pPr>
    </w:p>
    <w:tbl>
      <w:tblPr>
        <w:tblW w:type="auto" w:w="0"/>
        <w:jc w:val="center"/>
        <w:tblLayout w:type="fixed"/>
        <w:tblLook w:firstColumn="1" w:firstRow="1" w:lastColumn="0" w:lastRow="0" w:noHBand="0" w:noVBand="1" w:val="04A0"/>
      </w:tblPr>
      <w:tblGrid>
        <w:gridCol w:w="3364"/>
        <w:gridCol w:w="3364"/>
        <w:gridCol w:w="3364"/>
      </w:tblGrid>
      <w:tr>
        <w:trPr>
          <w:cantSplit/>
        </w:trPr>
        <w:tc>
          <w:tcPr>
            <w:tcW w:type="dxa" w:w="3364"/>
            <w:tcBorders>
              <w:top w:val="nil"/>
              <w:left w:val="nil"/>
              <w:bottom w:val="nil"/>
              <w:right w:val="nil"/>
            </w:tcBorders>
            <w:shd w:fill="F5F7F8" w:val="clear"/>
            <w:tcMar>
              <w:top w:w="85" w:type="dxa"/>
              <w:start w:w="85" w:type="dxa"/>
              <w:bottom w:w="75" w:type="dxa"/>
              <w:end w:w="85" w:type="dxa"/>
            </w:tcMar>
            <w:vAlign w:val="center"/>
          </w:tcPr>
          <w:p>
            <w:pPr>
              <w:keepNext w:val="0"/>
              <w:keepLines w:val="0"/>
              <w:spacing w:before="0" w:after="0" w:line="228" w:lineRule="auto"/>
              <w:jc w:val="center"/>
            </w:pPr>
            <w:r>
              <w:rPr>
                <w:rFonts w:ascii="Noto Sans" w:hAnsi="Noto Sans" w:eastAsia="Noto Sans"/>
                <w:b/>
                <w:color w:val="0A7A78"/>
                <w:sz w:val="40"/>
              </w:rPr>
              <w:t>+0.125 DE</w:t>
            </w:r>
          </w:p>
          <w:p>
            <w:pPr>
              <w:keepNext w:val="0"/>
              <w:keepLines w:val="0"/>
              <w:spacing w:before="0" w:after="20" w:line="240" w:lineRule="auto"/>
              <w:jc w:val="center"/>
            </w:pPr>
            <w:r>
              <w:rPr>
                <w:rFonts w:ascii="Noto Sans" w:hAnsi="Noto Sans" w:eastAsia="Noto Sans"/>
                <w:b/>
                <w:color w:val="18324B"/>
                <w:sz w:val="16"/>
              </w:rPr>
              <w:t>efecto medio</w:t>
            </w:r>
          </w:p>
          <w:p>
            <w:pPr>
              <w:keepNext w:val="0"/>
              <w:keepLines w:val="0"/>
              <w:spacing w:before="0" w:after="0" w:line="240" w:lineRule="auto"/>
              <w:jc w:val="center"/>
            </w:pPr>
            <w:r>
              <w:rPr>
                <w:rFonts w:ascii="Noto Sans" w:hAnsi="Noto Sans" w:eastAsia="Noto Sans"/>
                <w:color w:val="4F5B62"/>
                <w:sz w:val="14"/>
              </w:rPr>
              <w:t>14 RCT; 191 estimaciones</w:t>
            </w:r>
          </w:p>
        </w:tc>
        <w:tc>
          <w:tcPr>
            <w:tcW w:type="dxa" w:w="3364"/>
            <w:tcBorders>
              <w:top w:val="nil"/>
              <w:left w:val="nil"/>
              <w:bottom w:val="nil"/>
              <w:right w:val="nil"/>
            </w:tcBorders>
            <w:shd w:fill="EAF2F7" w:val="clear"/>
            <w:tcMar>
              <w:top w:w="85" w:type="dxa"/>
              <w:start w:w="85" w:type="dxa"/>
              <w:bottom w:w="75" w:type="dxa"/>
              <w:end w:w="85" w:type="dxa"/>
            </w:tcMar>
            <w:vAlign w:val="center"/>
          </w:tcPr>
          <w:p>
            <w:pPr>
              <w:keepNext w:val="0"/>
              <w:keepLines w:val="0"/>
              <w:spacing w:before="0" w:after="0" w:line="228" w:lineRule="auto"/>
              <w:jc w:val="center"/>
            </w:pPr>
            <w:r>
              <w:rPr>
                <w:rFonts w:ascii="Noto Sans" w:hAnsi="Noto Sans" w:eastAsia="Noto Sans"/>
                <w:b/>
                <w:color w:val="0A7A78"/>
                <w:sz w:val="40"/>
              </w:rPr>
              <w:t>0.12 DE</w:t>
            </w:r>
          </w:p>
          <w:p>
            <w:pPr>
              <w:keepNext w:val="0"/>
              <w:keepLines w:val="0"/>
              <w:spacing w:before="0" w:after="20" w:line="240" w:lineRule="auto"/>
              <w:jc w:val="center"/>
            </w:pPr>
            <w:r>
              <w:rPr>
                <w:rFonts w:ascii="Noto Sans" w:hAnsi="Noto Sans" w:eastAsia="Noto Sans"/>
                <w:b/>
                <w:color w:val="18324B"/>
                <w:sz w:val="16"/>
              </w:rPr>
              <w:t>tutoría/instrucción IA</w:t>
            </w:r>
          </w:p>
          <w:p>
            <w:pPr>
              <w:keepNext w:val="0"/>
              <w:keepLines w:val="0"/>
              <w:spacing w:before="0" w:after="0" w:line="240" w:lineRule="auto"/>
              <w:jc w:val="center"/>
            </w:pPr>
            <w:r>
              <w:rPr>
                <w:rFonts w:ascii="Noto Sans" w:hAnsi="Noto Sans" w:eastAsia="Noto Sans"/>
                <w:color w:val="4F5B62"/>
                <w:sz w:val="14"/>
              </w:rPr>
              <w:t>promedio metaanalítico</w:t>
            </w:r>
          </w:p>
        </w:tc>
        <w:tc>
          <w:tcPr>
            <w:tcW w:type="dxa" w:w="3364"/>
            <w:tcBorders>
              <w:top w:val="nil"/>
              <w:left w:val="nil"/>
              <w:bottom w:val="nil"/>
              <w:right w:val="nil"/>
            </w:tcBorders>
            <w:shd w:fill="F5F7F8" w:val="clear"/>
            <w:tcMar>
              <w:top w:w="85" w:type="dxa"/>
              <w:start w:w="85" w:type="dxa"/>
              <w:bottom w:w="75" w:type="dxa"/>
              <w:end w:w="85" w:type="dxa"/>
            </w:tcMar>
            <w:vAlign w:val="center"/>
          </w:tcPr>
          <w:p>
            <w:pPr>
              <w:keepNext w:val="0"/>
              <w:keepLines w:val="0"/>
              <w:spacing w:before="0" w:after="0" w:line="228" w:lineRule="auto"/>
              <w:jc w:val="center"/>
            </w:pPr>
            <w:r>
              <w:rPr>
                <w:rFonts w:ascii="Noto Sans" w:hAnsi="Noto Sans" w:eastAsia="Noto Sans"/>
                <w:b/>
                <w:color w:val="0A7A78"/>
                <w:sz w:val="40"/>
              </w:rPr>
              <w:t>No probado</w:t>
            </w:r>
          </w:p>
          <w:p>
            <w:pPr>
              <w:keepNext w:val="0"/>
              <w:keepLines w:val="0"/>
              <w:spacing w:before="0" w:after="20" w:line="240" w:lineRule="auto"/>
              <w:jc w:val="center"/>
            </w:pPr>
            <w:r>
              <w:rPr>
                <w:rFonts w:ascii="Noto Sans" w:hAnsi="Noto Sans" w:eastAsia="Noto Sans"/>
                <w:b/>
                <w:color w:val="18324B"/>
                <w:sz w:val="16"/>
              </w:rPr>
              <w:t>GenAI &gt; adaptativo clásico</w:t>
            </w:r>
          </w:p>
          <w:p>
            <w:pPr>
              <w:keepNext w:val="0"/>
              <w:keepLines w:val="0"/>
              <w:spacing w:before="0" w:after="0" w:line="240" w:lineRule="auto"/>
              <w:jc w:val="center"/>
            </w:pPr>
            <w:r>
              <w:rPr>
                <w:rFonts w:ascii="Noto Sans" w:hAnsi="Noto Sans" w:eastAsia="Noto Sans"/>
                <w:color w:val="4F5B62"/>
                <w:sz w:val="14"/>
              </w:rPr>
              <w:t>diferencia imprecisa</w:t>
            </w:r>
          </w:p>
        </w:tc>
      </w:tr>
    </w:tbl>
    <w:p>
      <w:pPr>
        <w:keepNext w:val="0"/>
        <w:keepLines w:val="0"/>
        <w:spacing w:before="0" w:after="40" w:line="259" w:lineRule="auto"/>
      </w:pPr>
      <w:r>
        <w:rPr>
          <w:rFonts w:ascii="Noto Sans" w:hAnsi="Noto Sans" w:eastAsia="Noto Sans"/>
          <w:b/>
          <w:color w:val="18324B"/>
          <w:sz w:val="18"/>
        </w:rPr>
        <w:t>La conclusión en una frase</w:t>
      </w:r>
    </w:p>
    <w:p>
      <w:pPr>
        <w:keepNext w:val="0"/>
        <w:keepLines w:val="0"/>
        <w:spacing w:before="0" w:after="80" w:line="269" w:lineRule="auto"/>
      </w:pPr>
      <w:r>
        <w:rPr>
          <w:rFonts w:ascii="Noto Sans" w:hAnsi="Noto Sans" w:eastAsia="Noto Sans"/>
          <w:color w:val="263238"/>
          <w:sz w:val="20"/>
        </w:rPr>
        <w:t>Los mejores resultados aparecen cuando la IA está encajada dentro de una secuencia didáctica estructurada, exige esfuerzo cognitivo, usa contenido comprobado, entrega información accionable al docente y se evalúa con pruebas sin asistencia; el “chat inteligente” genérico no ofrece esas garantías.</w:t>
      </w:r>
    </w:p>
    <w:p>
      <w:pPr>
        <w:keepNext w:val="0"/>
        <w:keepLines w:val="0"/>
        <w:spacing w:before="0" w:after="60" w:line="259" w:lineRule="auto"/>
      </w:pPr>
      <w:r>
        <w:rPr>
          <w:rFonts w:ascii="Noto Sans" w:hAnsi="Noto Sans" w:eastAsia="Noto Sans"/>
          <w:b/>
          <w:color w:val="0A7A78"/>
          <w:sz w:val="16"/>
        </w:rPr>
        <w:t>Alcance</w:t>
      </w:r>
      <w:r>
        <w:rPr>
          <w:rFonts w:ascii="Noto Sans" w:hAnsi="Noto Sans" w:eastAsia="Noto Sans"/>
          <w:color w:val="4F5B62"/>
          <w:sz w:val="16"/>
        </w:rPr>
        <w:t xml:space="preserve">  Educación escolar y superior; tutores conversacionales, sistemas adaptativos, copilotos para docentes/tutores, plataformas multimodales y despliegues de baja conectividad. Se distingue sistemáticamente entre capacidades declaradas, telemetría de producto y evidencia causal de aprendizaje.</w:t>
      </w:r>
    </w:p>
    <w:p>
      <w:r>
        <w:br w:type="page"/>
      </w:r>
    </w:p>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Resumen ejecutivo</w:t>
      </w:r>
    </w:p>
    <w:p>
      <w:pPr>
        <w:pStyle w:val="Deck"/>
        <w:keepNext/>
        <w:keepLines w:val="0"/>
        <w:spacing w:before="0" w:after="100" w:line="259" w:lineRule="auto"/>
      </w:pPr>
      <w:r>
        <w:t>Una lectura sintética de lo que existe, cómo funciona y qué demuestra la evidencia causal.</w:t>
      </w:r>
    </w:p>
    <w:tbl>
      <w:tblPr>
        <w:tblW w:type="auto" w:w="0"/>
        <w:jc w:val="center"/>
        <w:tblLayout w:type="fixed"/>
        <w:tblLook w:firstColumn="1" w:firstRow="1" w:lastColumn="0" w:lastRow="0" w:noHBand="0" w:noVBand="1" w:val="04A0"/>
      </w:tblPr>
      <w:tblGrid>
        <w:gridCol w:w="5046"/>
        <w:gridCol w:w="5046"/>
      </w:tblGrid>
      <w:tr>
        <w:trPr>
          <w:cantSplit/>
        </w:trPr>
        <w:tc>
          <w:tcPr>
            <w:tcW w:type="dxa" w:w="170"/>
            <w:tcBorders>
              <w:top w:val="nil"/>
              <w:left w:val="nil"/>
              <w:bottom w:val="nil"/>
              <w:right w:val="nil"/>
            </w:tcBorders>
            <w:shd w:fill="0A7A78" w:val="clear"/>
            <w:tcMar>
              <w:top w:w="40" w:type="dxa"/>
              <w:start w:w="15" w:type="dxa"/>
              <w:bottom w:w="40" w:type="dxa"/>
              <w:end w:w="15" w:type="dxa"/>
            </w:tcMar>
          </w:tcPr>
          <w:p/>
        </w:tc>
        <w:tc>
          <w:tcPr>
            <w:tcW w:type="dxa" w:w="9184"/>
            <w:tcBorders>
              <w:top w:val="nil"/>
              <w:left w:val="nil"/>
              <w:bottom w:val="nil"/>
              <w:right w:val="nil"/>
            </w:tcBorders>
            <w:shd w:fill="DCEFED" w:val="clear"/>
            <w:tcMar>
              <w:top w:w="80" w:type="dxa"/>
              <w:start w:w="120" w:type="dxa"/>
              <w:bottom w:w="80" w:type="dxa"/>
              <w:end w:w="120" w:type="dxa"/>
            </w:tcMar>
          </w:tcPr>
          <w:p>
            <w:pPr>
              <w:keepNext w:val="0"/>
              <w:keepLines w:val="0"/>
              <w:spacing w:before="0" w:after="0" w:line="259" w:lineRule="auto"/>
            </w:pPr>
            <w:r>
              <w:rPr>
                <w:rFonts w:ascii="Noto Sans" w:hAnsi="Noto Sans" w:eastAsia="Noto Sans"/>
                <w:b/>
                <w:color w:val="18324B"/>
                <w:sz w:val="18"/>
              </w:rPr>
              <w:t>Respuesta directa.</w:t>
            </w:r>
            <w:r>
              <w:t xml:space="preserve">  </w:t>
            </w:r>
            <w:r>
              <w:rPr>
                <w:rFonts w:ascii="Noto Sans" w:hAnsi="Noto Sans" w:eastAsia="Noto Sans"/>
                <w:color w:val="263238"/>
                <w:sz w:val="18"/>
              </w:rPr>
              <w:t>Sí existen sistemas modernos capaces de sostener diálogo, adaptar explicaciones, diagnosticar errores, seleccionar ejercicios, recuperar prerrequisitos, usar voz/imagen y apoyar al docente. Pero esas capacidades no vienen automáticamente de un LLM. Las implementaciones más sólidas construyen una arquitectura alrededor del modelo y limitan deliberadamente su libertad.</w:t>
            </w:r>
          </w:p>
        </w:tc>
      </w:tr>
    </w:tbl>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1</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El objeto de análisis es el sistema, no el chatbot</w:t>
            </w:r>
            <w:r>
              <w:rPr>
                <w:rFonts w:ascii="Noto Sans" w:hAnsi="Noto Sans" w:eastAsia="Noto Sans"/>
                <w:color w:val="263238"/>
                <w:sz w:val="17"/>
              </w:rPr>
              <w:t xml:space="preserve"> — Un tutor eficaz combina currículo, learner model, política pedagógica, generación, herramientas, guardrails, orquestación humana y medición.</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2</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El campo avanza de chat genérico a tutor orquestado</w:t>
            </w:r>
            <w:r>
              <w:rPr>
                <w:rFonts w:ascii="Noto Sans" w:hAnsi="Noto Sans" w:eastAsia="Noto Sans"/>
                <w:color w:val="263238"/>
                <w:sz w:val="17"/>
              </w:rPr>
              <w:t xml:space="preserve"> — Khanmigo, Guided Learning, Study Mode y Claude Learning Mode añaden conductas de tutoría; los sistemas adaptativos clásicos añaden la disciplina de la secuenciación y del seguimiento de dominio.</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3</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La evidencia media es favorable y moderada</w:t>
            </w:r>
            <w:r>
              <w:rPr>
                <w:rFonts w:ascii="Noto Sans" w:hAnsi="Noto Sans" w:eastAsia="Noto Sans"/>
                <w:color w:val="263238"/>
                <w:sz w:val="17"/>
              </w:rPr>
              <w:t xml:space="preserve"> — El metaanálisis de Burneo et al. (2026) reúne 191 tamaños de efecto de 14 RCT en diez economías y estima +0.125 desviaciones estándar frente a instrucción tradicional; el subconjunto de tutoría/instrucción IA promedia +0.12 DE [1].</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4</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No está demostrado que GenAI supere al adaptativo pre-LLM</w:t>
            </w:r>
            <w:r>
              <w:rPr>
                <w:rFonts w:ascii="Noto Sans" w:hAnsi="Noto Sans" w:eastAsia="Noto Sans"/>
                <w:color w:val="263238"/>
                <w:sz w:val="17"/>
              </w:rPr>
              <w:t xml:space="preserve"> — La diferencia estimada entre generaciones es pequeña e imprecisa. Mindspark, ASSISTments, ALEKS/MATHia y otros recordatorios obligan a no confundir naturalidad conversacional con eficacia pedagógica.</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5</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El gran riesgo es optimizar la respuesta asistida</w:t>
            </w:r>
            <w:r>
              <w:rPr>
                <w:rFonts w:ascii="Noto Sans" w:hAnsi="Noto Sans" w:eastAsia="Noto Sans"/>
                <w:color w:val="263238"/>
                <w:sz w:val="17"/>
              </w:rPr>
              <w:t xml:space="preserve"> — Bastani et al. muestran que GPT irrestricto mejora fuertemente la práctica pero reduce 17% el examen posterior sin IA; un tutor con guardrails elimina el daño, aunque no supera al control en el examen autónomo [3].</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6</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Los casos más positivos son paquetes de diseño e implementación</w:t>
            </w:r>
            <w:r>
              <w:rPr>
                <w:rFonts w:ascii="Noto Sans" w:hAnsi="Noto Sans" w:eastAsia="Noto Sans"/>
                <w:color w:val="263238"/>
                <w:sz w:val="17"/>
              </w:rPr>
              <w:t xml:space="preserve"> — Harvard, Nigeria y Sierra Leona combinan contenido predefinido, sesiones pautadas, docentes/facilitadores, trabajo en pares o secuencias controladas. Sus efectos no identifican “el LLM solo”.</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7</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El humano no desaparece: cambia de función</w:t>
            </w:r>
            <w:r>
              <w:rPr>
                <w:rFonts w:ascii="Noto Sans" w:hAnsi="Noto Sans" w:eastAsia="Noto Sans"/>
                <w:color w:val="263238"/>
                <w:sz w:val="17"/>
              </w:rPr>
              <w:t xml:space="preserve"> — Tutor CoPilot elevó dominio en 4 pp, y 9 pp con tutores inicialmente menos valorados, sugiriendo que la IA puede escalar expertise en vez de sustituir la relación tutorial [6].</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8</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Acceso no es exposición</w:t>
            </w:r>
            <w:r>
              <w:rPr>
                <w:rFonts w:ascii="Noto Sans" w:hAnsi="Noto Sans" w:eastAsia="Noto Sans"/>
                <w:color w:val="263238"/>
                <w:sz w:val="17"/>
              </w:rPr>
              <w:t xml:space="preserve"> — En dos RCT de lectura, cerca de la mitad de los alumnos nunca usó la plataforma y el uso medio fue de minutos por semana; el apoyo humano aumentó el engagement, pero no alcanzó la dosis requerida ni produjo gains [8].</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9</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La personalización genuina debe ser verificable</w:t>
            </w:r>
            <w:r>
              <w:rPr>
                <w:rFonts w:ascii="Noto Sans" w:hAnsi="Noto Sans" w:eastAsia="Noto Sans"/>
                <w:color w:val="263238"/>
                <w:sz w:val="17"/>
              </w:rPr>
              <w:t xml:space="preserve"> — Debe poder mostrarse qué estima el sistema, qué evidencia usa, por qué escogió la próxima acción y cómo cambia su estrategia. Cambiar tono o recordar el chat es personalización superficial.</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10</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La evaluación correcta es longitudinal y sin ayuda</w:t>
            </w:r>
            <w:r>
              <w:rPr>
                <w:rFonts w:ascii="Noto Sans" w:hAnsi="Noto Sans" w:eastAsia="Noto Sans"/>
                <w:color w:val="263238"/>
                <w:sz w:val="17"/>
              </w:rPr>
              <w:t xml:space="preserve"> — Prueba independiente, retención, transferencia, tiempo a dominio, autonomía, metacognición, equidad, carga docente, costos y adopción deben analizarse juntos.</w:t>
            </w:r>
          </w:p>
        </w:tc>
      </w:tr>
    </w:tbl>
    <w:p>
      <w:pPr>
        <w:spacing w:after="0"/>
      </w:pPr>
    </w:p>
    <w:p>
      <w:pPr>
        <w:keepNext w:val="0"/>
        <w:keepLines w:val="0"/>
        <w:spacing w:before="140" w:after="40" w:line="259" w:lineRule="auto"/>
      </w:pPr>
      <w:r>
        <w:rPr>
          <w:rFonts w:ascii="Noto Sans" w:hAnsi="Noto Sans" w:eastAsia="Noto Sans"/>
          <w:b/>
          <w:color w:val="18324B"/>
          <w:sz w:val="22"/>
        </w:rPr>
        <w:t>Juicio final</w:t>
      </w:r>
    </w:p>
    <w:p>
      <w:pPr>
        <w:keepNext w:val="0"/>
        <w:keepLines w:val="0"/>
        <w:spacing w:before="0" w:after="80" w:line="274" w:lineRule="auto"/>
      </w:pPr>
      <w:r>
        <w:rPr>
          <w:rFonts w:ascii="Noto Sans" w:hAnsi="Noto Sans" w:eastAsia="Noto Sans"/>
          <w:color w:val="263238"/>
          <w:sz w:val="20"/>
        </w:rPr>
        <w:t>La evidencia ya justifica pasar de demostraciones a pilotos rigurosos y, en algunos contextos, a despliegues controlados. Todavía no justifica tratar a un tutor generativo autónomo como sustituto general del docente ni asumir que su efecto será positivo sin currículo, guardrails, dosificación y evaluación independiente.</w:t>
      </w:r>
    </w:p>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1. Alcance, método y definiciones</w:t>
      </w:r>
    </w:p>
    <w:p>
      <w:pPr>
        <w:pStyle w:val="Deck"/>
        <w:keepNext/>
        <w:keepLines w:val="0"/>
        <w:spacing w:before="0" w:after="100" w:line="259" w:lineRule="auto"/>
      </w:pPr>
      <w:r>
        <w:t>Qué se incluye, qué se excluye y cómo se distingue una capacidad de una evidencia de aprendizaje.</w:t>
      </w:r>
    </w:p>
    <w:p>
      <w:pPr>
        <w:pStyle w:val="Heading2"/>
      </w:pPr>
      <w:r>
        <w:t>1.1 Pregunta de investigación</w:t>
      </w:r>
    </w:p>
    <w:p>
      <w:pPr>
        <w:keepNext w:val="0"/>
        <w:keepLines w:val="0"/>
        <w:spacing w:before="0" w:after="80" w:line="269" w:lineRule="auto"/>
      </w:pPr>
      <w:r>
        <w:t>Este informe pregunta qué sistemas contemporáneos usan IA —en especial IA generativa— para hacer el aprendizaje y la enseñanza más interactivos, adaptativos y personalizados; cómo están construidos; qué funciones realizan; dónde se despliegan; y qué se ha medido rigurosamente.</w:t>
      </w:r>
    </w:p>
    <w:p>
      <w:pPr>
        <w:keepNext w:val="0"/>
        <w:keepLines w:val="0"/>
        <w:spacing w:before="0" w:after="80" w:line="269" w:lineRule="auto"/>
      </w:pPr>
      <w:r>
        <w:t>El universo incluye educación K-12 y superior, tutoría directa al estudiante, software adaptativo, copilotos para docentes y tutores, apoyo multimodal y despliegues de baja conectividad. No se considera “sistema de aprendizaje” a cualquier chatbot usado ocasionalmente para contestar preguntas: se exige al menos una intención pedagógica explícita, integración curricular, seguimiento del alumno o función docente definida.</w:t>
      </w:r>
    </w:p>
    <w:p>
      <w:pPr>
        <w:pStyle w:val="Heading2"/>
      </w:pPr>
      <w:r>
        <w:t>1.2 Tres tipos de afirmación que no deben mezclarse</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551"/>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Nivel de evidencia</w:t>
            </w:r>
          </w:p>
        </w:tc>
        <w:tc>
          <w:tcPr>
            <w:tcW w:type="dxa" w:w="7540"/>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Pregunta correcta</w:t>
            </w:r>
          </w:p>
        </w:tc>
      </w:tr>
      <w:tr>
        <w:trPr>
          <w:cantSplit/>
        </w:trPr>
        <w:tc>
          <w:tcPr>
            <w:tcW w:type="dxa" w:w="255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Capacidad técnica</w:t>
            </w:r>
          </w:p>
        </w:tc>
        <w:tc>
          <w:tcPr>
            <w:tcW w:type="dxa" w:w="7540"/>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El sistema puede generar explicaciones, reconocer una imagen, hablar, producir preguntas o acceder a materiales.</w:t>
            </w:r>
          </w:p>
        </w:tc>
      </w:tr>
      <w:tr>
        <w:trPr>
          <w:cantSplit/>
        </w:trPr>
        <w:tc>
          <w:tcPr>
            <w:tcW w:type="dxa" w:w="255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Calidad de interacción</w:t>
            </w:r>
          </w:p>
        </w:tc>
        <w:tc>
          <w:tcPr>
            <w:tcW w:type="dxa" w:w="7540"/>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Expertos prefieren sus mensajes, comete pocos errores, hace preguntas socráticas o mantiene al alumno activo.</w:t>
            </w:r>
          </w:p>
        </w:tc>
      </w:tr>
      <w:tr>
        <w:trPr>
          <w:cantSplit/>
        </w:trPr>
        <w:tc>
          <w:tcPr>
            <w:tcW w:type="dxa" w:w="255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Efecto de aprendizaje</w:t>
            </w:r>
          </w:p>
        </w:tc>
        <w:tc>
          <w:tcPr>
            <w:tcW w:type="dxa" w:w="7540"/>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El alumno mejora posteriormente, sin asistencia, en una medida independiente; idealmente retiene y transfiere.</w:t>
            </w:r>
          </w:p>
        </w:tc>
      </w:tr>
    </w:tbl>
    <w:p>
      <w:pPr>
        <w:keepNext w:val="0"/>
        <w:keepLines w:val="0"/>
        <w:spacing w:before="80" w:after="80" w:line="264" w:lineRule="auto"/>
      </w:pPr>
      <w:r>
        <w:rPr>
          <w:rFonts w:ascii="Noto Sans" w:hAnsi="Noto Sans" w:eastAsia="Noto Sans"/>
          <w:b/>
          <w:color w:val="A23B3B"/>
          <w:sz w:val="18"/>
        </w:rPr>
        <w:t>Una gran parte del marketing y de la investigación temprana prueba el primer o segundo nivel y habla como si hubiera demostrado el tercero.</w:t>
      </w:r>
    </w:p>
    <w:p>
      <w:pPr>
        <w:pStyle w:val="Heading2"/>
      </w:pPr>
      <w:r>
        <w:t>1.3 Jerarquía utilizada en el informe</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1247"/>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Grado</w:t>
            </w:r>
          </w:p>
        </w:tc>
        <w:tc>
          <w:tcPr>
            <w:tcW w:type="dxa" w:w="884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Qué permite concluir</w:t>
            </w:r>
          </w:p>
        </w:tc>
      </w:tr>
      <w:tr>
        <w:trPr>
          <w:cantSplit/>
        </w:trPr>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A</w:t>
            </w:r>
          </w:p>
        </w:tc>
        <w:tc>
          <w:tcPr>
            <w:tcW w:type="dxa" w:w="884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RCT preregistrado o cuasiexperimento fuerte; outcome independiente y sin asistencia; duración suficiente o seguimiento.</w:t>
            </w:r>
          </w:p>
        </w:tc>
      </w:tr>
      <w:tr>
        <w:trPr>
          <w:cantSplit/>
        </w:trPr>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B</w:t>
            </w:r>
          </w:p>
        </w:tc>
        <w:tc>
          <w:tcPr>
            <w:tcW w:type="dxa" w:w="884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RCT corto, transferencia inmediata, resultado de plataforma o intervención compuesta; causal, pero alcance estrecho.</w:t>
            </w:r>
          </w:p>
        </w:tc>
      </w:tr>
      <w:tr>
        <w:trPr>
          <w:cantSplit/>
        </w:trPr>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w:t>
            </w:r>
          </w:p>
        </w:tc>
        <w:tc>
          <w:tcPr>
            <w:tcW w:type="dxa" w:w="884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A/B de producto, auditoría de mensajes, benchmark de modelo, preferencia experta o estudio observacional con logs.</w:t>
            </w:r>
          </w:p>
        </w:tc>
      </w:tr>
      <w:tr>
        <w:trPr>
          <w:cantSplit/>
        </w:trPr>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D</w:t>
            </w:r>
          </w:p>
        </w:tc>
        <w:tc>
          <w:tcPr>
            <w:tcW w:type="dxa" w:w="884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Encuesta, engagement, caso institucional, testimonio o descripción de producto.</w:t>
            </w:r>
          </w:p>
        </w:tc>
      </w:tr>
    </w:tbl>
    <w:p>
      <w:pPr>
        <w:pStyle w:val="Heading2"/>
      </w:pPr>
      <w:r>
        <w:t>1.4 Limitaciones de la base disponible</w:t>
      </w:r>
    </w:p>
    <w:p>
      <w:pPr>
        <w:spacing w:after="50" w:line="259" w:lineRule="auto"/>
        <w:ind w:left="227" w:hanging="170"/>
      </w:pPr>
      <w:r>
        <w:rPr>
          <w:rFonts w:ascii="Noto Sans" w:hAnsi="Noto Sans" w:eastAsia="Noto Sans"/>
          <w:b/>
          <w:color w:val="0A7A78"/>
          <w:sz w:val="18"/>
        </w:rPr>
        <w:t xml:space="preserve">• </w:t>
      </w:r>
      <w:r>
        <w:rPr>
          <w:rFonts w:ascii="Noto Sans" w:hAnsi="Noto Sans" w:eastAsia="Noto Sans"/>
          <w:color w:val="263238"/>
          <w:sz w:val="18"/>
        </w:rPr>
        <w:t>La literatura generativa es muy reciente; algunos resultados proceden de preprints o equipos vinculados al proveedor. Los modelos, interfaces y prompts cambian más rápido que los ciclos de publicación.</w:t>
      </w:r>
    </w:p>
    <w:p>
      <w:pPr>
        <w:spacing w:after="50" w:line="259" w:lineRule="auto"/>
        <w:ind w:left="227" w:hanging="170"/>
      </w:pPr>
      <w:r>
        <w:rPr>
          <w:rFonts w:ascii="Noto Sans" w:hAnsi="Noto Sans" w:eastAsia="Noto Sans"/>
          <w:b/>
          <w:color w:val="0A7A78"/>
          <w:sz w:val="18"/>
        </w:rPr>
        <w:t xml:space="preserve">• </w:t>
      </w:r>
      <w:r>
        <w:rPr>
          <w:rFonts w:ascii="Noto Sans" w:hAnsi="Noto Sans" w:eastAsia="Noto Sans"/>
          <w:color w:val="263238"/>
          <w:sz w:val="18"/>
        </w:rPr>
        <w:t>Muchos estudios comparan paquetes completos: IA más tiempo adicional, dispositivos, capacitación, facilitadores o currículo especial. El efecto causal del paquete es válido; el efecto aislado del modelo no está identificado.</w:t>
      </w:r>
    </w:p>
    <w:p>
      <w:pPr>
        <w:spacing w:after="50" w:line="259" w:lineRule="auto"/>
        <w:ind w:left="227" w:hanging="170"/>
      </w:pPr>
      <w:r>
        <w:rPr>
          <w:rFonts w:ascii="Noto Sans" w:hAnsi="Noto Sans" w:eastAsia="Noto Sans"/>
          <w:b/>
          <w:color w:val="0A7A78"/>
          <w:sz w:val="18"/>
        </w:rPr>
        <w:t xml:space="preserve">• </w:t>
      </w:r>
      <w:r>
        <w:rPr>
          <w:rFonts w:ascii="Noto Sans" w:hAnsi="Noto Sans" w:eastAsia="Noto Sans"/>
          <w:color w:val="263238"/>
          <w:sz w:val="18"/>
        </w:rPr>
        <w:t>Las medidas suelen ser inmediatas y estrechas. Hay pocos seguimientos demorados, evaluaciones de transferencia lejana, costos comparables, resultados de docentes o despliegues públicos a escala.</w:t>
      </w:r>
    </w:p>
    <w:p>
      <w:pPr>
        <w:spacing w:after="50" w:line="259" w:lineRule="auto"/>
        <w:ind w:left="227" w:hanging="170"/>
      </w:pPr>
      <w:r>
        <w:rPr>
          <w:rFonts w:ascii="Noto Sans" w:hAnsi="Noto Sans" w:eastAsia="Noto Sans"/>
          <w:b/>
          <w:color w:val="0A7A78"/>
          <w:sz w:val="18"/>
        </w:rPr>
        <w:t xml:space="preserve">• </w:t>
      </w:r>
      <w:r>
        <w:rPr>
          <w:rFonts w:ascii="Noto Sans" w:hAnsi="Noto Sans" w:eastAsia="Noto Sans"/>
          <w:color w:val="263238"/>
          <w:sz w:val="18"/>
        </w:rPr>
        <w:t>El metaanálisis 2026 no contiene estudios en países clasificados como de bajos ingresos y solo dos reportan costos comparables [1]. El RCT de Sierra Leona apareció después de varias búsquedas de la revisión o bajo criterios distintos, por lo que ilustra la velocidad con que cambia el campo.</w:t>
      </w:r>
    </w:p>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2. De los tutores inteligentes a los sistemas generativos</w:t>
      </w:r>
    </w:p>
    <w:p>
      <w:pPr>
        <w:pStyle w:val="Deck"/>
        <w:keepNext/>
        <w:keepLines w:val="0"/>
        <w:spacing w:before="0" w:after="100" w:line="259" w:lineRule="auto"/>
      </w:pPr>
      <w:r>
        <w:t>La novedad no reemplaza la tradición: cambia la interfaz y amplía el espacio de acciones, pero hereda el problema de decidir qué enseñar después.</w:t>
      </w:r>
    </w:p>
    <w:p>
      <w:pPr>
        <w:pStyle w:val="Heading2"/>
      </w:pPr>
      <w:r>
        <w:t>2.1 La arquitectura clásica</w:t>
      </w:r>
    </w:p>
    <w:p>
      <w:pPr>
        <w:keepNext w:val="0"/>
        <w:keepLines w:val="0"/>
        <w:spacing w:before="0" w:after="80" w:line="269" w:lineRule="auto"/>
      </w:pPr>
      <w:r>
        <w:t>Los sistemas tutores inteligentes (ITS) se concibieron con cuatro componentes: un modelo del dominio, un modelo del estudiante, un módulo pedagógico y una interfaz. El dominio representa qué conocimientos y procedimientos existen; el learner model infiere qué domina cada alumno; el módulo pedagógico decide la intervención; la interfaz entrega el ejercicio y feedback.</w:t>
      </w:r>
    </w:p>
    <w:p>
      <w:pPr>
        <w:keepNext w:val="0"/>
        <w:keepLines w:val="0"/>
        <w:spacing w:before="0" w:after="80" w:line="269" w:lineRule="auto"/>
      </w:pPr>
      <w:r>
        <w:t>Knowledge Tracing formalizó una idea clave: el conocimiento es latente y se actualiza probabilísticamente a partir de respuestas [22]. Las variantes modernas incluyen modelos bayesianos, teoría de respuesta al ítem, Deep Knowledge Tracing y modelos que combinan secuencia, dificultad, tiempo, pistas y olvido [23].</w:t>
      </w:r>
    </w:p>
    <w:p>
      <w:pPr>
        <w:keepNext w:val="0"/>
        <w:keepLines w:val="0"/>
        <w:spacing w:before="0" w:after="80" w:line="269" w:lineRule="auto"/>
      </w:pPr>
      <w:r>
        <w:t>Sistemas como ALEKS representan conjuntos factibles de conocimientos y seleccionan temas “ready to learn” [18]. MATHia rastrea habilidades paso a paso y ofrece feedback contextual [19]. ASSISTments combina práctica, feedback inmediato y reportes que permiten al docente intervenir [11,26]. Mindspark diagnostica el nivel real y ajusta contenido, incluso cuando existe una gran brecha entre grado nominal y competencia [10].</w:t>
      </w:r>
    </w:p>
    <w:p>
      <w:pPr>
        <w:pStyle w:val="Heading2"/>
      </w:pPr>
      <w:r>
        <w:t>2.2 Qué cambia con los LLM</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43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Cambio</w:t>
            </w:r>
          </w:p>
        </w:tc>
        <w:tc>
          <w:tcPr>
            <w:tcW w:type="dxa" w:w="765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Implicación pedagógica</w:t>
            </w:r>
          </w:p>
        </w:tc>
      </w:tr>
      <w:tr>
        <w:trPr>
          <w:cantSplit/>
        </w:trPr>
        <w:tc>
          <w:tcPr>
            <w:tcW w:type="dxa" w:w="243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Lenguaje abierto</w:t>
            </w:r>
          </w:p>
        </w:tc>
        <w:tc>
          <w:tcPr>
            <w:tcW w:type="dxa" w:w="76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El alumno puede explicar su razonamiento, pedir otra representación, negociar el ritmo y formular preguntas no previstas.</w:t>
            </w:r>
          </w:p>
        </w:tc>
      </w:tr>
      <w:tr>
        <w:trPr>
          <w:cantSplit/>
        </w:trPr>
        <w:tc>
          <w:tcPr>
            <w:tcW w:type="dxa" w:w="243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Generación bajo demanda</w:t>
            </w:r>
          </w:p>
        </w:tc>
        <w:tc>
          <w:tcPr>
            <w:tcW w:type="dxa" w:w="76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Ejemplos, analogías, cuestionarios, casos, role-play, código, simulaciones y retroalimentación pueden producirse en tiempo real.</w:t>
            </w:r>
          </w:p>
        </w:tc>
      </w:tr>
      <w:tr>
        <w:trPr>
          <w:cantSplit/>
        </w:trPr>
        <w:tc>
          <w:tcPr>
            <w:tcW w:type="dxa" w:w="243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Multimodalidad</w:t>
            </w:r>
          </w:p>
        </w:tc>
        <w:tc>
          <w:tcPr>
            <w:tcW w:type="dxa" w:w="76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Texto, voz, imagen, diagramas y pantalla permiten tutorar tareas que antes exigían interfaces especializadas.</w:t>
            </w:r>
          </w:p>
        </w:tc>
      </w:tr>
      <w:tr>
        <w:trPr>
          <w:cantSplit/>
        </w:trPr>
        <w:tc>
          <w:tcPr>
            <w:tcW w:type="dxa" w:w="243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Generalidad</w:t>
            </w:r>
          </w:p>
        </w:tc>
        <w:tc>
          <w:tcPr>
            <w:tcW w:type="dxa" w:w="76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Un mismo modelo cubre muchas materias e idiomas; baja el costo de autoría inicial, pero aumenta el riesgo de errores y desalineación curricular.</w:t>
            </w:r>
          </w:p>
        </w:tc>
      </w:tr>
      <w:tr>
        <w:trPr>
          <w:cantSplit/>
        </w:trPr>
        <w:tc>
          <w:tcPr>
            <w:tcW w:type="dxa" w:w="243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Capacidad de herramienta</w:t>
            </w:r>
          </w:p>
        </w:tc>
        <w:tc>
          <w:tcPr>
            <w:tcW w:type="dxa" w:w="76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El modelo puede consultar fuentes, usar calculadoras/solvers, ejecutar código y coordinar agentes especializados.</w:t>
            </w:r>
          </w:p>
        </w:tc>
      </w:tr>
      <w:tr>
        <w:trPr>
          <w:cantSplit/>
        </w:trPr>
        <w:tc>
          <w:tcPr>
            <w:tcW w:type="dxa" w:w="243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Interfaz social</w:t>
            </w:r>
          </w:p>
        </w:tc>
        <w:tc>
          <w:tcPr>
            <w:tcW w:type="dxa" w:w="76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La conversación aumenta naturalidad y percepción de apoyo; también puede inducir confianza excesiva y ocultar un learner model débil.</w:t>
            </w:r>
          </w:p>
        </w:tc>
      </w:tr>
    </w:tbl>
    <w:p>
      <w:pPr>
        <w:pStyle w:val="Heading2"/>
      </w:pPr>
      <w:r>
        <w:t>2.3 Lo que no cambia</w:t>
      </w:r>
    </w:p>
    <w:p>
      <w:pPr>
        <w:spacing w:after="50" w:line="259" w:lineRule="auto"/>
        <w:ind w:left="227" w:hanging="170"/>
      </w:pPr>
      <w:r>
        <w:rPr>
          <w:rFonts w:ascii="Noto Sans" w:hAnsi="Noto Sans" w:eastAsia="Noto Sans"/>
          <w:b/>
          <w:color w:val="0A7A78"/>
          <w:sz w:val="18"/>
        </w:rPr>
        <w:t xml:space="preserve">• </w:t>
      </w:r>
      <w:r>
        <w:rPr>
          <w:rFonts w:ascii="Noto Sans" w:hAnsi="Noto Sans" w:eastAsia="Noto Sans"/>
          <w:color w:val="263238"/>
          <w:sz w:val="18"/>
        </w:rPr>
        <w:t>Sigue siendo necesario decidir qué concepto enseñar, qué dificultad usar, qué evidencia cuenta como dominio, cuándo interrumpir, cuánto ayudar y cuándo volver sobre un prerrequisito.</w:t>
      </w:r>
    </w:p>
    <w:p>
      <w:pPr>
        <w:spacing w:after="50" w:line="259" w:lineRule="auto"/>
        <w:ind w:left="227" w:hanging="170"/>
      </w:pPr>
      <w:r>
        <w:rPr>
          <w:rFonts w:ascii="Noto Sans" w:hAnsi="Noto Sans" w:eastAsia="Noto Sans"/>
          <w:b/>
          <w:color w:val="0A7A78"/>
          <w:sz w:val="18"/>
        </w:rPr>
        <w:t xml:space="preserve">• </w:t>
      </w:r>
      <w:r>
        <w:rPr>
          <w:rFonts w:ascii="Noto Sans" w:hAnsi="Noto Sans" w:eastAsia="Noto Sans"/>
          <w:color w:val="263238"/>
          <w:sz w:val="18"/>
        </w:rPr>
        <w:t>Un modelo lingüístico no observa directamente el conocimiento. Puede inferirlo de una conversación, pero esa inferencia es sensible al prompt, al estilo verbal, a la motivación y a la calidad de las tareas. La memoria narrativa no reemplaza un estado estructurado y calibrado.</w:t>
      </w:r>
    </w:p>
    <w:p>
      <w:pPr>
        <w:spacing w:after="50" w:line="259" w:lineRule="auto"/>
        <w:ind w:left="227" w:hanging="170"/>
      </w:pPr>
      <w:r>
        <w:rPr>
          <w:rFonts w:ascii="Noto Sans" w:hAnsi="Noto Sans" w:eastAsia="Noto Sans"/>
          <w:b/>
          <w:color w:val="0A7A78"/>
          <w:sz w:val="18"/>
        </w:rPr>
        <w:t xml:space="preserve">• </w:t>
      </w:r>
      <w:r>
        <w:rPr>
          <w:rFonts w:ascii="Noto Sans" w:hAnsi="Noto Sans" w:eastAsia="Noto Sans"/>
          <w:color w:val="263238"/>
          <w:sz w:val="18"/>
        </w:rPr>
        <w:t>La pedagogía tiene objetivos que compiten con la satisfacción inmediata. El usuario suele preferir una respuesta rápida; el aprendizaje exige esfuerzo, recuperación, error, espera y retirada de apoyo. Por ello, el sistema no debe optimizar solo aprobación, fluidez o resolución.</w:t>
      </w:r>
    </w:p>
    <w:tbl>
      <w:tblPr>
        <w:tblW w:type="auto" w:w="0"/>
        <w:jc w:val="center"/>
        <w:tblLayout w:type="fixed"/>
        <w:tblLook w:firstColumn="1" w:firstRow="1" w:lastColumn="0" w:lastRow="0" w:noHBand="0" w:noVBand="1" w:val="04A0"/>
      </w:tblPr>
      <w:tblGrid>
        <w:gridCol w:w="5046"/>
        <w:gridCol w:w="5046"/>
      </w:tblGrid>
      <w:tr>
        <w:trPr>
          <w:cantSplit/>
        </w:trPr>
        <w:tc>
          <w:tcPr>
            <w:tcW w:type="dxa" w:w="170"/>
            <w:tcBorders>
              <w:top w:val="nil"/>
              <w:left w:val="nil"/>
              <w:bottom w:val="nil"/>
              <w:right w:val="nil"/>
            </w:tcBorders>
            <w:shd w:fill="D39A2C" w:val="clear"/>
            <w:tcMar>
              <w:top w:w="40" w:type="dxa"/>
              <w:start w:w="15" w:type="dxa"/>
              <w:bottom w:w="40" w:type="dxa"/>
              <w:end w:w="15" w:type="dxa"/>
            </w:tcMar>
          </w:tcPr>
          <w:p/>
        </w:tc>
        <w:tc>
          <w:tcPr>
            <w:tcW w:type="dxa" w:w="9184"/>
            <w:tcBorders>
              <w:top w:val="nil"/>
              <w:left w:val="nil"/>
              <w:bottom w:val="nil"/>
              <w:right w:val="nil"/>
            </w:tcBorders>
            <w:shd w:fill="F8EDD4" w:val="clear"/>
            <w:tcMar>
              <w:top w:w="80" w:type="dxa"/>
              <w:start w:w="120" w:type="dxa"/>
              <w:bottom w:w="80" w:type="dxa"/>
              <w:end w:w="120" w:type="dxa"/>
            </w:tcMar>
          </w:tcPr>
          <w:p>
            <w:pPr>
              <w:keepNext w:val="0"/>
              <w:keepLines w:val="0"/>
              <w:spacing w:before="0" w:after="0" w:line="259" w:lineRule="auto"/>
            </w:pPr>
            <w:r>
              <w:rPr>
                <w:rFonts w:ascii="Noto Sans" w:hAnsi="Noto Sans" w:eastAsia="Noto Sans"/>
                <w:b/>
                <w:color w:val="18324B"/>
                <w:sz w:val="18"/>
              </w:rPr>
              <w:t>Síntesis histórica.</w:t>
            </w:r>
            <w:r>
              <w:t xml:space="preserve">  </w:t>
            </w:r>
            <w:r>
              <w:rPr>
                <w:rFonts w:ascii="Noto Sans" w:hAnsi="Noto Sans" w:eastAsia="Noto Sans"/>
                <w:color w:val="263238"/>
                <w:sz w:val="18"/>
              </w:rPr>
              <w:t>La IA generativa resuelve gran parte del problema de interfaz y autoría. No resuelve automáticamente el problema central de la tutoría inteligente: estimar el estado cognitivo y escoger la intervención que maximiza aprendizaje futuro, no éxito inmediato.</w:t>
            </w:r>
          </w:p>
        </w:tc>
      </w:tr>
    </w:tbl>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3. Anatomía de un sistema moderno</w:t>
      </w:r>
    </w:p>
    <w:p>
      <w:pPr>
        <w:pStyle w:val="Deck"/>
        <w:keepNext/>
        <w:keepLines w:val="0"/>
        <w:spacing w:before="0" w:after="100" w:line="259" w:lineRule="auto"/>
      </w:pPr>
      <w:r>
        <w:t>Ocho capas que permiten distinguir una aplicación pedagógica de un chatbot con apariencia educativa.</w:t>
      </w:r>
    </w:p>
    <w:p>
      <w:pPr>
        <w:pStyle w:val="Heading2"/>
      </w:pPr>
      <w:r>
        <w:t>3.1 Vista de conjunto</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737"/>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Capa</w:t>
            </w:r>
          </w:p>
        </w:tc>
        <w:tc>
          <w:tcPr>
            <w:tcW w:type="dxa" w:w="311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Nombre</w:t>
            </w:r>
          </w:p>
        </w:tc>
        <w:tc>
          <w:tcPr>
            <w:tcW w:type="dxa" w:w="6236"/>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Función</w:t>
            </w:r>
          </w:p>
        </w:tc>
      </w:tr>
      <w:tr>
        <w:trPr>
          <w:cantSplit/>
        </w:trPr>
        <w:tc>
          <w:tcPr>
            <w:tcW w:type="dxa" w:w="73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8</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Medición y aprendizaje del sistema</w:t>
            </w:r>
          </w:p>
        </w:tc>
        <w:tc>
          <w:tcPr>
            <w:tcW w:type="dxa" w:w="6236"/>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Outcomes, experimentos, auditoría, costos, equidad, logs y actualización de políticas.</w:t>
            </w:r>
          </w:p>
        </w:tc>
      </w:tr>
      <w:tr>
        <w:trPr>
          <w:cantSplit/>
        </w:trPr>
        <w:tc>
          <w:tcPr>
            <w:tcW w:type="dxa" w:w="73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7</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Orquestación humana e institucional</w:t>
            </w:r>
          </w:p>
        </w:tc>
        <w:tc>
          <w:tcPr>
            <w:tcW w:type="dxa" w:w="6236"/>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Docente/tutor, LMS, asignaciones, panel, límites, escalamiento y soporte.</w:t>
            </w:r>
          </w:p>
        </w:tc>
      </w:tr>
      <w:tr>
        <w:trPr>
          <w:cantSplit/>
        </w:trPr>
        <w:tc>
          <w:tcPr>
            <w:tcW w:type="dxa" w:w="73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6</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Seguridad y guardrails pedagógicos</w:t>
            </w:r>
          </w:p>
        </w:tc>
        <w:tc>
          <w:tcPr>
            <w:tcW w:type="dxa" w:w="6236"/>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Integridad, privacidad, answer withholding, esfuerzo, incertidumbre, contenido sensible.</w:t>
            </w:r>
          </w:p>
        </w:tc>
      </w:tr>
      <w:tr>
        <w:trPr>
          <w:cantSplit/>
        </w:trPr>
        <w:tc>
          <w:tcPr>
            <w:tcW w:type="dxa" w:w="73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5</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Generación e interfaz multimodal</w:t>
            </w:r>
          </w:p>
        </w:tc>
        <w:tc>
          <w:tcPr>
            <w:tcW w:type="dxa" w:w="6236"/>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Diálogo, voz, imagen, simulación, role-play, explicaciones y feedback.</w:t>
            </w:r>
          </w:p>
        </w:tc>
      </w:tr>
      <w:tr>
        <w:trPr>
          <w:cantSplit/>
        </w:trPr>
        <w:tc>
          <w:tcPr>
            <w:tcW w:type="dxa" w:w="73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4</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Grounding, contenido y herramientas</w:t>
            </w:r>
          </w:p>
        </w:tc>
        <w:tc>
          <w:tcPr>
            <w:tcW w:type="dxa" w:w="6236"/>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RAG, materiales, banco de ítems, worked solutions, calculadora, solver, código y verificadores.</w:t>
            </w:r>
          </w:p>
        </w:tc>
      </w:tr>
      <w:tr>
        <w:trPr>
          <w:cantSplit/>
        </w:trPr>
        <w:tc>
          <w:tcPr>
            <w:tcW w:type="dxa" w:w="73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3</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Política pedagógica / planner</w:t>
            </w:r>
          </w:p>
        </w:tc>
        <w:tc>
          <w:tcPr>
            <w:tcW w:type="dxa" w:w="6236"/>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Próxima acción, secuencia, dificultad, pistas, repaso, fading y escalamiento.</w:t>
            </w:r>
          </w:p>
        </w:tc>
      </w:tr>
      <w:tr>
        <w:trPr>
          <w:cantSplit/>
        </w:trPr>
        <w:tc>
          <w:tcPr>
            <w:tcW w:type="dxa" w:w="73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2</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Modelo del estudiante</w:t>
            </w:r>
          </w:p>
        </w:tc>
        <w:tc>
          <w:tcPr>
            <w:tcW w:type="dxa" w:w="6236"/>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Mastery, errores, historial, confianza, ritmo, objetivos, afecto y contexto.</w:t>
            </w:r>
          </w:p>
        </w:tc>
      </w:tr>
      <w:tr>
        <w:trPr>
          <w:cantSplit/>
        </w:trPr>
        <w:tc>
          <w:tcPr>
            <w:tcW w:type="dxa" w:w="73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1</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Modelo del dominio y currículo</w:t>
            </w:r>
          </w:p>
        </w:tc>
        <w:tc>
          <w:tcPr>
            <w:tcW w:type="dxa" w:w="6236"/>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Conceptos, competencias, prerrequisitos, estándares, tareas y criterios de calidad.</w:t>
            </w:r>
          </w:p>
        </w:tc>
      </w:tr>
    </w:tbl>
    <w:p>
      <w:pPr>
        <w:keepNext w:val="0"/>
        <w:keepLines w:val="0"/>
        <w:spacing w:before="120" w:after="40" w:line="259" w:lineRule="auto"/>
      </w:pPr>
      <w:r>
        <w:rPr>
          <w:rFonts w:ascii="Noto Sans" w:hAnsi="Noto Sans" w:eastAsia="Noto Sans"/>
          <w:b/>
          <w:color w:val="18324B"/>
          <w:sz w:val="21"/>
        </w:rPr>
        <w:t>Flujo mínimo de una intervención</w:t>
      </w:r>
    </w:p>
    <w:tbl>
      <w:tblPr>
        <w:tblW w:type="auto" w:w="0"/>
        <w:jc w:val="center"/>
        <w:tblLayout w:type="fixed"/>
        <w:tblLook w:firstColumn="1" w:firstRow="1" w:lastColumn="0" w:lastRow="0" w:noHBand="0" w:noVBand="1" w:val="04A0"/>
      </w:tblPr>
      <w:tblGrid>
        <w:gridCol w:w="5046"/>
        <w:gridCol w:w="5046"/>
      </w:tblGrid>
      <w:tr>
        <w:trPr>
          <w:cantSplit/>
        </w:trPr>
        <w:tc>
          <w:tcPr>
            <w:tcW w:type="dxa" w:w="170"/>
            <w:tcBorders>
              <w:top w:val="nil"/>
              <w:left w:val="nil"/>
              <w:bottom w:val="nil"/>
              <w:right w:val="nil"/>
            </w:tcBorders>
            <w:shd w:fill="0A7A78" w:val="clear"/>
            <w:tcMar>
              <w:top w:w="40" w:type="dxa"/>
              <w:start w:w="15" w:type="dxa"/>
              <w:bottom w:w="40" w:type="dxa"/>
              <w:end w:w="15" w:type="dxa"/>
            </w:tcMar>
          </w:tcPr>
          <w:p/>
        </w:tc>
        <w:tc>
          <w:tcPr>
            <w:tcW w:type="dxa" w:w="9184"/>
            <w:tcBorders>
              <w:top w:val="nil"/>
              <w:left w:val="nil"/>
              <w:bottom w:val="nil"/>
              <w:right w:val="nil"/>
            </w:tcBorders>
            <w:shd w:fill="EAF2F7" w:val="clear"/>
            <w:tcMar>
              <w:top w:w="80" w:type="dxa"/>
              <w:start w:w="120" w:type="dxa"/>
              <w:bottom w:w="80" w:type="dxa"/>
              <w:end w:w="120" w:type="dxa"/>
            </w:tcMar>
          </w:tcPr>
          <w:p>
            <w:pPr>
              <w:keepNext w:val="0"/>
              <w:keepLines w:val="0"/>
              <w:spacing w:before="0" w:after="0" w:line="259" w:lineRule="auto"/>
            </w:pPr>
            <w:r>
              <w:rPr>
                <w:rFonts w:ascii="Noto Sans" w:hAnsi="Noto Sans" w:eastAsia="Noto Sans"/>
                <w:b/>
                <w:color w:val="18324B"/>
                <w:sz w:val="18"/>
              </w:rPr>
              <w:t>Observar → inferir → decidir → generar/verificar → intervenir → medir.</w:t>
            </w:r>
            <w:r>
              <w:t xml:space="preserve">  </w:t>
            </w:r>
            <w:r>
              <w:rPr>
                <w:rFonts w:ascii="Noto Sans" w:hAnsi="Noto Sans" w:eastAsia="Noto Sans"/>
                <w:color w:val="263238"/>
                <w:sz w:val="18"/>
              </w:rPr>
              <w:t>El sistema capta la respuesta y el contexto; actualiza el learner model; el planner elige una acción; el generador produce una realización; herramientas verifican; el alumno responde; y el resultado alimenta el estado y la evaluación.</w:t>
            </w:r>
          </w:p>
        </w:tc>
      </w:tr>
    </w:tbl>
    <w:p>
      <w:pPr>
        <w:pStyle w:val="Heading2"/>
      </w:pPr>
      <w:r>
        <w:t>3.2 Capa 1: modelo del dominio</w:t>
      </w:r>
    </w:p>
    <w:p>
      <w:pPr>
        <w:keepNext w:val="0"/>
        <w:keepLines w:val="0"/>
        <w:spacing w:before="0" w:after="80" w:line="269" w:lineRule="auto"/>
      </w:pPr>
      <w:r>
        <w:t>El dominio es la representación de lo que se pretende aprender. Puede ser una jerarquía curricular, un grafo de conocimientos, una matriz de estándares, una red de prerrequisitos, un conjunto de procedimientos o una biblioteca de casos. Debe vincular cada competencia con tareas, respuestas, errores frecuentes, explicaciones y criterios de dominio.</w:t>
      </w:r>
    </w:p>
    <w:p>
      <w:pPr>
        <w:keepNext w:val="0"/>
        <w:keepLines w:val="0"/>
        <w:spacing w:before="0" w:after="80" w:line="269" w:lineRule="auto"/>
      </w:pPr>
      <w:r>
        <w:t>La generación libre sin un dominio explícito produce cobertura irregular: el modelo puede saltar pasos, introducir conceptos prematuros o confundir variantes curriculares. Los mejores sistemas restringen el espacio: Khanmigo conoce el ejercicio de Khan Academy; Eedi parte de diagnósticos de misconception; el tutor de Kestin recibió materiales y soluciones detalladas; GPT Tutor incorporó la solución y errores comunes en el prompt [2,3,7,13].</w:t>
      </w:r>
    </w:p>
    <w:p>
      <w:pPr>
        <w:keepNext w:val="0"/>
        <w:keepLines w:val="0"/>
        <w:spacing w:before="0" w:after="80" w:line="269" w:lineRule="auto"/>
      </w:pPr>
      <w:r>
        <w:t>Para materias con respuestas verificables, el dominio debe contener worked solutions y validadores. Para escritura, ciencias sociales o debate, requiere rúbricas, corpus autorizado, ejemplos ancla y criterios de calidad; no basta con “estar de acuerdo” con el alumno.</w:t>
      </w:r>
    </w:p>
    <w:p>
      <w:pPr>
        <w:pStyle w:val="Heading2"/>
      </w:pPr>
      <w:r>
        <w:t>3.3 Capa 2: modelo del estudiante</w:t>
      </w:r>
    </w:p>
    <w:p>
      <w:pPr>
        <w:keepNext w:val="0"/>
        <w:keepLines w:val="0"/>
        <w:spacing w:before="0" w:after="40" w:line="259" w:lineRule="auto"/>
      </w:pPr>
      <w:r>
        <w:t>El learner model puede operar en varias escalas simultáneas:</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1984"/>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Escala</w:t>
            </w:r>
          </w:p>
        </w:tc>
        <w:tc>
          <w:tcPr>
            <w:tcW w:type="dxa" w:w="8107"/>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Estado útil</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Turno</w:t>
            </w:r>
          </w:p>
        </w:tc>
        <w:tc>
          <w:tcPr>
            <w:tcW w:type="dxa" w:w="810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Qué intenta hacer ahora; error actual; pasos visibles; solicitud explícita.</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Sesión</w:t>
            </w:r>
          </w:p>
        </w:tc>
        <w:tc>
          <w:tcPr>
            <w:tcW w:type="dxa" w:w="810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Conceptos trabajados, pistas usadas, tiempo, persistencia, dependencia y estrategia.</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Curso</w:t>
            </w:r>
          </w:p>
        </w:tc>
        <w:tc>
          <w:tcPr>
            <w:tcW w:type="dxa" w:w="810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Mastery por habilidad, prerrequisitos, olvido, transferencia, objetivos y calendario.</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Persona/contexto</w:t>
            </w:r>
          </w:p>
        </w:tc>
        <w:tc>
          <w:tcPr>
            <w:tcW w:type="dxa" w:w="810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Idioma, accesibilidad, experiencia, motivación y restricciones; usar con prudencia para evitar estereotipos.</w:t>
            </w:r>
          </w:p>
        </w:tc>
      </w:tr>
    </w:tbl>
    <w:p>
      <w:pPr>
        <w:keepNext w:val="0"/>
        <w:keepLines w:val="0"/>
        <w:spacing w:before="0" w:after="80" w:line="269" w:lineRule="auto"/>
      </w:pPr>
      <w:r>
        <w:t>Un historial textual extenso es información, no necesariamente un modelo. Para ser accionable, debe resumirse en variables pedagógicas: probabilidad de dominio, misconception, confianza de la inferencia, evidencia reciente, uso de pistas y próximo prerrequisito.</w:t>
      </w:r>
    </w:p>
    <w:p>
      <w:pPr>
        <w:keepNext w:val="0"/>
        <w:keepLines w:val="0"/>
        <w:spacing w:before="0" w:after="80" w:line="269" w:lineRule="auto"/>
      </w:pPr>
      <w:r>
        <w:t>Khan Academy encontró que un resumen estructurado de intentos recientes elevó 3.4% la corrección del siguiente ítem y que revelar prerrequisitos no dominados más una revisión breve añadió 2.7%; pasar más datos sin estructura no siempre produjo mejoras [13]. Es una demostración de ingeniería importante: más contexto no equivale a mejor personalización.</w:t>
      </w:r>
    </w:p>
    <w:p>
      <w:pPr>
        <w:keepNext w:val="0"/>
        <w:keepLines w:val="0"/>
        <w:spacing w:before="0" w:after="80" w:line="269" w:lineRule="auto"/>
      </w:pPr>
      <w:r>
        <w:t>El modelo debe admitir incertidumbre y revisión. Una inferencia errónea puede encerrar al estudiante en contenido demasiado fácil, atribuir una equivocación conceptual a descuido o adaptar el tono en vez de resolver el déficit.</w:t>
      </w:r>
    </w:p>
    <w:p>
      <w:pPr>
        <w:pStyle w:val="Heading2"/>
      </w:pPr>
      <w:r>
        <w:t>3.4 Capa 3: política pedagógica</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15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Acción</w:t>
            </w:r>
          </w:p>
        </w:tc>
        <w:tc>
          <w:tcPr>
            <w:tcW w:type="dxa" w:w="7937"/>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Ejemplos de política</w:t>
            </w:r>
          </w:p>
        </w:tc>
      </w:tr>
      <w:tr>
        <w:trPr>
          <w:cantSplit/>
        </w:trPr>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Diagnosticar</w:t>
            </w:r>
          </w:p>
        </w:tc>
        <w:tc>
          <w:tcPr>
            <w:tcW w:type="dxa" w:w="793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Pedir explicación, seleccionar una pregunta discriminante, contrastar dos respuestas o revisar un prerrequisito.</w:t>
            </w:r>
          </w:p>
        </w:tc>
      </w:tr>
      <w:tr>
        <w:trPr>
          <w:cantSplit/>
        </w:trPr>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Andamiar</w:t>
            </w:r>
          </w:p>
        </w:tc>
        <w:tc>
          <w:tcPr>
            <w:tcW w:type="dxa" w:w="793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Pista conceptual → pista estratégica → paso parcial → worked example; evitar saltar directamente al resultado.</w:t>
            </w:r>
          </w:p>
        </w:tc>
      </w:tr>
      <w:tr>
        <w:trPr>
          <w:cantSplit/>
        </w:trPr>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Secuenciar</w:t>
            </w:r>
          </w:p>
        </w:tc>
        <w:tc>
          <w:tcPr>
            <w:tcW w:type="dxa" w:w="793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Elegir dificultad y concepto siguiente, intercalar temas, espaciar recuperación y ajustar ritmo.</w:t>
            </w:r>
          </w:p>
        </w:tc>
      </w:tr>
      <w:tr>
        <w:trPr>
          <w:cantSplit/>
        </w:trPr>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Regular ayuda</w:t>
            </w:r>
          </w:p>
        </w:tc>
        <w:tc>
          <w:tcPr>
            <w:tcW w:type="dxa" w:w="793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Exigir intento, limitar pistas, detectar dependencia y retirar gradualmente el soporte.</w:t>
            </w:r>
          </w:p>
        </w:tc>
      </w:tr>
      <w:tr>
        <w:trPr>
          <w:cantSplit/>
        </w:trPr>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Promover metacognición</w:t>
            </w:r>
          </w:p>
        </w:tc>
        <w:tc>
          <w:tcPr>
            <w:tcW w:type="dxa" w:w="793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Solicitar predicción, confianza, explicación del error, comparación de métodos y plan de estudio.</w:t>
            </w:r>
          </w:p>
        </w:tc>
      </w:tr>
      <w:tr>
        <w:trPr>
          <w:cantSplit/>
        </w:trPr>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Escalar</w:t>
            </w:r>
          </w:p>
        </w:tc>
        <w:tc>
          <w:tcPr>
            <w:tcW w:type="dxa" w:w="793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Derivar al docente/tutor ante riesgo, bloqueo persistente, ambigüedad curricular o baja confianza del sistema.</w:t>
            </w:r>
          </w:p>
        </w:tc>
      </w:tr>
    </w:tbl>
    <w:p>
      <w:pPr>
        <w:keepNext w:val="0"/>
        <w:keepLines w:val="0"/>
        <w:spacing w:before="0" w:after="80" w:line="269" w:lineRule="auto"/>
      </w:pPr>
      <w:r>
        <w:t>La política puede implementarse mediante reglas, máquinas de estado, secuencias diseñadas, bandits, reinforcement learning o un LLM controlador. La opción más confiable en 2026 es híbrida: estructura externa para decisiones de alto impacto y generación flexible para realizar la intervención.</w:t>
      </w:r>
    </w:p>
    <w:p>
      <w:pPr>
        <w:keepNext w:val="0"/>
        <w:keepLines w:val="0"/>
        <w:spacing w:before="0" w:after="80" w:line="269" w:lineRule="auto"/>
      </w:pPr>
      <w:r>
        <w:t>Kestin et al. informan que el prompt no controlaba de manera suficientemente fiable una secuencia multipartes, por lo que la plataforma impuso externamente el orden [2]. Este detalle es central: la conducta pedagógica crítica no debe depender de que el modelo “recuerde” siempre la instrucción.</w:t>
      </w:r>
    </w:p>
    <w:p>
      <w:pPr>
        <w:keepNext w:val="0"/>
        <w:keepLines w:val="0"/>
        <w:spacing w:before="0" w:after="80" w:line="269" w:lineRule="auto"/>
      </w:pPr>
      <w:r>
        <w:t>Una política óptima no es la que maximiza exactitud del siguiente paso con asistencia; puede preferir una dificultad que produzca error informativo o requerir recuperación. El objetivo debe ser desempeño futuro, autonomía y retención.</w:t>
      </w:r>
    </w:p>
    <w:p>
      <w:pPr>
        <w:pStyle w:val="Heading2"/>
      </w:pPr>
      <w:r>
        <w:t>3.5 Capa 4: grounding, herramientas y verificación</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381"/>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Componente</w:t>
            </w:r>
          </w:p>
        </w:tc>
        <w:tc>
          <w:tcPr>
            <w:tcW w:type="dxa" w:w="7710"/>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Contribución</w:t>
            </w:r>
          </w:p>
        </w:tc>
      </w:tr>
      <w:tr>
        <w:trPr>
          <w:cantSplit/>
        </w:trPr>
        <w:tc>
          <w:tcPr>
            <w:tcW w:type="dxa" w:w="238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RAG curricular</w:t>
            </w:r>
          </w:p>
        </w:tc>
        <w:tc>
          <w:tcPr>
            <w:tcW w:type="dxa" w:w="7710"/>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Recupera fragmentos de syllabus, textos, notas, estándares o recursos autorizados; reduce deriva y permite citas.</w:t>
            </w:r>
          </w:p>
        </w:tc>
      </w:tr>
      <w:tr>
        <w:trPr>
          <w:cantSplit/>
        </w:trPr>
        <w:tc>
          <w:tcPr>
            <w:tcW w:type="dxa" w:w="238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Banco de ítems</w:t>
            </w:r>
          </w:p>
        </w:tc>
        <w:tc>
          <w:tcPr>
            <w:tcW w:type="dxa" w:w="7710"/>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Proporciona tareas calibradas, distractores vinculados a misconceptions y resultados comparables.</w:t>
            </w:r>
          </w:p>
        </w:tc>
      </w:tr>
      <w:tr>
        <w:trPr>
          <w:cantSplit/>
        </w:trPr>
        <w:tc>
          <w:tcPr>
            <w:tcW w:type="dxa" w:w="238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Calculadora/solver</w:t>
            </w:r>
          </w:p>
        </w:tc>
        <w:tc>
          <w:tcPr>
            <w:tcW w:type="dxa" w:w="7710"/>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Separa razonamiento lingüístico de cálculo; verifica equivalencias, unidades y pasos.</w:t>
            </w:r>
          </w:p>
        </w:tc>
      </w:tr>
      <w:tr>
        <w:trPr>
          <w:cantSplit/>
        </w:trPr>
        <w:tc>
          <w:tcPr>
            <w:tcW w:type="dxa" w:w="238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Ejecución de código</w:t>
            </w:r>
          </w:p>
        </w:tc>
        <w:tc>
          <w:tcPr>
            <w:tcW w:type="dxa" w:w="7710"/>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Prueba programas, genera tests, visualiza y comprueba resultados; requiere sandbox y límites.</w:t>
            </w:r>
          </w:p>
        </w:tc>
      </w:tr>
      <w:tr>
        <w:trPr>
          <w:cantSplit/>
        </w:trPr>
        <w:tc>
          <w:tcPr>
            <w:tcW w:type="dxa" w:w="238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Verificador factual</w:t>
            </w:r>
          </w:p>
        </w:tc>
        <w:tc>
          <w:tcPr>
            <w:tcW w:type="dxa" w:w="7710"/>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Contrasta afirmaciones con fuentes; marca incertidumbre y bloquea contenido no sustentado.</w:t>
            </w:r>
          </w:p>
        </w:tc>
      </w:tr>
      <w:tr>
        <w:trPr>
          <w:cantSplit/>
        </w:trPr>
        <w:tc>
          <w:tcPr>
            <w:tcW w:type="dxa" w:w="238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Agentes especializados</w:t>
            </w:r>
          </w:p>
        </w:tc>
        <w:tc>
          <w:tcPr>
            <w:tcW w:type="dxa" w:w="7710"/>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Router decide si invocar matemática, escritura, búsqueda, pronunciación o seguridad.</w:t>
            </w:r>
          </w:p>
        </w:tc>
      </w:tr>
    </w:tbl>
    <w:p>
      <w:pPr>
        <w:keepNext w:val="0"/>
        <w:keepLines w:val="0"/>
        <w:spacing w:before="0" w:after="80" w:line="269" w:lineRule="auto"/>
      </w:pPr>
      <w:r>
        <w:t>Khanmigo emplea un agente matemático especializado para verificar cálculos y expresiones; sus experimentos muestran que routing, concisión y pre-checks reducen latencia sin perder exactitud [13]. La lección general es que el tutor no debe pedirle al mismo modelo que comprenda, calcule, juzgue y enseñe sin instrumentos independientes.</w:t>
      </w:r>
    </w:p>
    <w:p>
      <w:pPr>
        <w:pStyle w:val="Heading2"/>
      </w:pPr>
      <w:r>
        <w:t>3.6 Capa 5: interfaz generativa y multimodal</w:t>
      </w:r>
    </w:p>
    <w:p>
      <w:pPr>
        <w:keepNext w:val="0"/>
        <w:keepLines w:val="0"/>
        <w:spacing w:before="0" w:after="80" w:line="269" w:lineRule="auto"/>
      </w:pPr>
      <w:r>
        <w:t>La interfaz permite conversaciones de explicación, role-play, feedback de escritura, práctica oral, interpretación de diagramas, generación de ejemplos y simulación. El valor distintivo de GenAI es la elasticidad: puede cambiar representación y responder a preguntas inesperadas a un costo marginal bajo.</w:t>
      </w:r>
    </w:p>
    <w:p>
      <w:pPr>
        <w:keepNext w:val="0"/>
        <w:keepLines w:val="0"/>
        <w:spacing w:before="0" w:after="80" w:line="269" w:lineRule="auto"/>
      </w:pPr>
      <w:r>
        <w:t>La multimodalidad puede ampliar acceso —voz, lectura en voz alta, descripción visual, traducción— y permitir feedback sobre pronunciación, manuscritos o experimentos. Sin embargo, la facilidad de producir material no asegura calidad, progresión ni compatibilidad con el currículo.</w:t>
      </w:r>
    </w:p>
    <w:p>
      <w:pPr>
        <w:keepNext w:val="0"/>
        <w:keepLines w:val="0"/>
        <w:spacing w:before="0" w:after="80" w:line="269" w:lineRule="auto"/>
      </w:pPr>
      <w:r>
        <w:t>La personalidad, empatía simulada y continuidad pueden apoyar persistencia, pero no deben confundirse con diagnóstico psicológico. En menores, las decisiones sobre antropomorfismo, vínculo, persuasión y límites requieren especial gobernanza.</w:t>
      </w:r>
    </w:p>
    <w:p>
      <w:pPr>
        <w:pStyle w:val="Heading2"/>
      </w:pPr>
      <w:r>
        <w:t>3.7 Capa 6: guardrails de aprendizaje y seguridad</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192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Tipo</w:t>
            </w:r>
          </w:p>
        </w:tc>
        <w:tc>
          <w:tcPr>
            <w:tcW w:type="dxa" w:w="816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Mecanismos</w:t>
            </w:r>
          </w:p>
        </w:tc>
      </w:tr>
      <w:tr>
        <w:trPr>
          <w:cantSplit/>
        </w:trPr>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Productivos</w:t>
            </w:r>
          </w:p>
        </w:tc>
        <w:tc>
          <w:tcPr>
            <w:tcW w:type="dxa" w:w="816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Intento antes de pista; pista gradual; no entregar respuesta; explicación propia; fading; pausa antes de reveal.</w:t>
            </w:r>
          </w:p>
        </w:tc>
      </w:tr>
      <w:tr>
        <w:trPr>
          <w:cantSplit/>
        </w:trPr>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Epistémicos</w:t>
            </w:r>
          </w:p>
        </w:tc>
        <w:tc>
          <w:tcPr>
            <w:tcW w:type="dxa" w:w="816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Citas, solución verificada, estimación de confianza, abstención, detección de contradicción y versionado.</w:t>
            </w:r>
          </w:p>
        </w:tc>
      </w:tr>
      <w:tr>
        <w:trPr>
          <w:cantSplit/>
        </w:trPr>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Integridad</w:t>
            </w:r>
          </w:p>
        </w:tc>
        <w:tc>
          <w:tcPr>
            <w:tcW w:type="dxa" w:w="816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Límites por tarea/curso; modos de práctica vs evaluación; trazabilidad y diseño de assessments auténticos.</w:t>
            </w:r>
          </w:p>
        </w:tc>
      </w:tr>
      <w:tr>
        <w:trPr>
          <w:cantSplit/>
        </w:trPr>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Protección</w:t>
            </w:r>
          </w:p>
        </w:tc>
        <w:tc>
          <w:tcPr>
            <w:tcW w:type="dxa" w:w="816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Privacidad, menores, contenido sensible, sesgo, accesibilidad, prevención de manipulación y escalamiento humano.</w:t>
            </w:r>
          </w:p>
        </w:tc>
      </w:tr>
    </w:tbl>
    <w:p>
      <w:pPr>
        <w:keepNext w:val="0"/>
        <w:keepLines w:val="0"/>
        <w:spacing w:before="0" w:after="80" w:line="269" w:lineRule="auto"/>
      </w:pPr>
      <w:r>
        <w:t>Bastani et al. proporcionan el contraste más limpio: el sistema irrestricto facilitó una “muleta”; el tutor con solución incorporada e instrucciones de dar pistas mitigó el daño [3]. Guardrails no son censura periférica: son parte de la función de producción de aprendizaje.</w:t>
      </w:r>
    </w:p>
    <w:p>
      <w:pPr>
        <w:pStyle w:val="Heading2"/>
      </w:pPr>
      <w:r>
        <w:t>3.8 Capas 7 y 8: orquestación y medición</w:t>
      </w:r>
    </w:p>
    <w:p>
      <w:pPr>
        <w:keepNext w:val="0"/>
        <w:keepLines w:val="0"/>
        <w:spacing w:before="0" w:after="80" w:line="269" w:lineRule="auto"/>
      </w:pPr>
      <w:r>
        <w:t>La orquestación define quién fija objetivos, cuándo se usa la IA, qué ve el docente, cómo se forman grupos, qué incidentes escalan y cómo se integra al LMS. En Sierra Leona, los docentes diseñaron objetivos, facilitaron pares y consolidaron la clase; en Nigeria, el programa fue after-school, con profesores y guía de prompting [4,5].</w:t>
      </w:r>
    </w:p>
    <w:p>
      <w:pPr>
        <w:keepNext w:val="0"/>
        <w:keepLines w:val="0"/>
        <w:spacing w:before="0" w:after="80" w:line="269" w:lineRule="auto"/>
      </w:pPr>
      <w:r>
        <w:t>Los paneles útiles no solo cuentan mensajes. Deben mostrar dominio, misconceptions, uso de pistas, dependencia, temas no cubiertos, alumnos sin uso, evidencia que sustenta la inferencia y acciones sugeridas. El docente debe poder corregir el estado o bloquear recomendaciones.</w:t>
      </w:r>
    </w:p>
    <w:p>
      <w:pPr>
        <w:keepNext w:val="0"/>
        <w:keepLines w:val="0"/>
        <w:spacing w:before="0" w:after="80" w:line="269" w:lineRule="auto"/>
      </w:pPr>
      <w:r>
        <w:t>La medición debe alimentar tanto la evaluación causal como la mejora del producto. OpenAI propone combinar instrucciones de sistema, clasificadores de interacciones, graders de calidad, seguimiento longitudinal y medidas cognitivas/metacognitivas [14]. La arquitectura es plausible; su validez depende de calibrarla contra outcomes humanos e independientes.</w:t>
      </w:r>
    </w:p>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4. Qué hacen pedagógicamente</w:t>
      </w:r>
    </w:p>
    <w:p>
      <w:pPr>
        <w:pStyle w:val="Deck"/>
        <w:keepNext/>
        <w:keepLines w:val="0"/>
        <w:spacing w:before="0" w:after="100" w:line="259" w:lineRule="auto"/>
      </w:pPr>
      <w:r>
        <w:t>Una taxonomía operacional de las conductas que un sistema puede ejecutar y de la evidencia que debería demostrar.</w:t>
      </w:r>
    </w:p>
    <w:tbl>
      <w:tblPr>
        <w:tblW w:type="auto" w:w="0"/>
        <w:jc w:val="center"/>
        <w:tblLayout w:type="fixed"/>
        <w:tblLook w:firstColumn="1" w:firstRow="1" w:lastColumn="0" w:lastRow="0" w:noHBand="0" w:noVBand="1" w:val="04A0"/>
      </w:tblPr>
      <w:tblGrid>
        <w:gridCol w:w="2523"/>
        <w:gridCol w:w="2523"/>
        <w:gridCol w:w="2523"/>
        <w:gridCol w:w="2523"/>
      </w:tblGrid>
      <w:tr>
        <w:trPr>
          <w:tblHeader w:val="true"/>
        </w:trPr>
        <w:tc>
          <w:tcPr>
            <w:tcW w:type="dxa" w:w="198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Conducta</w:t>
            </w:r>
          </w:p>
        </w:tc>
        <w:tc>
          <w:tcPr>
            <w:tcW w:type="dxa" w:w="3061"/>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Implementación</w:t>
            </w:r>
          </w:p>
        </w:tc>
        <w:tc>
          <w:tcPr>
            <w:tcW w:type="dxa" w:w="311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Promesa y riesgo</w:t>
            </w:r>
          </w:p>
        </w:tc>
        <w:tc>
          <w:tcPr>
            <w:tcW w:type="dxa" w:w="192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Métrica adecuada</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Tutoría socrática</w:t>
            </w:r>
          </w:p>
        </w:tc>
        <w:tc>
          <w:tcPr>
            <w:tcW w:type="dxa" w:w="306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Pregunta antes de explicar; solicita evidencia; confronta contradicciones.</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Puede activar razonamiento; puede convertirse en interrogatorio ritual o preguntas obvias.</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Calidad de pregunta + desempeño posterior.</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Pistas graduadas</w:t>
            </w:r>
          </w:p>
        </w:tc>
        <w:tc>
          <w:tcPr>
            <w:tcW w:type="dxa" w:w="306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Hint ladder desde concepto a paso parcial; reveal tardío.</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Preserva esfuerzo; requiere diseño por dominio.</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Uso de pistas, éxito sin pista siguiente, retención.</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Worked examples</w:t>
            </w:r>
          </w:p>
        </w:tc>
        <w:tc>
          <w:tcPr>
            <w:tcW w:type="dxa" w:w="306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Ejemplo completo o parcialmente resuelto; comparación de soluciones.</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Muy eficaz para novatos; debe alternar con práctica y fading.</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Transferencia a problemas isomorfos/nuevos.</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Feedback inmediato</w:t>
            </w:r>
          </w:p>
        </w:tc>
        <w:tc>
          <w:tcPr>
            <w:tcW w:type="dxa" w:w="306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Señala error, localiza paso y explica por qué.</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Evita consolidar errores; demasiado feedback reduce autorregulación.</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Corrección del error y desempeño demorado.</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Retrieval practice</w:t>
            </w:r>
          </w:p>
        </w:tc>
        <w:tc>
          <w:tcPr>
            <w:tcW w:type="dxa" w:w="306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Preguntas sin apoyo, quizzes, recuerdo libre.</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Mejora retención; la IA debe tolerar silencio y no rescatar pronto.</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Retención demorada.</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Espaciado e intercalado</w:t>
            </w:r>
          </w:p>
        </w:tc>
        <w:tc>
          <w:tcPr>
            <w:tcW w:type="dxa" w:w="306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Revisita conceptos según olvido; mezcla tipos de problema.</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Exige memoria longitudinal y scheduler.</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Curva de retención y transferencia.</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Diagnóstico de misconception</w:t>
            </w:r>
          </w:p>
        </w:tc>
        <w:tc>
          <w:tcPr>
            <w:tcW w:type="dxa" w:w="306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Distingue error conceptual, procedimental, lectura o descuido.</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Permite intervención precisa; inferencias pueden ser frágiles.</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Validez diagnóstica contra experto.</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Autoexplicación</w:t>
            </w:r>
          </w:p>
        </w:tc>
        <w:tc>
          <w:tcPr>
            <w:tcW w:type="dxa" w:w="306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Pide justificar, predecir, comparar y explicar el error.</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Promueve elaboración; respuestas superficiales deben detectarse.</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Calidad de explicación + gains.</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Mastery learning</w:t>
            </w:r>
          </w:p>
        </w:tc>
        <w:tc>
          <w:tcPr>
            <w:tcW w:type="dxa" w:w="306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Avanza cuando se alcanza criterio; reenseña prerrequisitos.</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Adecuado para heterogeneidad; riesgo de encierro o baja ambición.</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Tiempo a dominio + cobertura + outcome común.</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Role-play/simulación</w:t>
            </w:r>
          </w:p>
        </w:tc>
        <w:tc>
          <w:tcPr>
            <w:tcW w:type="dxa" w:w="306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Conversación en lengua, paciente, negociación, debate o laboratorio.</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Práctica auténtica; evaluación y seguridad más complejas.</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Performance humana o rúbrica externa.</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Metacognición</w:t>
            </w:r>
          </w:p>
        </w:tc>
        <w:tc>
          <w:tcPr>
            <w:tcW w:type="dxa" w:w="306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Planifica, calibra confianza, monitorea comprensión y decide estrategia.</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Clave para autonomía; todavía poco medida.</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Calibración, persistencia, transferencia futura.</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Apoyo docente</w:t>
            </w:r>
          </w:p>
        </w:tc>
        <w:tc>
          <w:tcPr>
            <w:tcW w:type="dxa" w:w="306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Planifica, diferencia, crea rúbricas, analiza errores, recomienda grupos.</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Reduce carga o eleva calidad; también puede automatizar juicio débil.</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Tiempo, calidad de materiales y outcome del alumno.</w:t>
            </w:r>
          </w:p>
        </w:tc>
      </w:tr>
    </w:tbl>
    <w:p>
      <w:pPr>
        <w:pStyle w:val="Heading2"/>
      </w:pPr>
      <w:r>
        <w:t>4.1 La distinción entre scaffolding y answer delivery</w:t>
      </w:r>
    </w:p>
    <w:p>
      <w:pPr>
        <w:keepNext w:val="0"/>
        <w:keepLines w:val="0"/>
        <w:spacing w:before="0" w:after="80" w:line="269" w:lineRule="auto"/>
      </w:pPr>
      <w:r>
        <w:t>El sistema debe preservar la parte del problema que constituye el aprendizaje. En matemática, puede explicar el concepto o señalar el paso incorrecto sin completar la operación. En escritura, puede preguntar por la tesis y ofrecer una estructura sin redactar el argumento evaluado. En programación, puede crear tests, localizar el bug o explicar el stack trace sin reemplazar la implementación completa. La frontera depende del objetivo, del nivel y de si se trata de práctica o evaluación.</w:t>
      </w:r>
    </w:p>
    <w:p>
      <w:pPr>
        <w:pStyle w:val="Heading2"/>
      </w:pPr>
      <w:r>
        <w:t>4.2 Productive struggle como variable de diseño</w:t>
      </w:r>
    </w:p>
    <w:p>
      <w:pPr>
        <w:keepNext w:val="0"/>
        <w:keepLines w:val="0"/>
        <w:spacing w:before="0" w:after="80" w:line="269" w:lineRule="auto"/>
      </w:pPr>
      <w:r>
        <w:t>La fricción no es un defecto si produce recuperación, generación, comparación o corrección. Un tutor debe decidir qué esfuerzo es productivo y qué bloqueo es ruido. Esto requiere indicadores de tiempo, intentos, patrón de error, confianza y progreso; no una regla fija de “nunca dar respuestas”. La política óptima puede revelar un paso para liberar capacidad cognitiva y conservar el núcleo conceptual.</w:t>
      </w:r>
    </w:p>
    <w:p>
      <w:pPr>
        <w:pStyle w:val="Heading2"/>
      </w:pPr>
      <w:r>
        <w:t>4.3 Personalización: cuatro niveles</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1814"/>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Nivel</w:t>
            </w:r>
          </w:p>
        </w:tc>
        <w:tc>
          <w:tcPr>
            <w:tcW w:type="dxa" w:w="4195"/>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Qué cambia</w:t>
            </w:r>
          </w:p>
        </w:tc>
        <w:tc>
          <w:tcPr>
            <w:tcW w:type="dxa" w:w="4082"/>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Estado del campo</w:t>
            </w:r>
          </w:p>
        </w:tc>
      </w:tr>
      <w:tr>
        <w:trPr>
          <w:cantSplit/>
        </w:trPr>
        <w:tc>
          <w:tcPr>
            <w:tcW w:type="dxa" w:w="181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I. Presentación</w:t>
            </w:r>
          </w:p>
        </w:tc>
        <w:tc>
          <w:tcPr>
            <w:tcW w:type="dxa" w:w="419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Idioma, tono, longitud, vocabulario, formato y accesibilidad.</w:t>
            </w:r>
          </w:p>
        </w:tc>
        <w:tc>
          <w:tcPr>
            <w:tcW w:type="dxa" w:w="408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Común en cualquier LLM; débil evidencia de que por sí sola mejore aprendizaje.</w:t>
            </w:r>
          </w:p>
        </w:tc>
      </w:tr>
      <w:tr>
        <w:trPr>
          <w:cantSplit/>
        </w:trPr>
        <w:tc>
          <w:tcPr>
            <w:tcW w:type="dxa" w:w="181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II. Interacción</w:t>
            </w:r>
          </w:p>
        </w:tc>
        <w:tc>
          <w:tcPr>
            <w:tcW w:type="dxa" w:w="419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Ejemplo, pregunta, pista, modalidad y feedback según el turno.</w:t>
            </w:r>
          </w:p>
        </w:tc>
        <w:tc>
          <w:tcPr>
            <w:tcW w:type="dxa" w:w="408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Útil; puede basarse en inferencia local sin memoria de dominio.</w:t>
            </w:r>
          </w:p>
        </w:tc>
      </w:tr>
      <w:tr>
        <w:trPr>
          <w:cantSplit/>
        </w:trPr>
        <w:tc>
          <w:tcPr>
            <w:tcW w:type="dxa" w:w="181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III. Decisión pedagógica</w:t>
            </w:r>
          </w:p>
        </w:tc>
        <w:tc>
          <w:tcPr>
            <w:tcW w:type="dxa" w:w="419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Próxima acción y dificultad basadas en mastery, error y esfuerzo.</w:t>
            </w:r>
          </w:p>
        </w:tc>
        <w:tc>
          <w:tcPr>
            <w:tcW w:type="dxa" w:w="408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Requiere learner model + policy; es el núcleo adaptativo.</w:t>
            </w:r>
          </w:p>
        </w:tc>
      </w:tr>
      <w:tr>
        <w:trPr>
          <w:cantSplit/>
        </w:trPr>
        <w:tc>
          <w:tcPr>
            <w:tcW w:type="dxa" w:w="181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IV. Trayectoria</w:t>
            </w:r>
          </w:p>
        </w:tc>
        <w:tc>
          <w:tcPr>
            <w:tcW w:type="dxa" w:w="419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Secuencia curricular, prerrequisitos, olvido, objetivos y transferencia entre sesiones.</w:t>
            </w:r>
          </w:p>
        </w:tc>
        <w:tc>
          <w:tcPr>
            <w:tcW w:type="dxa" w:w="408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Difícil; exige persistencia, evaluación y coordinación institucional.</w:t>
            </w:r>
          </w:p>
        </w:tc>
      </w:tr>
    </w:tbl>
    <w:tbl>
      <w:tblPr>
        <w:tblW w:type="auto" w:w="0"/>
        <w:jc w:val="center"/>
        <w:tblLayout w:type="fixed"/>
        <w:tblLook w:firstColumn="1" w:firstRow="1" w:lastColumn="0" w:lastRow="0" w:noHBand="0" w:noVBand="1" w:val="04A0"/>
      </w:tblPr>
      <w:tblGrid>
        <w:gridCol w:w="5046"/>
        <w:gridCol w:w="5046"/>
      </w:tblGrid>
      <w:tr>
        <w:trPr>
          <w:cantSplit/>
        </w:trPr>
        <w:tc>
          <w:tcPr>
            <w:tcW w:type="dxa" w:w="170"/>
            <w:tcBorders>
              <w:top w:val="nil"/>
              <w:left w:val="nil"/>
              <w:bottom w:val="nil"/>
              <w:right w:val="nil"/>
            </w:tcBorders>
            <w:shd w:fill="A23B3B" w:val="clear"/>
            <w:tcMar>
              <w:top w:w="40" w:type="dxa"/>
              <w:start w:w="15" w:type="dxa"/>
              <w:bottom w:w="40" w:type="dxa"/>
              <w:end w:w="15" w:type="dxa"/>
            </w:tcMar>
          </w:tcPr>
          <w:p/>
        </w:tc>
        <w:tc>
          <w:tcPr>
            <w:tcW w:type="dxa" w:w="9184"/>
            <w:tcBorders>
              <w:top w:val="nil"/>
              <w:left w:val="nil"/>
              <w:bottom w:val="nil"/>
              <w:right w:val="nil"/>
            </w:tcBorders>
            <w:shd w:fill="F7E6E4" w:val="clear"/>
            <w:tcMar>
              <w:top w:w="80" w:type="dxa"/>
              <w:start w:w="120" w:type="dxa"/>
              <w:bottom w:w="80" w:type="dxa"/>
              <w:end w:w="120" w:type="dxa"/>
            </w:tcMar>
          </w:tcPr>
          <w:p>
            <w:pPr>
              <w:keepNext w:val="0"/>
              <w:keepLines w:val="0"/>
              <w:spacing w:before="0" w:after="0" w:line="259" w:lineRule="auto"/>
            </w:pPr>
            <w:r>
              <w:rPr>
                <w:rFonts w:ascii="Noto Sans" w:hAnsi="Noto Sans" w:eastAsia="Noto Sans"/>
                <w:b/>
                <w:color w:val="18324B"/>
                <w:sz w:val="18"/>
              </w:rPr>
              <w:t>Personalización falsa.</w:t>
            </w:r>
            <w:r>
              <w:t xml:space="preserve">  </w:t>
            </w:r>
            <w:r>
              <w:rPr>
                <w:rFonts w:ascii="Noto Sans" w:hAnsi="Noto Sans" w:eastAsia="Noto Sans"/>
                <w:color w:val="263238"/>
                <w:sz w:val="18"/>
              </w:rPr>
              <w:t>Una respuesta que menciona el nombre del alumno, adopta un tono amistoso o reformula el mismo contenido no demuestra adaptación cognitiva. La pregunta auditora es: ¿qué estado cambió, con qué evidencia y qué decisión distinta produjo?</w:t>
            </w:r>
          </w:p>
        </w:tc>
      </w:tr>
    </w:tbl>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5. Panorama de sistemas y productos</w:t>
      </w:r>
    </w:p>
    <w:p>
      <w:pPr>
        <w:pStyle w:val="Deck"/>
        <w:keepNext/>
        <w:keepLines w:val="0"/>
        <w:spacing w:before="0" w:after="100" w:line="259" w:lineRule="auto"/>
      </w:pPr>
      <w:r>
        <w:t>Qué ofrecen las plataformas más relevantes y dónde termina la evidencia pública.</w:t>
      </w:r>
    </w:p>
    <w:p>
      <w:pPr>
        <w:pStyle w:val="Heading2"/>
      </w:pPr>
      <w:r>
        <w:t>5.1 Tutores conversacionales de propósito amplio</w:t>
      </w:r>
    </w:p>
    <w:tbl>
      <w:tblPr>
        <w:tblW w:type="auto" w:w="0"/>
        <w:jc w:val="center"/>
        <w:tblLayout w:type="fixed"/>
        <w:tblLook w:firstColumn="1" w:firstRow="1" w:lastColumn="0" w:lastRow="0" w:noHBand="0" w:noVBand="1" w:val="04A0"/>
      </w:tblPr>
      <w:tblGrid>
        <w:gridCol w:w="2018"/>
        <w:gridCol w:w="2018"/>
        <w:gridCol w:w="2018"/>
        <w:gridCol w:w="2018"/>
        <w:gridCol w:w="2018"/>
      </w:tblGrid>
      <w:tr>
        <w:trPr>
          <w:tblHeader w:val="true"/>
        </w:trPr>
        <w:tc>
          <w:tcPr>
            <w:tcW w:type="dxa" w:w="1701"/>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3"/>
              </w:rPr>
              <w:t>Sistema</w:t>
            </w:r>
          </w:p>
        </w:tc>
        <w:tc>
          <w:tcPr>
            <w:tcW w:type="dxa" w:w="192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3"/>
              </w:rPr>
              <w:t>Contexto</w:t>
            </w:r>
          </w:p>
        </w:tc>
        <w:tc>
          <w:tcPr>
            <w:tcW w:type="dxa" w:w="2721"/>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3"/>
              </w:rPr>
              <w:t>Arquitectura visible</w:t>
            </w:r>
          </w:p>
        </w:tc>
        <w:tc>
          <w:tcPr>
            <w:tcW w:type="dxa" w:w="226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3"/>
              </w:rPr>
              <w:t>Evidencia pública</w:t>
            </w:r>
          </w:p>
        </w:tc>
        <w:tc>
          <w:tcPr>
            <w:tcW w:type="dxa" w:w="147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3"/>
              </w:rPr>
              <w:t>Lectura</w:t>
            </w:r>
          </w:p>
        </w:tc>
      </w:tr>
      <w:tr>
        <w:trPr>
          <w:cantSplit/>
        </w:trPr>
        <w:tc>
          <w:tcPr>
            <w:tcW w:type="dxa" w:w="170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Khanmigo</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Estudiante y docente; integrado a ejercicios de Khan Academy.</w:t>
            </w:r>
          </w:p>
        </w:tc>
        <w:tc>
          <w:tcPr>
            <w:tcW w:type="dxa" w:w="272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Problema actual, historial reciente, skill/prerequisite signals, agente matemático, guías de tutoría y paneles.</w:t>
            </w:r>
          </w:p>
        </w:tc>
        <w:tc>
          <w:tcPr>
            <w:tcW w:type="dxa" w:w="226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A/B internos de latencia, engagement y next-item correctness; no equivale a RCT externo de retención.</w:t>
            </w:r>
          </w:p>
        </w:tc>
        <w:tc>
          <w:tcPr>
            <w:tcW w:type="dxa" w:w="147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Alta integración curricular; producto maduro.</w:t>
            </w:r>
          </w:p>
        </w:tc>
      </w:tr>
      <w:tr>
        <w:trPr>
          <w:cantSplit/>
        </w:trPr>
        <w:tc>
          <w:tcPr>
            <w:tcW w:type="dxa" w:w="170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ChatGPT Study Mode</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Estudio general y universitario; cualquier materia/modelo disponible.</w:t>
            </w:r>
          </w:p>
        </w:tc>
        <w:tc>
          <w:tcPr>
            <w:tcW w:type="dxa" w:w="272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Custom system instructions, preguntas interactivas, scaffolding, checks, archivos y multimodalidad.</w:t>
            </w:r>
          </w:p>
        </w:tc>
        <w:tc>
          <w:tcPr>
            <w:tcW w:type="dxa" w:w="226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RCT temprano &gt;300: microeconomía ≈15% superior; neurociencia positivo no significativo; análisis en curso.</w:t>
            </w:r>
          </w:p>
        </w:tc>
        <w:tc>
          <w:tcPr>
            <w:tcW w:type="dxa" w:w="147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Flexibilidad máxima; learner model longitudinal todavía emergente.</w:t>
            </w:r>
          </w:p>
        </w:tc>
      </w:tr>
      <w:tr>
        <w:trPr>
          <w:cantSplit/>
        </w:trPr>
        <w:tc>
          <w:tcPr>
            <w:tcW w:type="dxa" w:w="170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Gemini Guided Learning / LearnLM</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Estudio general; despliegues escolares y Classroom.</w:t>
            </w:r>
          </w:p>
        </w:tc>
        <w:tc>
          <w:tcPr>
            <w:tcW w:type="dxa" w:w="272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Modelo ajustado para pedagogía, probing, explicación paso a paso, multimodalidad y grounding.</w:t>
            </w:r>
          </w:p>
        </w:tc>
        <w:tc>
          <w:tcPr>
            <w:tcW w:type="dxa" w:w="226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Sierra Leona +0.258 DE; Eedi exploratorio; benchmarks de preferencia pedagógica.</w:t>
            </w:r>
          </w:p>
        </w:tc>
        <w:tc>
          <w:tcPr>
            <w:tcW w:type="dxa" w:w="147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Mejor evidencia reciente, pero intervenciones compuestas/proveedor asociado.</w:t>
            </w:r>
          </w:p>
        </w:tc>
      </w:tr>
      <w:tr>
        <w:trPr>
          <w:cantSplit/>
        </w:trPr>
        <w:tc>
          <w:tcPr>
            <w:tcW w:type="dxa" w:w="170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Claude Learning Mode</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Educación superior; Projects e integraciones.</w:t>
            </w:r>
          </w:p>
        </w:tc>
        <w:tc>
          <w:tcPr>
            <w:tcW w:type="dxa" w:w="272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Guía en vez de respuesta, preguntas socráticas, conceptos nucleares, plantillas y contexto del proyecto.</w:t>
            </w:r>
          </w:p>
        </w:tc>
        <w:tc>
          <w:tcPr>
            <w:tcW w:type="dxa" w:w="226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Reportes de uso de estudiantes/docentes; no RCT público comparable.</w:t>
            </w:r>
          </w:p>
        </w:tc>
        <w:tc>
          <w:tcPr>
            <w:tcW w:type="dxa" w:w="147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Buena interfaz de trabajo intelectual; eficacia de aprendizaje no establecida.</w:t>
            </w:r>
          </w:p>
        </w:tc>
      </w:tr>
      <w:tr>
        <w:trPr>
          <w:cantSplit/>
        </w:trPr>
        <w:tc>
          <w:tcPr>
            <w:tcW w:type="dxa" w:w="170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Coursera Coach y similares</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Aprendizaje dentro de cursos/plataformas.</w:t>
            </w:r>
          </w:p>
        </w:tc>
        <w:tc>
          <w:tcPr>
            <w:tcW w:type="dxa" w:w="272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Chat grounded en materiales del curso, explicación, práctica y traducción.</w:t>
            </w:r>
          </w:p>
        </w:tc>
        <w:tc>
          <w:tcPr>
            <w:tcW w:type="dxa" w:w="226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Encuestas/telemetría predominantemente.</w:t>
            </w:r>
          </w:p>
        </w:tc>
        <w:tc>
          <w:tcPr>
            <w:tcW w:type="dxa" w:w="147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Grounding reduce deriva; evidencia causal limitada.</w:t>
            </w:r>
          </w:p>
        </w:tc>
      </w:tr>
    </w:tbl>
    <w:p>
      <w:pPr>
        <w:pStyle w:val="Heading2"/>
      </w:pPr>
      <w:r>
        <w:t>5.2 Sistemas adaptativos estructurados</w:t>
      </w:r>
    </w:p>
    <w:tbl>
      <w:tblPr>
        <w:tblW w:type="auto" w:w="0"/>
        <w:jc w:val="center"/>
        <w:tblLayout w:type="fixed"/>
        <w:tblLook w:firstColumn="1" w:firstRow="1" w:lastColumn="0" w:lastRow="0" w:noHBand="0" w:noVBand="1" w:val="04A0"/>
      </w:tblPr>
      <w:tblGrid>
        <w:gridCol w:w="2523"/>
        <w:gridCol w:w="2523"/>
        <w:gridCol w:w="2523"/>
        <w:gridCol w:w="2523"/>
      </w:tblGrid>
      <w:tr>
        <w:trPr>
          <w:tblHeader w:val="true"/>
        </w:trPr>
        <w:tc>
          <w:tcPr>
            <w:tcW w:type="dxa" w:w="1701"/>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Sistema</w:t>
            </w:r>
          </w:p>
        </w:tc>
        <w:tc>
          <w:tcPr>
            <w:tcW w:type="dxa" w:w="3855"/>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Núcleo técnico</w:t>
            </w:r>
          </w:p>
        </w:tc>
        <w:tc>
          <w:tcPr>
            <w:tcW w:type="dxa" w:w="1871"/>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Dominio</w:t>
            </w:r>
          </w:p>
        </w:tc>
        <w:tc>
          <w:tcPr>
            <w:tcW w:type="dxa" w:w="2665"/>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Evidencia/implicación</w:t>
            </w:r>
          </w:p>
        </w:tc>
      </w:tr>
      <w:tr>
        <w:trPr>
          <w:cantSplit/>
        </w:trPr>
        <w:tc>
          <w:tcPr>
            <w:tcW w:type="dxa" w:w="170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MATHia</w:t>
            </w:r>
          </w:p>
        </w:tc>
        <w:tc>
          <w:tcPr>
            <w:tcW w:type="dxa" w:w="385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Modelo cognitivo de habilidades; seguimiento paso a paso; feedback y hints contextuales; Skillometer; LiveLab docente.</w:t>
            </w:r>
          </w:p>
        </w:tc>
        <w:tc>
          <w:tcPr>
            <w:tcW w:type="dxa" w:w="187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Matemática escolar.</w:t>
            </w:r>
          </w:p>
        </w:tc>
        <w:tc>
          <w:tcPr>
            <w:tcW w:type="dxa" w:w="266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Tradición ITS y estudios variados; la ventaja es precisión de dominio, no conversación abierta.</w:t>
            </w:r>
          </w:p>
        </w:tc>
      </w:tr>
      <w:tr>
        <w:trPr>
          <w:cantSplit/>
        </w:trPr>
        <w:tc>
          <w:tcPr>
            <w:tcW w:type="dxa" w:w="170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ALEKS</w:t>
            </w:r>
          </w:p>
        </w:tc>
        <w:tc>
          <w:tcPr>
            <w:tcW w:type="dxa" w:w="385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Knowledge Space Theory; assessment adaptativo; estado de conocimientos; topics ready-to-learn; reassessment.</w:t>
            </w:r>
          </w:p>
        </w:tc>
        <w:tc>
          <w:tcPr>
            <w:tcW w:type="dxa" w:w="187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Matemática, estadística, química y otros.</w:t>
            </w:r>
          </w:p>
        </w:tc>
        <w:tc>
          <w:tcPr>
            <w:tcW w:type="dxa" w:w="266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Personalización curricular profunda; interfaz menos generativa.</w:t>
            </w:r>
          </w:p>
        </w:tc>
      </w:tr>
      <w:tr>
        <w:trPr>
          <w:cantSplit/>
        </w:trPr>
        <w:tc>
          <w:tcPr>
            <w:tcW w:type="dxa" w:w="170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ASSISTments</w:t>
            </w:r>
          </w:p>
        </w:tc>
        <w:tc>
          <w:tcPr>
            <w:tcW w:type="dxa" w:w="385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Problemas curriculares, feedback/pistas, mastery streaks, espaciado y reportes de errores al docente.</w:t>
            </w:r>
          </w:p>
        </w:tc>
        <w:tc>
          <w:tcPr>
            <w:tcW w:type="dxa" w:w="187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Matemática K-12.</w:t>
            </w:r>
          </w:p>
        </w:tc>
        <w:tc>
          <w:tcPr>
            <w:tcW w:type="dxa" w:w="266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RCT 2,850 alumnos: ≈0.18 DE; evidencia de que software + uso docente puede funcionar [11].</w:t>
            </w:r>
          </w:p>
        </w:tc>
      </w:tr>
      <w:tr>
        <w:trPr>
          <w:cantSplit/>
        </w:trPr>
        <w:tc>
          <w:tcPr>
            <w:tcW w:type="dxa" w:w="170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Mindspark</w:t>
            </w:r>
          </w:p>
        </w:tc>
        <w:tc>
          <w:tcPr>
            <w:tcW w:type="dxa" w:w="385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Diagnóstico del nivel real, contenido adaptativo y ruta individual; puede operar con brechas de grado.</w:t>
            </w:r>
          </w:p>
        </w:tc>
        <w:tc>
          <w:tcPr>
            <w:tcW w:type="dxa" w:w="187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Matemática e idioma.</w:t>
            </w:r>
          </w:p>
        </w:tc>
        <w:tc>
          <w:tcPr>
            <w:tcW w:type="dxa" w:w="266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3"/>
              </w:rPr>
              <w:t>Lottery RCT: +0.37 DE matemática, +0.23 DE hindi en 4.5 meses [10].</w:t>
            </w:r>
          </w:p>
        </w:tc>
      </w:tr>
    </w:tbl>
    <w:p>
      <w:pPr>
        <w:keepNext w:val="0"/>
        <w:keepLines w:val="0"/>
        <w:spacing w:before="0" w:after="80" w:line="269" w:lineRule="auto"/>
      </w:pPr>
      <w:r>
        <w:t>Estos sistemas son el benchmark correcto para GenAI. El metaanálisis 2026 no encuentra una superioridad estadísticamente distinguible de la nueva generación [1]. La oportunidad no es reemplazarlos, sino combinar su learner model, secuenciación y contenido calibrado con la flexibilidad conversacional y multimodal de los LLM.</w:t>
      </w:r>
    </w:p>
    <w:p>
      <w:pPr>
        <w:pStyle w:val="Heading2"/>
      </w:pPr>
      <w:r>
        <w:t>5.3 Híbridos y copilotos</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15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Sistema/familia</w:t>
            </w:r>
          </w:p>
        </w:tc>
        <w:tc>
          <w:tcPr>
            <w:tcW w:type="dxa" w:w="4252"/>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Configuración</w:t>
            </w:r>
          </w:p>
        </w:tc>
        <w:tc>
          <w:tcPr>
            <w:tcW w:type="dxa" w:w="3685"/>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Lectura</w:t>
            </w:r>
          </w:p>
        </w:tc>
      </w:tr>
      <w:tr>
        <w:trPr>
          <w:cantSplit/>
        </w:trPr>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Eedi/LearnLM</w:t>
            </w:r>
          </w:p>
        </w:tc>
        <w:tc>
          <w:tcPr>
            <w:tcW w:type="dxa" w:w="425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Diagnóstico e ítems de Eedi + chat generativo; mensajes revisados por experto.</w:t>
            </w:r>
          </w:p>
        </w:tc>
        <w:tc>
          <w:tcPr>
            <w:tcW w:type="dxa" w:w="368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La estructura fija el objetivo; el LLM realiza tutoría. Buen modelo de “constrained AI”.</w:t>
            </w:r>
          </w:p>
        </w:tc>
      </w:tr>
      <w:tr>
        <w:trPr>
          <w:cantSplit/>
        </w:trPr>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Duolingo</w:t>
            </w:r>
          </w:p>
        </w:tc>
        <w:tc>
          <w:tcPr>
            <w:tcW w:type="dxa" w:w="425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Birdbrain/ruta adaptativa + Roleplay y Explain My Answer generativos.</w:t>
            </w:r>
          </w:p>
        </w:tc>
        <w:tc>
          <w:tcPr>
            <w:tcW w:type="dxa" w:w="368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Generación dentro de una secuencia y un dominio; falta aislar causalmente la capa GenAI.</w:t>
            </w:r>
          </w:p>
        </w:tc>
      </w:tr>
      <w:tr>
        <w:trPr>
          <w:cantSplit/>
        </w:trPr>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Tutor CoPilot</w:t>
            </w:r>
          </w:p>
        </w:tc>
        <w:tc>
          <w:tcPr>
            <w:tcW w:type="dxa" w:w="425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Modelo de expert reasoning ofrece sugerencias en tiempo real al tutor; este edita o decide.</w:t>
            </w:r>
          </w:p>
        </w:tc>
        <w:tc>
          <w:tcPr>
            <w:tcW w:type="dxa" w:w="368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IA escala expertise sin eliminar al humano; +4 pp de dominio y mayor efecto con tutores débiles [6].</w:t>
            </w:r>
          </w:p>
        </w:tc>
      </w:tr>
      <w:tr>
        <w:trPr>
          <w:cantSplit/>
        </w:trPr>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Herramientas docentes</w:t>
            </w:r>
          </w:p>
        </w:tc>
        <w:tc>
          <w:tcPr>
            <w:tcW w:type="dxa" w:w="425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Planificación, diferenciación, rúbricas, feedback, análisis de clase y materiales.</w:t>
            </w:r>
          </w:p>
        </w:tc>
        <w:tc>
          <w:tcPr>
            <w:tcW w:type="dxa" w:w="368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Pueden reducir carga o mejorar calidad; deben medirse tiempo, calidad y downstream learning, no cantidad generada.</w:t>
            </w:r>
          </w:p>
        </w:tc>
      </w:tr>
      <w:tr>
        <w:trPr>
          <w:cantSplit/>
        </w:trPr>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SchoolAI/MagicSchool/rooms</w:t>
            </w:r>
          </w:p>
        </w:tc>
        <w:tc>
          <w:tcPr>
            <w:tcW w:type="dxa" w:w="425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Experiencias controladas por docente, agentes/espacios, parámetros y monitoreo.</w:t>
            </w:r>
          </w:p>
        </w:tc>
        <w:tc>
          <w:tcPr>
            <w:tcW w:type="dxa" w:w="368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Orquestación prometedora; evidencia causal pública todavía escasa.</w:t>
            </w:r>
          </w:p>
        </w:tc>
      </w:tr>
    </w:tbl>
    <w:p>
      <w:pPr>
        <w:pStyle w:val="Heading2"/>
      </w:pPr>
      <w:r>
        <w:t>5.4 Baja conectividad y contextos de recursos limitados</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Rori opera por WhatsApp con microlecciones, práctica, pistas y soluciones; el estudio en Ghana reporta ≈0.37 DE con dos sesiones de 30 minutos por semana durante ocho meses, además de instrucción regular [9]. La asignación a nivel escolar y el carácter preliminar exigen cautela.</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Nigeria usó Microsoft Copilot/GPT-4 en un programa after-school de seis semanas, con trabajo en pares, docentes y guía. El resultado compuesto fue ≈+0.31 DE y el de inglés ≈+0.24 DE [4]. La intervención demuestra viabilidad y efecto del paquete en escuelas públicas, no una tutoría autónoma uno-a-uno.</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Sierra Leona desplegó Guided Learning en clases de matemática dirigidas por docentes: 1,763 estudiantes, 12 escuelas, ocho semanas y +0.258 DE [5]. Los logs muestran interacción mayormente orientada a comprensión, pero el beneficio fue mayor para alumnos con línea base alta, una alerta de equidad.</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La interfaz móvil o conversacional reduce requisitos de ancho de banda, pero no elimina dispositivos compartidos, electricidad, datos, capacitación, soporte, lengua local, alineamiento curricular ni calidad de facilitación. La infraestructura y la implementación son parte del tratamiento.</w:t>
      </w:r>
    </w:p>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6. Qué demuestra la evidencia</w:t>
      </w:r>
    </w:p>
    <w:p>
      <w:pPr>
        <w:pStyle w:val="Deck"/>
        <w:keepNext/>
        <w:keepLines w:val="0"/>
        <w:spacing w:before="0" w:after="100" w:line="259" w:lineRule="auto"/>
      </w:pPr>
      <w:r>
        <w:t>Resultados principales, identificación causal, límites y comparabilidad.</w:t>
      </w:r>
    </w:p>
    <w:p>
      <w:pPr>
        <w:pStyle w:val="Heading2"/>
      </w:pPr>
      <w:r>
        <w:t>6.1 Síntesis metaanalítica</w:t>
      </w:r>
    </w:p>
    <w:tbl>
      <w:tblPr>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2523"/>
            <w:tcBorders>
              <w:top w:val="nil"/>
              <w:left w:val="nil"/>
              <w:bottom w:val="nil"/>
              <w:right w:val="nil"/>
            </w:tcBorders>
            <w:shd w:fill="F5F7F8" w:val="clear"/>
            <w:tcMar>
              <w:top w:w="85" w:type="dxa"/>
              <w:start w:w="85" w:type="dxa"/>
              <w:bottom w:w="75" w:type="dxa"/>
              <w:end w:w="85" w:type="dxa"/>
            </w:tcMar>
            <w:vAlign w:val="center"/>
          </w:tcPr>
          <w:p>
            <w:pPr>
              <w:keepNext w:val="0"/>
              <w:keepLines w:val="0"/>
              <w:spacing w:before="0" w:after="0" w:line="228" w:lineRule="auto"/>
              <w:jc w:val="center"/>
            </w:pPr>
            <w:r>
              <w:rPr>
                <w:rFonts w:ascii="Noto Sans" w:hAnsi="Noto Sans" w:eastAsia="Noto Sans"/>
                <w:b/>
                <w:color w:val="0A7A78"/>
                <w:sz w:val="40"/>
              </w:rPr>
              <w:t>191</w:t>
            </w:r>
          </w:p>
          <w:p>
            <w:pPr>
              <w:keepNext w:val="0"/>
              <w:keepLines w:val="0"/>
              <w:spacing w:before="0" w:after="20" w:line="240" w:lineRule="auto"/>
              <w:jc w:val="center"/>
            </w:pPr>
            <w:r>
              <w:rPr>
                <w:rFonts w:ascii="Noto Sans" w:hAnsi="Noto Sans" w:eastAsia="Noto Sans"/>
                <w:b/>
                <w:color w:val="18324B"/>
                <w:sz w:val="16"/>
              </w:rPr>
              <w:t>tamaños de efecto</w:t>
            </w:r>
          </w:p>
          <w:p>
            <w:pPr>
              <w:keepNext w:val="0"/>
              <w:keepLines w:val="0"/>
              <w:spacing w:before="0" w:after="0" w:line="240" w:lineRule="auto"/>
              <w:jc w:val="center"/>
            </w:pPr>
            <w:r>
              <w:rPr>
                <w:rFonts w:ascii="Noto Sans" w:hAnsi="Noto Sans" w:eastAsia="Noto Sans"/>
                <w:color w:val="4F5B62"/>
                <w:sz w:val="14"/>
              </w:rPr>
              <w:t>14 RCT, 10 economías</w:t>
            </w:r>
          </w:p>
        </w:tc>
        <w:tc>
          <w:tcPr>
            <w:tcW w:type="dxa" w:w="2523"/>
            <w:tcBorders>
              <w:top w:val="nil"/>
              <w:left w:val="nil"/>
              <w:bottom w:val="nil"/>
              <w:right w:val="nil"/>
            </w:tcBorders>
            <w:shd w:fill="EAF2F7" w:val="clear"/>
            <w:tcMar>
              <w:top w:w="85" w:type="dxa"/>
              <w:start w:w="85" w:type="dxa"/>
              <w:bottom w:w="75" w:type="dxa"/>
              <w:end w:w="85" w:type="dxa"/>
            </w:tcMar>
            <w:vAlign w:val="center"/>
          </w:tcPr>
          <w:p>
            <w:pPr>
              <w:keepNext w:val="0"/>
              <w:keepLines w:val="0"/>
              <w:spacing w:before="0" w:after="0" w:line="228" w:lineRule="auto"/>
              <w:jc w:val="center"/>
            </w:pPr>
            <w:r>
              <w:rPr>
                <w:rFonts w:ascii="Noto Sans" w:hAnsi="Noto Sans" w:eastAsia="Noto Sans"/>
                <w:b/>
                <w:color w:val="0A7A78"/>
                <w:sz w:val="40"/>
              </w:rPr>
              <w:t>+0.125 DE</w:t>
            </w:r>
          </w:p>
          <w:p>
            <w:pPr>
              <w:keepNext w:val="0"/>
              <w:keepLines w:val="0"/>
              <w:spacing w:before="0" w:after="20" w:line="240" w:lineRule="auto"/>
              <w:jc w:val="center"/>
            </w:pPr>
            <w:r>
              <w:rPr>
                <w:rFonts w:ascii="Noto Sans" w:hAnsi="Noto Sans" w:eastAsia="Noto Sans"/>
                <w:b/>
                <w:color w:val="18324B"/>
                <w:sz w:val="16"/>
              </w:rPr>
              <w:t>aprendizaje</w:t>
            </w:r>
          </w:p>
          <w:p>
            <w:pPr>
              <w:keepNext w:val="0"/>
              <w:keepLines w:val="0"/>
              <w:spacing w:before="0" w:after="0" w:line="240" w:lineRule="auto"/>
              <w:jc w:val="center"/>
            </w:pPr>
            <w:r>
              <w:rPr>
                <w:rFonts w:ascii="Noto Sans" w:hAnsi="Noto Sans" w:eastAsia="Noto Sans"/>
                <w:color w:val="4F5B62"/>
                <w:sz w:val="14"/>
              </w:rPr>
              <w:t>vs instrucción tradicional</w:t>
            </w:r>
          </w:p>
        </w:tc>
        <w:tc>
          <w:tcPr>
            <w:tcW w:type="dxa" w:w="2523"/>
            <w:tcBorders>
              <w:top w:val="nil"/>
              <w:left w:val="nil"/>
              <w:bottom w:val="nil"/>
              <w:right w:val="nil"/>
            </w:tcBorders>
            <w:shd w:fill="F5F7F8" w:val="clear"/>
            <w:tcMar>
              <w:top w:w="85" w:type="dxa"/>
              <w:start w:w="85" w:type="dxa"/>
              <w:bottom w:w="75" w:type="dxa"/>
              <w:end w:w="85" w:type="dxa"/>
            </w:tcMar>
            <w:vAlign w:val="center"/>
          </w:tcPr>
          <w:p>
            <w:pPr>
              <w:keepNext w:val="0"/>
              <w:keepLines w:val="0"/>
              <w:spacing w:before="0" w:after="0" w:line="228" w:lineRule="auto"/>
              <w:jc w:val="center"/>
            </w:pPr>
            <w:r>
              <w:rPr>
                <w:rFonts w:ascii="Noto Sans" w:hAnsi="Noto Sans" w:eastAsia="Noto Sans"/>
                <w:b/>
                <w:color w:val="0A7A78"/>
                <w:sz w:val="40"/>
              </w:rPr>
              <w:t>+0.12 DE</w:t>
            </w:r>
          </w:p>
          <w:p>
            <w:pPr>
              <w:keepNext w:val="0"/>
              <w:keepLines w:val="0"/>
              <w:spacing w:before="0" w:after="20" w:line="240" w:lineRule="auto"/>
              <w:jc w:val="center"/>
            </w:pPr>
            <w:r>
              <w:rPr>
                <w:rFonts w:ascii="Noto Sans" w:hAnsi="Noto Sans" w:eastAsia="Noto Sans"/>
                <w:b/>
                <w:color w:val="18324B"/>
                <w:sz w:val="16"/>
              </w:rPr>
              <w:t>tutoría/instrucción IA</w:t>
            </w:r>
          </w:p>
          <w:p>
            <w:pPr>
              <w:keepNext w:val="0"/>
              <w:keepLines w:val="0"/>
              <w:spacing w:before="0" w:after="0" w:line="240" w:lineRule="auto"/>
              <w:jc w:val="center"/>
            </w:pPr>
            <w:r>
              <w:rPr>
                <w:rFonts w:ascii="Noto Sans" w:hAnsi="Noto Sans" w:eastAsia="Noto Sans"/>
                <w:color w:val="4F5B62"/>
                <w:sz w:val="14"/>
              </w:rPr>
              <w:t>subconjunto de 6 estudios</w:t>
            </w:r>
          </w:p>
        </w:tc>
        <w:tc>
          <w:tcPr>
            <w:tcW w:type="dxa" w:w="2523"/>
            <w:tcBorders>
              <w:top w:val="nil"/>
              <w:left w:val="nil"/>
              <w:bottom w:val="nil"/>
              <w:right w:val="nil"/>
            </w:tcBorders>
            <w:shd w:fill="EAF2F7" w:val="clear"/>
            <w:tcMar>
              <w:top w:w="85" w:type="dxa"/>
              <w:start w:w="85" w:type="dxa"/>
              <w:bottom w:w="75" w:type="dxa"/>
              <w:end w:w="85" w:type="dxa"/>
            </w:tcMar>
            <w:vAlign w:val="center"/>
          </w:tcPr>
          <w:p>
            <w:pPr>
              <w:keepNext w:val="0"/>
              <w:keepLines w:val="0"/>
              <w:spacing w:before="0" w:after="0" w:line="228" w:lineRule="auto"/>
              <w:jc w:val="center"/>
            </w:pPr>
            <w:r>
              <w:rPr>
                <w:rFonts w:ascii="Noto Sans" w:hAnsi="Noto Sans" w:eastAsia="Noto Sans"/>
                <w:b/>
                <w:color w:val="0A7A78"/>
                <w:sz w:val="40"/>
              </w:rPr>
              <w:t>0.022 DE</w:t>
            </w:r>
          </w:p>
          <w:p>
            <w:pPr>
              <w:keepNext w:val="0"/>
              <w:keepLines w:val="0"/>
              <w:spacing w:before="0" w:after="20" w:line="240" w:lineRule="auto"/>
              <w:jc w:val="center"/>
            </w:pPr>
            <w:r>
              <w:rPr>
                <w:rFonts w:ascii="Noto Sans" w:hAnsi="Noto Sans" w:eastAsia="Noto Sans"/>
                <w:b/>
                <w:color w:val="18324B"/>
                <w:sz w:val="16"/>
              </w:rPr>
              <w:t>diferencial GenAI</w:t>
            </w:r>
          </w:p>
          <w:p>
            <w:pPr>
              <w:keepNext w:val="0"/>
              <w:keepLines w:val="0"/>
              <w:spacing w:before="0" w:after="0" w:line="240" w:lineRule="auto"/>
              <w:jc w:val="center"/>
            </w:pPr>
            <w:r>
              <w:rPr>
                <w:rFonts w:ascii="Noto Sans" w:hAnsi="Noto Sans" w:eastAsia="Noto Sans"/>
                <w:color w:val="4F5B62"/>
                <w:sz w:val="14"/>
              </w:rPr>
              <w:t>no significativo; EE 0.075</w:t>
            </w:r>
          </w:p>
        </w:tc>
      </w:tr>
    </w:tbl>
    <w:p>
      <w:pPr>
        <w:keepNext w:val="0"/>
        <w:keepLines w:val="0"/>
        <w:spacing w:before="0" w:after="80" w:line="269" w:lineRule="auto"/>
      </w:pPr>
      <w:r>
        <w:t>Burneo et al. (2026) aplican criterios comunes y robust variance estimation. El promedio de +0.125 DE se ubica por encima de la mediana de intervenciones educativas de campo, pero mezcla medidas estrechas y amplias y presenta heterogeneidad considerable [1].</w:t>
      </w:r>
    </w:p>
    <w:p>
      <w:pPr>
        <w:keepNext w:val="0"/>
        <w:keepLines w:val="0"/>
        <w:spacing w:before="0" w:after="80" w:line="269" w:lineRule="auto"/>
      </w:pPr>
      <w:r>
        <w:t>Los efectos en outcomes socioemocionales/conductuales promedian +0.029 DE, pero se apoyan en pocos estudios y grados de libertad insuficientes. Los outcomes docentes tampoco permiten una conclusión firme.</w:t>
      </w:r>
    </w:p>
    <w:p>
      <w:pPr>
        <w:keepNext w:val="0"/>
        <w:keepLines w:val="0"/>
        <w:spacing w:before="0" w:after="80" w:line="269" w:lineRule="auto"/>
      </w:pPr>
      <w:r>
        <w:t>La comparación GenAI versus tecnología adaptativa previa no revela ventaja sistemática: coeficiente 0.022 DE con error estándar 0.075. Esto no prueba equivalencia; indica que la base aún no puede ordenar generaciones.</w:t>
      </w:r>
    </w:p>
    <w:p>
      <w:pPr>
        <w:keepNext w:val="0"/>
        <w:keepLines w:val="0"/>
        <w:spacing w:before="0" w:after="80" w:line="269" w:lineRule="auto"/>
      </w:pPr>
      <w:r>
        <w:t>El metaanálisis advierte que no hay estudios incluidos en países de bajos ingresos, solo dos ofrecen costos comparables y la mayoría de las intervenciones fue implementada por investigadores, no por gobiernos a escala.</w:t>
      </w:r>
    </w:p>
    <w:tbl>
      <w:tblPr>
        <w:tblW w:type="auto" w:w="0"/>
        <w:jc w:val="center"/>
        <w:tblLayout w:type="fixed"/>
        <w:tblLook w:firstColumn="1" w:firstRow="1" w:lastColumn="0" w:lastRow="0" w:noHBand="0" w:noVBand="1" w:val="04A0"/>
      </w:tblPr>
      <w:tblGrid>
        <w:gridCol w:w="5046"/>
        <w:gridCol w:w="5046"/>
      </w:tblGrid>
      <w:tr>
        <w:trPr>
          <w:cantSplit/>
        </w:trPr>
        <w:tc>
          <w:tcPr>
            <w:tcW w:type="dxa" w:w="170"/>
            <w:tcBorders>
              <w:top w:val="nil"/>
              <w:left w:val="nil"/>
              <w:bottom w:val="nil"/>
              <w:right w:val="nil"/>
            </w:tcBorders>
            <w:shd w:fill="D39A2C" w:val="clear"/>
            <w:tcMar>
              <w:top w:w="40" w:type="dxa"/>
              <w:start w:w="15" w:type="dxa"/>
              <w:bottom w:w="40" w:type="dxa"/>
              <w:end w:w="15" w:type="dxa"/>
            </w:tcMar>
          </w:tcPr>
          <w:p/>
        </w:tc>
        <w:tc>
          <w:tcPr>
            <w:tcW w:type="dxa" w:w="9184"/>
            <w:tcBorders>
              <w:top w:val="nil"/>
              <w:left w:val="nil"/>
              <w:bottom w:val="nil"/>
              <w:right w:val="nil"/>
            </w:tcBorders>
            <w:shd w:fill="F8EDD4" w:val="clear"/>
            <w:tcMar>
              <w:top w:w="80" w:type="dxa"/>
              <w:start w:w="120" w:type="dxa"/>
              <w:bottom w:w="80" w:type="dxa"/>
              <w:end w:w="120" w:type="dxa"/>
            </w:tcMar>
          </w:tcPr>
          <w:p>
            <w:pPr>
              <w:keepNext w:val="0"/>
              <w:keepLines w:val="0"/>
              <w:spacing w:before="0" w:after="0" w:line="259" w:lineRule="auto"/>
            </w:pPr>
            <w:r>
              <w:rPr>
                <w:rFonts w:ascii="Noto Sans" w:hAnsi="Noto Sans" w:eastAsia="Noto Sans"/>
                <w:b/>
                <w:color w:val="18324B"/>
                <w:sz w:val="18"/>
              </w:rPr>
              <w:t>Interpretación correcta.</w:t>
            </w:r>
            <w:r>
              <w:t xml:space="preserve">  </w:t>
            </w:r>
            <w:r>
              <w:rPr>
                <w:rFonts w:ascii="Noto Sans" w:hAnsi="Noto Sans" w:eastAsia="Noto Sans"/>
                <w:color w:val="263238"/>
                <w:sz w:val="18"/>
              </w:rPr>
              <w:t>+0.125 DE es una señal relevante de que los sistemas adaptativos/IA pueden producir aprendizaje. No es un efecto esperado para cualquier producto, materia o despliegue, ni prueba que un tutor generativo sea superior a un buen sistema adaptativo o a tutoría humana.</w:t>
            </w:r>
          </w:p>
        </w:tc>
      </w:tr>
    </w:tbl>
    <w:p>
      <w:pPr>
        <w:pStyle w:val="Heading2"/>
      </w:pPr>
      <w:r>
        <w:t>6.2 Estudios causales y cuasicausales principales</w:t>
      </w:r>
    </w:p>
    <w:tbl>
      <w:tblPr>
        <w:tblW w:type="auto" w:w="0"/>
        <w:jc w:val="center"/>
        <w:tblLayout w:type="fixed"/>
        <w:tblLook w:firstColumn="1" w:firstRow="1" w:lastColumn="0" w:lastRow="0" w:noHBand="0" w:noVBand="1" w:val="04A0"/>
      </w:tblPr>
      <w:tblGrid>
        <w:gridCol w:w="2523"/>
        <w:gridCol w:w="2523"/>
        <w:gridCol w:w="2523"/>
        <w:gridCol w:w="2523"/>
      </w:tblGrid>
      <w:tr>
        <w:trPr>
          <w:tblHeader w:val="true"/>
        </w:trPr>
        <w:tc>
          <w:tcPr>
            <w:tcW w:type="dxa" w:w="192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3"/>
              </w:rPr>
              <w:t>Estudio</w:t>
            </w:r>
          </w:p>
        </w:tc>
        <w:tc>
          <w:tcPr>
            <w:tcW w:type="dxa" w:w="2891"/>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3"/>
              </w:rPr>
              <w:t>Diseño</w:t>
            </w:r>
          </w:p>
        </w:tc>
        <w:tc>
          <w:tcPr>
            <w:tcW w:type="dxa" w:w="215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3"/>
              </w:rPr>
              <w:t>Resultado</w:t>
            </w:r>
          </w:p>
        </w:tc>
        <w:tc>
          <w:tcPr>
            <w:tcW w:type="dxa" w:w="311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3"/>
              </w:rPr>
              <w:t>Lectura causal/límite</w:t>
            </w:r>
          </w:p>
        </w:tc>
      </w:tr>
      <w:tr>
        <w:trPr>
          <w:cantSplit/>
        </w:trPr>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Bastani et al. 2025 [3]</w:t>
            </w:r>
          </w:p>
        </w:tc>
        <w:tc>
          <w:tcPr>
            <w:tcW w:type="dxa" w:w="289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≈1,000 estudiantes; matemática secundaria; clases aleatorizadas; práctica con GPT Base, GPT Tutor o texto; examen sin GPT.</w:t>
            </w:r>
          </w:p>
        </w:tc>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Práctica +48% Base y +127% Tutor. Examen autónomo: Base −17%; Tutor sin diferencia clara vs control.</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Distingue productividad asistida de aprendizaje. Guardrails reducen daño. Outcome autónomo fuerte; contexto/implementación específicos.</w:t>
            </w:r>
          </w:p>
        </w:tc>
      </w:tr>
      <w:tr>
        <w:trPr>
          <w:cantSplit/>
        </w:trPr>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Kestin et al. 2025 [2]</w:t>
            </w:r>
          </w:p>
        </w:tc>
        <w:tc>
          <w:tcPr>
            <w:tcW w:type="dxa" w:w="289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194 universitarios; crossover; dos lecciones de física; IA vs active learning; pre/post inmediato.</w:t>
            </w:r>
          </w:p>
        </w:tc>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Regresión ≈0.63 DE; estimación por techo 0.73–1.3; mediana 49 vs 60 min; más engagement/motivación.</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Tutor altamente diseñado, solución conocida y secuencia externa. Dos lecciones, elite university, test inmediato.</w:t>
            </w:r>
          </w:p>
        </w:tc>
      </w:tr>
      <w:tr>
        <w:trPr>
          <w:cantSplit/>
        </w:trPr>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Nigeria 2025 [4]</w:t>
            </w:r>
          </w:p>
        </w:tc>
        <w:tc>
          <w:tcPr>
            <w:tcW w:type="dxa" w:w="289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1,328 aprox.; 9 escuelas públicas; 6 semanas; 12 sesiones de 90 min after-school; randomización.</w:t>
            </w:r>
          </w:p>
        </w:tc>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+0.31 DE compuesto; ≈+0.24 DE inglés; efectos en AI/digital skills.</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Efecto del paquete: IA + tiempo + docentes + pares + prompts. Pen-and-paper test; valioso contexto LMIC.</w:t>
            </w:r>
          </w:p>
        </w:tc>
      </w:tr>
      <w:tr>
        <w:trPr>
          <w:cantSplit/>
        </w:trPr>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Sierra Leona 2026 [5]</w:t>
            </w:r>
          </w:p>
        </w:tc>
        <w:tc>
          <w:tcPr>
            <w:tcW w:type="dxa" w:w="289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1,763; cluster RCT; 48 aulas/12 escuelas; 8 semanas; docente, dos alumnos por dispositivo.</w:t>
            </w:r>
          </w:p>
        </w:tc>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+0.258 DE ITT; estimación de tratamiento por 12 h ≈0.380 DE bajo supuestos.</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Pre-registrado, escala escolar. Reporte proveedor; no delayed/far transfer; heterogeneidad favorece baseline alto.</w:t>
            </w:r>
          </w:p>
        </w:tc>
      </w:tr>
      <w:tr>
        <w:trPr>
          <w:cantSplit/>
        </w:trPr>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Tutor CoPilot [6]</w:t>
            </w:r>
          </w:p>
        </w:tc>
        <w:tc>
          <w:tcPr>
            <w:tcW w:type="dxa" w:w="289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900 tutores/1,800 alumnos; RCT en tutoría matemática online de escuelas Title I.</w:t>
            </w:r>
          </w:p>
        </w:tc>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+4 pp probabilidad de dominio; +9 pp con tutores de rating bajo; estrategias de más alta calidad.</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Evidencia de copilot humano-IA. Outcome de plataforma y costo estimado; no prueba estandarizada amplia.</w:t>
            </w:r>
          </w:p>
        </w:tc>
      </w:tr>
      <w:tr>
        <w:trPr>
          <w:cantSplit/>
        </w:trPr>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Eedi/LearnLM [7]</w:t>
            </w:r>
          </w:p>
        </w:tc>
        <w:tc>
          <w:tcPr>
            <w:tcW w:type="dxa" w:w="289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165 alumnos, 5 escuelas UK; tutor humano vs AI supervisada vs pista estática; Bayesian exploratory.</w:t>
            </w:r>
          </w:p>
        </w:tc>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AI ≈humano en corrección; +5.5 pp en problemas de tema posterior; 74.4% mensajes sin editar, ~76% cero/mínimos cambios.</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Cada mensaje supervisado; intervalos exploratorios. Prueba de híbrido seguro, no autonomía.</w:t>
            </w:r>
          </w:p>
        </w:tc>
      </w:tr>
      <w:tr>
        <w:trPr>
          <w:cantSplit/>
        </w:trPr>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Rori Ghana [9]</w:t>
            </w:r>
          </w:p>
        </w:tc>
        <w:tc>
          <w:tcPr>
            <w:tcW w:type="dxa" w:w="289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≈500–1,000 según versión; 11 escuelas; dos sesiones/semana, 8 meses; asignación escolar.</w:t>
            </w:r>
          </w:p>
        </w:tc>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≈0.36–0.37 DE matemática.</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Prometedor y baja conectividad; extra instruction, estudio preliminar y asignación limitada.</w:t>
            </w:r>
          </w:p>
        </w:tc>
      </w:tr>
      <w:tr>
        <w:trPr>
          <w:cantSplit/>
        </w:trPr>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Acceso + humano [8]</w:t>
            </w:r>
          </w:p>
        </w:tc>
        <w:tc>
          <w:tcPr>
            <w:tcW w:type="dxa" w:w="289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≈350 alumnos; 2 RCT; tutor de lectura; acceso solo vs apoyo relacional humano.</w:t>
            </w:r>
          </w:p>
        </w:tc>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Uso +1 y +4.4 min/sem; engagement +71–80%; sin gains de lectura.</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Identifica el cuello de botella de adopción/dosificación. No prueba ineficacia si casi no hubo uso.</w:t>
            </w:r>
          </w:p>
        </w:tc>
      </w:tr>
      <w:tr>
        <w:trPr>
          <w:cantSplit/>
        </w:trPr>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Mindspark [10]</w:t>
            </w:r>
          </w:p>
        </w:tc>
        <w:tc>
          <w:tcPr>
            <w:tcW w:type="dxa" w:w="289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619; lottery RCT; 4.5 meses after-school.</w:t>
            </w:r>
          </w:p>
        </w:tc>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+0.37 DE matemática; +0.23 DE hindi.</w:t>
            </w:r>
          </w:p>
        </w:tc>
        <w:tc>
          <w:tcPr>
            <w:tcW w:type="dxa" w:w="311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Benchmark pre-LLM; diagnóstico y adaptación estructurada; tiempo adicional incluido.</w:t>
            </w:r>
          </w:p>
        </w:tc>
      </w:tr>
      <w:tr>
        <w:trPr>
          <w:cantSplit/>
        </w:trPr>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ASSISTments [11]</w:t>
            </w:r>
          </w:p>
        </w:tc>
        <w:tc>
          <w:tcPr>
            <w:tcW w:type="dxa" w:w="289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2,850 séptimo grado; 43 escuelas; 2 años; cluster RCT.</w:t>
            </w:r>
          </w:p>
        </w:tc>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≈0.18 DE (otras síntesis/producto reportan 0.22 según especificación).</w:t>
            </w:r>
          </w:p>
        </w:tc>
        <w:tc>
          <w:tcPr>
            <w:tcW w:type="dxa" w:w="311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Software + PD + uso docente; muestra el valor de feedback y data para instrucción.</w:t>
            </w:r>
          </w:p>
        </w:tc>
      </w:tr>
    </w:tbl>
    <w:p>
      <w:pPr>
        <w:pStyle w:val="Heading2"/>
      </w:pPr>
      <w:r>
        <w:t>6.3 Por qué el estudio de Kestin no debe generalizarse mecánicamente</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La comparación es valiosa: mismo curso, crossover, contenido comparable, gran efecto y menos tiempo. Pero el tutor fue diseñado por expertos para dos lecciones, con materiales detallados, soluciones preescritas, control externo de la secuencia y estudiantes de Harvard.</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No mide curso completo, uso voluntario, delayed retention, transferencia distante, costo de autoría experta o desempeño en población heterogénea. El efecto identifica una receta muy cuidada, no “usar un chatbot”.</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Su mayor contribución es de diseño: self-pacing, active learning, cognitive load, growth mindset, scaffolding, accuracy y feedback pueden codificarse; y la plataforma debe controlar la secuencia cuando el prompt no basta.</w:t>
      </w:r>
    </w:p>
    <w:p>
      <w:pPr>
        <w:pStyle w:val="Heading2"/>
      </w:pPr>
      <w:r>
        <w:t>6.4 La lección de Bastani: rendimiento asistido versus capital humano</w:t>
      </w:r>
    </w:p>
    <w:p>
      <w:pPr>
        <w:keepNext w:val="0"/>
        <w:keepLines w:val="0"/>
        <w:spacing w:before="0" w:after="80" w:line="269" w:lineRule="auto"/>
      </w:pPr>
      <w:r>
        <w:t>El estudio muestra una frontera conceptual. Una herramienta puede aumentar output contemporáneo —problemas resueltos durante la sesión— y reducir el stock de habilidad que queda cuando desaparece. Económicamente, la asistencia funciona como capital complementario en la tarea actual, pero puede sustituir el esfuerzo de formación. La evaluación debe separar productividad conjunta y capacidad propia.</w:t>
      </w:r>
    </w:p>
    <w:p>
      <w:pPr>
        <w:keepNext w:val="0"/>
        <w:keepLines w:val="0"/>
        <w:spacing w:before="0" w:after="80" w:line="269" w:lineRule="auto"/>
      </w:pPr>
      <w:r>
        <w:t>GPT Tutor redujo el daño mediante prompts con solución y errores comunes, prohibición de revelar la respuesta y uso de pistas. No produjo una ventaja autónoma clara, lo que sugiere que evitar sustitución cognitiva es condición necesaria, no suficiente. La siguiente generación debe optimizar transferencia demorada y calibrar cuándo retirar apoyo.</w:t>
      </w:r>
    </w:p>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7. Por qué algunos sistemas funcionan y otros no</w:t>
      </w:r>
    </w:p>
    <w:p>
      <w:pPr>
        <w:pStyle w:val="Deck"/>
        <w:keepNext/>
        <w:keepLines w:val="0"/>
        <w:spacing w:before="0" w:after="100" w:line="259" w:lineRule="auto"/>
      </w:pPr>
      <w:r>
        <w:t>Mecanismos de diseño, comportamiento e implementación que explican la heterogeneidad.</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381"/>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Mecanismo</w:t>
            </w:r>
          </w:p>
        </w:tc>
        <w:tc>
          <w:tcPr>
            <w:tcW w:type="dxa" w:w="379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Configuración favorable</w:t>
            </w:r>
          </w:p>
        </w:tc>
        <w:tc>
          <w:tcPr>
            <w:tcW w:type="dxa" w:w="3912"/>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Fallo típico</w:t>
            </w:r>
          </w:p>
        </w:tc>
      </w:tr>
      <w:tr>
        <w:trPr>
          <w:cantSplit/>
        </w:trPr>
        <w:tc>
          <w:tcPr>
            <w:tcW w:type="dxa" w:w="238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Alineamiento curricular</w:t>
            </w:r>
          </w:p>
        </w:tc>
        <w:tc>
          <w:tcPr>
            <w:tcW w:type="dxa" w:w="379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La tarea, explicación y evaluación pertenecen al mismo mapa de competencias.</w:t>
            </w:r>
          </w:p>
        </w:tc>
        <w:tc>
          <w:tcPr>
            <w:tcW w:type="dxa" w:w="391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Chat genérico que introduce contenido irrelevante o una convención distinta.</w:t>
            </w:r>
          </w:p>
        </w:tc>
      </w:tr>
      <w:tr>
        <w:trPr>
          <w:cantSplit/>
        </w:trPr>
        <w:tc>
          <w:tcPr>
            <w:tcW w:type="dxa" w:w="238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Diagnóstico útil</w:t>
            </w:r>
          </w:p>
        </w:tc>
        <w:tc>
          <w:tcPr>
            <w:tcW w:type="dxa" w:w="379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Señales estructuradas, preguntas discriminantes y misconceptions conocidos.</w:t>
            </w:r>
          </w:p>
        </w:tc>
        <w:tc>
          <w:tcPr>
            <w:tcW w:type="dxa" w:w="391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Inferencia por estilo verbal, memoria cruda o etiquetas psicológicas no validadas.</w:t>
            </w:r>
          </w:p>
        </w:tc>
      </w:tr>
      <w:tr>
        <w:trPr>
          <w:cantSplit/>
        </w:trPr>
        <w:tc>
          <w:tcPr>
            <w:tcW w:type="dxa" w:w="238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Secuencia controlada</w:t>
            </w:r>
          </w:p>
        </w:tc>
        <w:tc>
          <w:tcPr>
            <w:tcW w:type="dxa" w:w="379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La plataforma impone etapas, prerequisitos y límites; el LLM verbaliza.</w:t>
            </w:r>
          </w:p>
        </w:tc>
        <w:tc>
          <w:tcPr>
            <w:tcW w:type="dxa" w:w="391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Prompt único que espera obediencia perfecta durante una conversación larga.</w:t>
            </w:r>
          </w:p>
        </w:tc>
      </w:tr>
      <w:tr>
        <w:trPr>
          <w:cantSplit/>
        </w:trPr>
        <w:tc>
          <w:tcPr>
            <w:tcW w:type="dxa" w:w="238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Contenido verificado</w:t>
            </w:r>
          </w:p>
        </w:tc>
        <w:tc>
          <w:tcPr>
            <w:tcW w:type="dxa" w:w="379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Worked solutions, bancos de ítems, herramientas y fuentes autorizadas.</w:t>
            </w:r>
          </w:p>
        </w:tc>
        <w:tc>
          <w:tcPr>
            <w:tcW w:type="dxa" w:w="391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Generación libre de problemas/soluciones sin validación.</w:t>
            </w:r>
          </w:p>
        </w:tc>
      </w:tr>
      <w:tr>
        <w:trPr>
          <w:cantSplit/>
        </w:trPr>
        <w:tc>
          <w:tcPr>
            <w:tcW w:type="dxa" w:w="238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Esfuerzo protegido</w:t>
            </w:r>
          </w:p>
        </w:tc>
        <w:tc>
          <w:tcPr>
            <w:tcW w:type="dxa" w:w="379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Attempt-first, pistas graduadas, self-explanation y fading.</w:t>
            </w:r>
          </w:p>
        </w:tc>
        <w:tc>
          <w:tcPr>
            <w:tcW w:type="dxa" w:w="391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Respuesta inmediata, completar tareas o elogio sin comprobación.</w:t>
            </w:r>
          </w:p>
        </w:tc>
      </w:tr>
      <w:tr>
        <w:trPr>
          <w:cantSplit/>
        </w:trPr>
        <w:tc>
          <w:tcPr>
            <w:tcW w:type="dxa" w:w="238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Feedback accionable</w:t>
            </w:r>
          </w:p>
        </w:tc>
        <w:tc>
          <w:tcPr>
            <w:tcW w:type="dxa" w:w="379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Localiza el error y su causa, luego ofrece una acción adecuada.</w:t>
            </w:r>
          </w:p>
        </w:tc>
        <w:tc>
          <w:tcPr>
            <w:tcW w:type="dxa" w:w="391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Feedback genérico, excesivo o con demasiados pasos.</w:t>
            </w:r>
          </w:p>
        </w:tc>
      </w:tr>
      <w:tr>
        <w:trPr>
          <w:cantSplit/>
        </w:trPr>
        <w:tc>
          <w:tcPr>
            <w:tcW w:type="dxa" w:w="238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Uso suficiente</w:t>
            </w:r>
          </w:p>
        </w:tc>
        <w:tc>
          <w:tcPr>
            <w:tcW w:type="dxa" w:w="379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Tiempo reservado, docente/facilitador, recordatorios y seguimiento.</w:t>
            </w:r>
          </w:p>
        </w:tc>
        <w:tc>
          <w:tcPr>
            <w:tcW w:type="dxa" w:w="391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Licencia disponible pero uso optativo y sin accountability.</w:t>
            </w:r>
          </w:p>
        </w:tc>
      </w:tr>
      <w:tr>
        <w:trPr>
          <w:cantSplit/>
        </w:trPr>
        <w:tc>
          <w:tcPr>
            <w:tcW w:type="dxa" w:w="238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Rol humano claro</w:t>
            </w:r>
          </w:p>
        </w:tc>
        <w:tc>
          <w:tcPr>
            <w:tcW w:type="dxa" w:w="379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Docente fija objetivos, interpreta datos, motiva y escala.</w:t>
            </w:r>
          </w:p>
        </w:tc>
        <w:tc>
          <w:tcPr>
            <w:tcW w:type="dxa" w:w="391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Panel ruidoso o automatización que desplaza responsabilidad.</w:t>
            </w:r>
          </w:p>
        </w:tc>
      </w:tr>
      <w:tr>
        <w:trPr>
          <w:cantSplit/>
        </w:trPr>
        <w:tc>
          <w:tcPr>
            <w:tcW w:type="dxa" w:w="238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Medición honesta</w:t>
            </w:r>
          </w:p>
        </w:tc>
        <w:tc>
          <w:tcPr>
            <w:tcW w:type="dxa" w:w="379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Prueba sin ayuda, delayed transfer, costo y heterogeneidad.</w:t>
            </w:r>
          </w:p>
        </w:tc>
        <w:tc>
          <w:tcPr>
            <w:tcW w:type="dxa" w:w="391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Satisfacción, chats, tareas terminadas o evaluación generada por el mismo sistema.</w:t>
            </w:r>
          </w:p>
        </w:tc>
      </w:tr>
    </w:tbl>
    <w:p>
      <w:pPr>
        <w:pStyle w:val="Heading2"/>
      </w:pPr>
      <w:r>
        <w:t>7.1 La dosificación es endógena</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El uso depende de motivación, fricción de login, disponibilidad de dispositivo, horario, apoyo, percepción de valor y dificultad. Quienes más podrían beneficiarse pueden ser quienes menos entran o usan superficialmente.</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Un análisis intención-a-tratar responde qué ocurre al ofrecer el sistema; un análisis de tratamiento recibido requiere supuestos y debe reportarse como tal. Para política pública importan ambos: eficacia bajo uso y efectividad bajo adopción real.</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Los diseños deben registrar minutos activos, número y tipo de interacciones, cumplimiento de secuencia, interrupciones y exposición humana. “Cuenta creada” o “mensaje enviado” no es dosificación.</w:t>
      </w:r>
    </w:p>
    <w:p>
      <w:pPr>
        <w:pStyle w:val="Heading2"/>
      </w:pPr>
      <w:r>
        <w:t>7.2 La calidad del modelo es una condición, no el outcome</w:t>
      </w:r>
    </w:p>
    <w:p>
      <w:pPr>
        <w:keepNext w:val="0"/>
        <w:keepLines w:val="0"/>
        <w:spacing w:before="0" w:after="80" w:line="269" w:lineRule="auto"/>
      </w:pPr>
      <w:r>
        <w:t>Benchmarks de pedagogía, factualidad o preferencia experta ayudan a filtrar modelos. LearnLM reporta ventajas de preferencia pedagógica frente a modelos generales [17]; Eedi auditó errores y edición [7]. Pero un mensaje mejor no asegura que el alumno actúe sobre él. Niousha et al. proponen añadir una dimensión conductual: qué hace el estudiante con el feedback y si lo aplica correctamente [31].</w:t>
      </w:r>
    </w:p>
    <w:p>
      <w:pPr>
        <w:pStyle w:val="Heading2"/>
      </w:pPr>
      <w:r>
        <w:t>7.3 Heterogeneidad y equidad</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Sistemas adaptativos pueden beneficiar a alumnos rezagados al enseñar al nivel real; también pueden mantener expectativas bajas si el criterio de avance o el contenido disponible es limitado.</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Sierra Leona encontró mayor beneficio entre estudiantes con mejor línea base [5]. Esto puede reflejar literacy/digital skills, capacidad de formular preguntas o complementariedad con conocimientos previos. El diseño debe medir y compensar esas barreras.</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La flexibilidad lingüística ayuda a contextos multilingües, pero traducción fluida no garantiza fidelidad conceptual ni adecuación cultural. Se requieren corpus locales, revisión, docentes y evaluaciones en la lengua pertinente.</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La personalización basada en atributos demográficos puede reforzar estereotipos. Conviene adaptar a evidencia de desempeño y preferencias explícitas, auditar disparidades y permitir corrección.</w:t>
      </w:r>
    </w:p>
    <w:p>
      <w:pPr>
        <w:pStyle w:val="Heading2"/>
      </w:pPr>
      <w:r>
        <w:t>7.4 Costo de autoría versus costo marginal</w:t>
      </w:r>
    </w:p>
    <w:p>
      <w:pPr>
        <w:keepNext w:val="0"/>
        <w:keepLines w:val="0"/>
        <w:spacing w:before="0" w:after="80" w:line="269" w:lineRule="auto"/>
      </w:pPr>
      <w:r>
        <w:t>El costo marginal de generar una respuesta puede ser bajo, pero un sistema serio exige mapeo curricular, ítems, soluciones, verificación, integración, privacidad, observabilidad, soporte, capacitación, dispositivos y experimentación. Las cifras de costo por tutor o alumno que omiten infraestructura y autoría no son comparables. El costo relevante es total y debe expresarse por alumno servido y por ganancia de aprendizaje, con sensibilidad a escala y uso.</w:t>
      </w:r>
    </w:p>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8. Riesgos, fallos y gobernanza</w:t>
      </w:r>
    </w:p>
    <w:p>
      <w:pPr>
        <w:pStyle w:val="Deck"/>
        <w:keepNext/>
        <w:keepLines w:val="0"/>
        <w:spacing w:before="0" w:after="100" w:line="259" w:lineRule="auto"/>
      </w:pPr>
      <w:r>
        <w:t>Los riesgos educativos no se reducen a alucinaciones: incluyen dependencia, inequidad, pérdida de agencia y mala medición.</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198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Riesgo</w:t>
            </w:r>
          </w:p>
        </w:tc>
        <w:tc>
          <w:tcPr>
            <w:tcW w:type="dxa" w:w="3742"/>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Modo de fallo</w:t>
            </w:r>
          </w:p>
        </w:tc>
        <w:tc>
          <w:tcPr>
            <w:tcW w:type="dxa" w:w="4365"/>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Control</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Error factual o procedimental</w:t>
            </w:r>
          </w:p>
        </w:tc>
        <w:tc>
          <w:tcPr>
            <w:tcW w:type="dxa" w:w="374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Explicación plausible pero falsa; solución incorrecta; cita inventada.</w:t>
            </w:r>
          </w:p>
        </w:tc>
        <w:tc>
          <w:tcPr>
            <w:tcW w:type="dxa" w:w="436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Grounding, herramientas, validación, abstención, sampling audit y canal de reporte.</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Sobreasistencia</w:t>
            </w:r>
          </w:p>
        </w:tc>
        <w:tc>
          <w:tcPr>
            <w:tcW w:type="dxa" w:w="374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El alumno copia, delega o deja de recuperar; mejora con IA y empeora sin ella.</w:t>
            </w:r>
          </w:p>
        </w:tc>
        <w:tc>
          <w:tcPr>
            <w:tcW w:type="dxa" w:w="436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Attempt-first, hint ladder, límites, fading, pruebas sin IA y detección de direct answers.</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Diagnóstico falso</w:t>
            </w:r>
          </w:p>
        </w:tc>
        <w:tc>
          <w:tcPr>
            <w:tcW w:type="dxa" w:w="374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El sistema interpreta mal el error y adapta contenido/tono de manera dañina.</w:t>
            </w:r>
          </w:p>
        </w:tc>
        <w:tc>
          <w:tcPr>
            <w:tcW w:type="dxa" w:w="436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Confidence, preguntas diagnósticas, learner model interpretable, override docente y recalibración.</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Sesgo y brecha</w:t>
            </w:r>
          </w:p>
        </w:tc>
        <w:tc>
          <w:tcPr>
            <w:tcW w:type="dxa" w:w="374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Mejores resultados para quien sabe preguntar, tiene dispositivo, idioma dominante o apoyo.</w:t>
            </w:r>
          </w:p>
        </w:tc>
        <w:tc>
          <w:tcPr>
            <w:tcW w:type="dxa" w:w="436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Diseño universal, facilitación, medición por subgrupo, contenido local, acceso y soporte.</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Privacidad y menores</w:t>
            </w:r>
          </w:p>
        </w:tc>
        <w:tc>
          <w:tcPr>
            <w:tcW w:type="dxa" w:w="374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Historial cognitivo, voz, escritura y conducta almacenados o usados para entrenamiento.</w:t>
            </w:r>
          </w:p>
        </w:tc>
        <w:tc>
          <w:tcPr>
            <w:tcW w:type="dxa" w:w="436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Minimización, finalidad, retención, consentimiento, aislamiento, borrado y contratos auditables.</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Integridad evaluativa</w:t>
            </w:r>
          </w:p>
        </w:tc>
        <w:tc>
          <w:tcPr>
            <w:tcW w:type="dxa" w:w="374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Producción externa sustituye desempeño; imposible interpretar tareas tradicionales.</w:t>
            </w:r>
          </w:p>
        </w:tc>
        <w:tc>
          <w:tcPr>
            <w:tcW w:type="dxa" w:w="436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Modos de uso, evaluaciones auténticas/orales, proceso, trazabilidad y rediseño del assessment.</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Automatización docente</w:t>
            </w:r>
          </w:p>
        </w:tc>
        <w:tc>
          <w:tcPr>
            <w:tcW w:type="dxa" w:w="374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Confianza excesiva en recomendaciones, rúbricas o clasificación; deskilling.</w:t>
            </w:r>
          </w:p>
        </w:tc>
        <w:tc>
          <w:tcPr>
            <w:tcW w:type="dxa" w:w="436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Human-in-command, explicaciones, muestreo, calibración, formación y responsabilidad clara.</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Antropomorfismo/vínculo</w:t>
            </w:r>
          </w:p>
        </w:tc>
        <w:tc>
          <w:tcPr>
            <w:tcW w:type="dxa" w:w="374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Confianza, dependencia emocional o persuasión indebida.</w:t>
            </w:r>
          </w:p>
        </w:tc>
        <w:tc>
          <w:tcPr>
            <w:tcW w:type="dxa" w:w="436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Lenguaje transparente, límites relacionales, no simular autoridad/conciencia, escalamiento humano.</w:t>
            </w:r>
          </w:p>
        </w:tc>
      </w:tr>
      <w:tr>
        <w:trPr>
          <w:cantSplit/>
        </w:trPr>
        <w:tc>
          <w:tcPr>
            <w:tcW w:type="dxa" w:w="198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Lock-in y opacidad</w:t>
            </w:r>
          </w:p>
        </w:tc>
        <w:tc>
          <w:tcPr>
            <w:tcW w:type="dxa" w:w="374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Learner model y logs no portables; modelo cambia sin evaluación.</w:t>
            </w:r>
          </w:p>
        </w:tc>
        <w:tc>
          <w:tcPr>
            <w:tcW w:type="dxa" w:w="436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Interoperabilidad, exportación, versionado, notice, benchmarks contractuales y planes de salida.</w:t>
            </w:r>
          </w:p>
        </w:tc>
      </w:tr>
      <w:tr>
        <w:trPr>
          <w:cantSplit/>
        </w:trPr>
        <w:tc>
          <w:tcPr>
            <w:tcW w:type="dxa" w:w="198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Optimización equivocada</w:t>
            </w:r>
          </w:p>
        </w:tc>
        <w:tc>
          <w:tcPr>
            <w:tcW w:type="dxa" w:w="374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Engagement, velocidad o satisfacción desplazan aprendizaje y autonomía.</w:t>
            </w:r>
          </w:p>
        </w:tc>
        <w:tc>
          <w:tcPr>
            <w:tcW w:type="dxa" w:w="436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Outcome hierarchy preregistrada y guardrails de no regresión.</w:t>
            </w:r>
          </w:p>
        </w:tc>
      </w:tr>
    </w:tbl>
    <w:p>
      <w:pPr>
        <w:pStyle w:val="Heading2"/>
      </w:pPr>
      <w:r>
        <w:t>8.1 Privacidad del learner model</w:t>
      </w:r>
    </w:p>
    <w:p>
      <w:pPr>
        <w:keepNext w:val="0"/>
        <w:keepLines w:val="0"/>
        <w:spacing w:before="0" w:after="80" w:line="269" w:lineRule="auto"/>
      </w:pPr>
      <w:r>
        <w:t>El learner model puede revelar más que una nota: patrones de error, velocidad, persistencia, confianza, idioma, discapacidad inferida, temas sensibles y relación con docentes. Debe tratarse como dato educativo de alta sensibilidad. La institución necesita saber qué campos existen, quién accede, cuánto se retienen, si alimentan entrenamiento, cómo se corrigen y cómo se exportan o borran.</w:t>
      </w:r>
    </w:p>
    <w:p>
      <w:pPr>
        <w:pStyle w:val="Heading2"/>
      </w:pPr>
      <w:r>
        <w:t>8.2 Gobernanza de cambios de modelo</w:t>
      </w:r>
    </w:p>
    <w:p>
      <w:pPr>
        <w:keepNext w:val="0"/>
        <w:keepLines w:val="0"/>
        <w:spacing w:before="0" w:after="80" w:line="269" w:lineRule="auto"/>
      </w:pPr>
      <w:r>
        <w:t>Un producto puede cambiar de modelo, prompt, filtros o herramientas sin que el nombre de la interfaz cambie. Cada versión relevante debe registrarse; los outcomes y auditorías deben vincularse a versión, fecha, configuración, contenido y política. Una mejora de benchmark no debe autorizar automáticamente un despliegue mayor sin pruebas de no regresión pedagógica y de seguridad.</w:t>
      </w:r>
    </w:p>
    <w:p>
      <w:pPr>
        <w:pStyle w:val="Heading2"/>
      </w:pPr>
      <w:r>
        <w:t>8.3 La transparencia útil</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438"/>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Audiencia</w:t>
            </w:r>
          </w:p>
        </w:tc>
        <w:tc>
          <w:tcPr>
            <w:tcW w:type="dxa" w:w="7654"/>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Información mínima</w:t>
            </w:r>
          </w:p>
        </w:tc>
      </w:tr>
      <w:tr>
        <w:trPr>
          <w:cantSplit/>
        </w:trPr>
        <w:tc>
          <w:tcPr>
            <w:tcW w:type="dxa" w:w="243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Para el alumno</w:t>
            </w:r>
          </w:p>
        </w:tc>
        <w:tc>
          <w:tcPr>
            <w:tcW w:type="dxa" w:w="76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Qué puede/no puede hacer; cuándo puede equivocarse; qué datos usa; por qué pide un esfuerzo; cómo pedir humano.</w:t>
            </w:r>
          </w:p>
        </w:tc>
      </w:tr>
      <w:tr>
        <w:trPr>
          <w:cantSplit/>
        </w:trPr>
        <w:tc>
          <w:tcPr>
            <w:tcW w:type="dxa" w:w="243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Para el docente</w:t>
            </w:r>
          </w:p>
        </w:tc>
        <w:tc>
          <w:tcPr>
            <w:tcW w:type="dxa" w:w="76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Objetivo, contenido recuperado, estado estimado, confianza, política, historial y motivo de alerta.</w:t>
            </w:r>
          </w:p>
        </w:tc>
      </w:tr>
      <w:tr>
        <w:trPr>
          <w:cantSplit/>
        </w:trPr>
        <w:tc>
          <w:tcPr>
            <w:tcW w:type="dxa" w:w="243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Para la institución</w:t>
            </w:r>
          </w:p>
        </w:tc>
        <w:tc>
          <w:tcPr>
            <w:tcW w:type="dxa" w:w="76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Arquitectura, proveedores, retención, versiones, incidentes, métricas, sesgo, costos, SLAs y salida.</w:t>
            </w:r>
          </w:p>
        </w:tc>
      </w:tr>
      <w:tr>
        <w:trPr>
          <w:cantSplit/>
        </w:trPr>
        <w:tc>
          <w:tcPr>
            <w:tcW w:type="dxa" w:w="243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Para el investigador</w:t>
            </w:r>
          </w:p>
        </w:tc>
        <w:tc>
          <w:tcPr>
            <w:tcW w:type="dxa" w:w="76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Asignación, attrition, dosage, prompts, model version, outcomes, análisis, datos/código cuando sea posible.</w:t>
            </w:r>
          </w:p>
        </w:tc>
      </w:tr>
    </w:tbl>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9. Cómo medir si un sistema enseña</w:t>
      </w:r>
    </w:p>
    <w:p>
      <w:pPr>
        <w:pStyle w:val="Deck"/>
        <w:keepNext/>
        <w:keepLines w:val="0"/>
        <w:spacing w:before="0" w:after="100" w:line="259" w:lineRule="auto"/>
      </w:pPr>
      <w:r>
        <w:t>Marco de outcomes, diseño experimental y métricas de proceso.</w:t>
      </w:r>
    </w:p>
    <w:p>
      <w:pPr>
        <w:pStyle w:val="Heading2"/>
      </w:pPr>
      <w:r>
        <w:t>9.1 Jerarquía de outcomes</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26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Nivel</w:t>
            </w:r>
          </w:p>
        </w:tc>
        <w:tc>
          <w:tcPr>
            <w:tcW w:type="dxa" w:w="5953"/>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Medida</w:t>
            </w:r>
          </w:p>
        </w:tc>
        <w:tc>
          <w:tcPr>
            <w:tcW w:type="dxa" w:w="1871"/>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Rol</w:t>
            </w:r>
          </w:p>
        </w:tc>
      </w:tr>
      <w:tr>
        <w:trPr>
          <w:cantSplit/>
        </w:trPr>
        <w:tc>
          <w:tcPr>
            <w:tcW w:type="dxa" w:w="226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1. Aprendizaje autónomo</w:t>
            </w:r>
          </w:p>
        </w:tc>
        <w:tc>
          <w:tcPr>
            <w:tcW w:type="dxa" w:w="595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Prueba independiente, sin IA, alineada pero no idéntica; scoring ciego cuando sea posible.</w:t>
            </w:r>
          </w:p>
        </w:tc>
        <w:tc>
          <w:tcPr>
            <w:tcW w:type="dxa" w:w="187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Primario.</w:t>
            </w:r>
          </w:p>
        </w:tc>
      </w:tr>
      <w:tr>
        <w:trPr>
          <w:cantSplit/>
        </w:trPr>
        <w:tc>
          <w:tcPr>
            <w:tcW w:type="dxa" w:w="226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2. Retención</w:t>
            </w:r>
          </w:p>
        </w:tc>
        <w:tc>
          <w:tcPr>
            <w:tcW w:type="dxa" w:w="595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Misma competencia después de días/semanas; recuperación sin apoyo.</w:t>
            </w:r>
          </w:p>
        </w:tc>
        <w:tc>
          <w:tcPr>
            <w:tcW w:type="dxa" w:w="187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Primario o coprimario.</w:t>
            </w:r>
          </w:p>
        </w:tc>
      </w:tr>
      <w:tr>
        <w:trPr>
          <w:cantSplit/>
        </w:trPr>
        <w:tc>
          <w:tcPr>
            <w:tcW w:type="dxa" w:w="226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3. Transferencia</w:t>
            </w:r>
          </w:p>
        </w:tc>
        <w:tc>
          <w:tcPr>
            <w:tcW w:type="dxa" w:w="595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Problemas nuevos, tema posterior, contexto distinto o tarea auténtica.</w:t>
            </w:r>
          </w:p>
        </w:tc>
        <w:tc>
          <w:tcPr>
            <w:tcW w:type="dxa" w:w="187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Clave para generalización.</w:t>
            </w:r>
          </w:p>
        </w:tc>
      </w:tr>
      <w:tr>
        <w:trPr>
          <w:cantSplit/>
        </w:trPr>
        <w:tc>
          <w:tcPr>
            <w:tcW w:type="dxa" w:w="226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4. Eficiencia</w:t>
            </w:r>
          </w:p>
        </w:tc>
        <w:tc>
          <w:tcPr>
            <w:tcW w:type="dxa" w:w="595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Tiempo a dominio, oportunidades, costo y aprendizaje por hora.</w:t>
            </w:r>
          </w:p>
        </w:tc>
        <w:tc>
          <w:tcPr>
            <w:tcW w:type="dxa" w:w="187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No sustituye calidad.</w:t>
            </w:r>
          </w:p>
        </w:tc>
      </w:tr>
      <w:tr>
        <w:trPr>
          <w:cantSplit/>
        </w:trPr>
        <w:tc>
          <w:tcPr>
            <w:tcW w:type="dxa" w:w="226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5. Proceso</w:t>
            </w:r>
          </w:p>
        </w:tc>
        <w:tc>
          <w:tcPr>
            <w:tcW w:type="dxa" w:w="595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Intentos, pistas, self-explanation, error correction, direct-answer rate, persistencia y profundidad.</w:t>
            </w:r>
          </w:p>
        </w:tc>
        <w:tc>
          <w:tcPr>
            <w:tcW w:type="dxa" w:w="187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Mecanismo/diagnóstico.</w:t>
            </w:r>
          </w:p>
        </w:tc>
      </w:tr>
      <w:tr>
        <w:trPr>
          <w:cantSplit/>
        </w:trPr>
        <w:tc>
          <w:tcPr>
            <w:tcW w:type="dxa" w:w="226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6. Autonomía/metacognición</w:t>
            </w:r>
          </w:p>
        </w:tc>
        <w:tc>
          <w:tcPr>
            <w:tcW w:type="dxa" w:w="595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Calibración, planificación, elección de estrategia, motivación autónoma y dependencia.</w:t>
            </w:r>
          </w:p>
        </w:tc>
        <w:tc>
          <w:tcPr>
            <w:tcW w:type="dxa" w:w="187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Necesario para efectos largos.</w:t>
            </w:r>
          </w:p>
        </w:tc>
      </w:tr>
      <w:tr>
        <w:trPr>
          <w:cantSplit/>
        </w:trPr>
        <w:tc>
          <w:tcPr>
            <w:tcW w:type="dxa" w:w="226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7. Equidad</w:t>
            </w:r>
          </w:p>
        </w:tc>
        <w:tc>
          <w:tcPr>
            <w:tcW w:type="dxa" w:w="595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Efectos, uso, errores y acceso por nivel inicial, lengua, género, SES, discapacidad y contexto.</w:t>
            </w:r>
          </w:p>
        </w:tc>
        <w:tc>
          <w:tcPr>
            <w:tcW w:type="dxa" w:w="187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No solo promedio.</w:t>
            </w:r>
          </w:p>
        </w:tc>
      </w:tr>
      <w:tr>
        <w:trPr>
          <w:cantSplit/>
        </w:trPr>
        <w:tc>
          <w:tcPr>
            <w:tcW w:type="dxa" w:w="226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8. Docente/sistema</w:t>
            </w:r>
          </w:p>
        </w:tc>
        <w:tc>
          <w:tcPr>
            <w:tcW w:type="dxa" w:w="595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Carga, calidad, decisiones, cobertura, relaciones, incidentes, adopción y fidelidad.</w:t>
            </w:r>
          </w:p>
        </w:tc>
        <w:tc>
          <w:tcPr>
            <w:tcW w:type="dxa" w:w="187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Implementación.</w:t>
            </w:r>
          </w:p>
        </w:tc>
      </w:tr>
    </w:tbl>
    <w:p>
      <w:pPr>
        <w:pStyle w:val="Heading2"/>
      </w:pPr>
      <w:r>
        <w:t>9.2 Diseño mínimo recomendado</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09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Elemento</w:t>
            </w:r>
          </w:p>
        </w:tc>
        <w:tc>
          <w:tcPr>
            <w:tcW w:type="dxa" w:w="799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Estándar</w:t>
            </w:r>
          </w:p>
        </w:tc>
      </w:tr>
      <w:tr>
        <w:trPr>
          <w:cantSplit/>
        </w:trPr>
        <w:tc>
          <w:tcPr>
            <w:tcW w:type="dxa" w:w="209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Pregunta</w:t>
            </w:r>
          </w:p>
        </w:tc>
        <w:tc>
          <w:tcPr>
            <w:tcW w:type="dxa" w:w="799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Definir tratamiento como sistema + protocolo + soporte; no “usar IA”.</w:t>
            </w:r>
          </w:p>
        </w:tc>
      </w:tr>
      <w:tr>
        <w:trPr>
          <w:cantSplit/>
        </w:trPr>
        <w:tc>
          <w:tcPr>
            <w:tcW w:type="dxa" w:w="209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Comparador</w:t>
            </w:r>
          </w:p>
        </w:tc>
        <w:tc>
          <w:tcPr>
            <w:tcW w:type="dxa" w:w="799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Control activo con igual tiempo, contenido, atención, dispositivo y posibilidad de pedir ayuda cuando sea viable.</w:t>
            </w:r>
          </w:p>
        </w:tc>
      </w:tr>
      <w:tr>
        <w:trPr>
          <w:cantSplit/>
        </w:trPr>
        <w:tc>
          <w:tcPr>
            <w:tcW w:type="dxa" w:w="209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Asignación</w:t>
            </w:r>
          </w:p>
        </w:tc>
        <w:tc>
          <w:tcPr>
            <w:tcW w:type="dxa" w:w="799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Randomización individual o cluster; preregistro; balance; plan de attrition y spillovers.</w:t>
            </w:r>
          </w:p>
        </w:tc>
      </w:tr>
      <w:tr>
        <w:trPr>
          <w:cantSplit/>
        </w:trPr>
        <w:tc>
          <w:tcPr>
            <w:tcW w:type="dxa" w:w="209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Duración</w:t>
            </w:r>
          </w:p>
        </w:tc>
        <w:tc>
          <w:tcPr>
            <w:tcW w:type="dxa" w:w="799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8–16 semanas o curso; medir evolución. Estudios cortos sirven para mecanismo, no para efectividad general.</w:t>
            </w:r>
          </w:p>
        </w:tc>
      </w:tr>
      <w:tr>
        <w:trPr>
          <w:cantSplit/>
        </w:trPr>
        <w:tc>
          <w:tcPr>
            <w:tcW w:type="dxa" w:w="209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Evaluación</w:t>
            </w:r>
          </w:p>
        </w:tc>
        <w:tc>
          <w:tcPr>
            <w:tcW w:type="dxa" w:w="799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Outcome creado/administrado independientemente; sin acceso a IA; prueba demorada y de transferencia.</w:t>
            </w:r>
          </w:p>
        </w:tc>
      </w:tr>
      <w:tr>
        <w:trPr>
          <w:cantSplit/>
        </w:trPr>
        <w:tc>
          <w:tcPr>
            <w:tcW w:type="dxa" w:w="209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Dosificación</w:t>
            </w:r>
          </w:p>
        </w:tc>
        <w:tc>
          <w:tcPr>
            <w:tcW w:type="dxa" w:w="799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ITT + uso real; minutos activos, sesiones, pasos, adherencia, calidad y exposición humana.</w:t>
            </w:r>
          </w:p>
        </w:tc>
      </w:tr>
      <w:tr>
        <w:trPr>
          <w:cantSplit/>
        </w:trPr>
        <w:tc>
          <w:tcPr>
            <w:tcW w:type="dxa" w:w="209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Procesos</w:t>
            </w:r>
          </w:p>
        </w:tc>
        <w:tc>
          <w:tcPr>
            <w:tcW w:type="dxa" w:w="799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Logs con taxonomía validada; muestras revisadas por expertos; student action after feedback.</w:t>
            </w:r>
          </w:p>
        </w:tc>
      </w:tr>
      <w:tr>
        <w:trPr>
          <w:cantSplit/>
        </w:trPr>
        <w:tc>
          <w:tcPr>
            <w:tcW w:type="dxa" w:w="209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Heterogeneidad</w:t>
            </w:r>
          </w:p>
        </w:tc>
        <w:tc>
          <w:tcPr>
            <w:tcW w:type="dxa" w:w="799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Preespecificar subgrupos y evitar fishing; analizar quién no usa y por qué.</w:t>
            </w:r>
          </w:p>
        </w:tc>
      </w:tr>
      <w:tr>
        <w:trPr>
          <w:cantSplit/>
        </w:trPr>
        <w:tc>
          <w:tcPr>
            <w:tcW w:type="dxa" w:w="209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Costos</w:t>
            </w:r>
          </w:p>
        </w:tc>
        <w:tc>
          <w:tcPr>
            <w:tcW w:type="dxa" w:w="799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Costeo ingredientes: modelo, autoría, hardware, conectividad, formación, supervisión, soporte y administración.</w:t>
            </w:r>
          </w:p>
        </w:tc>
      </w:tr>
      <w:tr>
        <w:trPr>
          <w:cantSplit/>
        </w:trPr>
        <w:tc>
          <w:tcPr>
            <w:tcW w:type="dxa" w:w="209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Reproducibilidad</w:t>
            </w:r>
          </w:p>
        </w:tc>
        <w:tc>
          <w:tcPr>
            <w:tcW w:type="dxa" w:w="799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Versiones, prompts, contenido, código, instrumentos, decisiones y cambios durante el estudio.</w:t>
            </w:r>
          </w:p>
        </w:tc>
      </w:tr>
    </w:tbl>
    <w:p>
      <w:pPr>
        <w:pStyle w:val="Heading2"/>
      </w:pPr>
      <w:r>
        <w:t>9.3 Métricas de proceso que sí importan</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948"/>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Métrica</w:t>
            </w:r>
          </w:p>
        </w:tc>
        <w:tc>
          <w:tcPr>
            <w:tcW w:type="dxa" w:w="7143"/>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Definición</w:t>
            </w:r>
          </w:p>
        </w:tc>
      </w:tr>
      <w:tr>
        <w:trPr>
          <w:cantSplit/>
        </w:trPr>
        <w:tc>
          <w:tcPr>
            <w:tcW w:type="dxa" w:w="294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Productive engagement rate</w:t>
            </w:r>
          </w:p>
        </w:tc>
        <w:tc>
          <w:tcPr>
            <w:tcW w:type="dxa" w:w="714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Proporción de turnos con razonamiento, generación, corrección o explicación; no solo lectura/copia.</w:t>
            </w:r>
          </w:p>
        </w:tc>
      </w:tr>
      <w:tr>
        <w:trPr>
          <w:cantSplit/>
        </w:trPr>
        <w:tc>
          <w:tcPr>
            <w:tcW w:type="dxa" w:w="294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Direct-answer rate</w:t>
            </w:r>
          </w:p>
        </w:tc>
        <w:tc>
          <w:tcPr>
            <w:tcW w:type="dxa" w:w="714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Frecuencia con que el sistema o alumno busca/entrega la solución antes de trabajo suficiente.</w:t>
            </w:r>
          </w:p>
        </w:tc>
      </w:tr>
      <w:tr>
        <w:trPr>
          <w:cantSplit/>
        </w:trPr>
        <w:tc>
          <w:tcPr>
            <w:tcW w:type="dxa" w:w="294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Hint dependence</w:t>
            </w:r>
          </w:p>
        </w:tc>
        <w:tc>
          <w:tcPr>
            <w:tcW w:type="dxa" w:w="714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Pistas por éxito, success-without-hint posterior y velocidad de fading.</w:t>
            </w:r>
          </w:p>
        </w:tc>
      </w:tr>
      <w:tr>
        <w:trPr>
          <w:cantSplit/>
        </w:trPr>
        <w:tc>
          <w:tcPr>
            <w:tcW w:type="dxa" w:w="294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Error repair</w:t>
            </w:r>
          </w:p>
        </w:tc>
        <w:tc>
          <w:tcPr>
            <w:tcW w:type="dxa" w:w="714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Probabilidad de identificar, explicar y no repetir el mismo error.</w:t>
            </w:r>
          </w:p>
        </w:tc>
      </w:tr>
      <w:tr>
        <w:trPr>
          <w:cantSplit/>
        </w:trPr>
        <w:tc>
          <w:tcPr>
            <w:tcW w:type="dxa" w:w="294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Calibration</w:t>
            </w:r>
          </w:p>
        </w:tc>
        <w:tc>
          <w:tcPr>
            <w:tcW w:type="dxa" w:w="714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Correspondencia entre confianza y desempeño; del alumno y del tutor.</w:t>
            </w:r>
          </w:p>
        </w:tc>
      </w:tr>
      <w:tr>
        <w:trPr>
          <w:cantSplit/>
        </w:trPr>
        <w:tc>
          <w:tcPr>
            <w:tcW w:type="dxa" w:w="294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Next-item transfer</w:t>
            </w:r>
          </w:p>
        </w:tc>
        <w:tc>
          <w:tcPr>
            <w:tcW w:type="dxa" w:w="714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Éxito en ítem nuevo de la misma habilidad sin ayuda; útil como leading indicator, no outcome final.</w:t>
            </w:r>
          </w:p>
        </w:tc>
      </w:tr>
      <w:tr>
        <w:trPr>
          <w:cantSplit/>
        </w:trPr>
        <w:tc>
          <w:tcPr>
            <w:tcW w:type="dxa" w:w="294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Topic coverage</w:t>
            </w:r>
          </w:p>
        </w:tc>
        <w:tc>
          <w:tcPr>
            <w:tcW w:type="dxa" w:w="714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Dominio, profundidad y diversidad; evitar concentración en lo fácil o solicitado.</w:t>
            </w:r>
          </w:p>
        </w:tc>
      </w:tr>
      <w:tr>
        <w:trPr>
          <w:cantSplit/>
        </w:trPr>
        <w:tc>
          <w:tcPr>
            <w:tcW w:type="dxa" w:w="294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Adoption/fidelity</w:t>
            </w:r>
          </w:p>
        </w:tc>
        <w:tc>
          <w:tcPr>
            <w:tcW w:type="dxa" w:w="714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Login, minutos activos, sesiones completas, cumplimiento docente, latencia e incidentes.</w:t>
            </w:r>
          </w:p>
        </w:tc>
      </w:tr>
    </w:tbl>
    <w:p>
      <w:pPr>
        <w:keepNext w:val="0"/>
        <w:keepLines w:val="0"/>
        <w:spacing w:before="0" w:after="80" w:line="269" w:lineRule="auto"/>
      </w:pPr>
      <w:r>
        <w:t>Khan Academy usa next-item correctness como medida inmediata de transferencia [13]. Es superior a medir solo satisfacción o éxito con ayuda, pero no reemplaza un examen independiente ni retención. OpenAI propone graders longitudinales y medidas cognitivas/metacognitivas [14]; deben validarse contra datos humanos y evitar que el mismo modelo sea juez de su propio impacto.</w:t>
      </w:r>
    </w:p>
    <w:p>
      <w:pPr>
        <w:pStyle w:val="Heading2"/>
      </w:pPr>
      <w:r>
        <w:t>9.4 Diseño factorial para abrir la caja negra</w:t>
      </w:r>
    </w:p>
    <w:p>
      <w:pPr>
        <w:keepNext w:val="0"/>
        <w:keepLines w:val="0"/>
        <w:spacing w:before="0" w:after="80" w:line="269" w:lineRule="auto"/>
      </w:pPr>
      <w:r>
        <w:t>Cuando sea posible, un experimento factorial puede separar: (a) diálogo generativo versus feedback estático; (b) learner model sí/no; (c) guardrails sí/no; (d) docente/coach sí/no; (e) secuencia externa versus control LLM; (f) herramienta verificada versus generación sola. Esto estima componentes y complementariedades, aunque requiere muestras grandes. La alternativa práctica es iterar con A/B de proceso y confirmar los cambios acumulados en un RCT de outcome independiente.</w:t>
      </w:r>
    </w:p>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10. Cómo seleccionar o diseñar un sistema</w:t>
      </w:r>
    </w:p>
    <w:p>
      <w:pPr>
        <w:pStyle w:val="Deck"/>
        <w:keepNext/>
        <w:keepLines w:val="0"/>
        <w:spacing w:before="0" w:after="100" w:line="259" w:lineRule="auto"/>
      </w:pPr>
      <w:r>
        <w:t>Una rúbrica para instituciones, investigadores y equipos de producto.</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15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Criterio</w:t>
            </w:r>
          </w:p>
        </w:tc>
        <w:tc>
          <w:tcPr>
            <w:tcW w:type="dxa" w:w="5613"/>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Qué exigir</w:t>
            </w:r>
          </w:p>
        </w:tc>
        <w:tc>
          <w:tcPr>
            <w:tcW w:type="dxa" w:w="232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4"/>
              </w:rPr>
              <w:t>Escala rápida</w:t>
            </w:r>
          </w:p>
        </w:tc>
      </w:tr>
      <w:tr>
        <w:trPr>
          <w:cantSplit/>
        </w:trPr>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Objetivo y población</w:t>
            </w:r>
          </w:p>
        </w:tc>
        <w:tc>
          <w:tcPr>
            <w:tcW w:type="dxa" w:w="561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Competencias, edad, idioma, contexto, accesibilidad, duración y papel humano definidos.</w:t>
            </w:r>
          </w:p>
        </w:tc>
        <w:tc>
          <w:tcPr>
            <w:tcW w:type="dxa" w:w="232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0: genérico; 1: parcial; 2: preciso y validado.</w:t>
            </w:r>
          </w:p>
        </w:tc>
      </w:tr>
      <w:tr>
        <w:trPr>
          <w:cantSplit/>
        </w:trPr>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Currículo/dominio</w:t>
            </w:r>
          </w:p>
        </w:tc>
        <w:tc>
          <w:tcPr>
            <w:tcW w:type="dxa" w:w="561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Mapa de conceptos, prerrequisitos, fuentes, ítems, soluciones y criterios de dominio.</w:t>
            </w:r>
          </w:p>
        </w:tc>
        <w:tc>
          <w:tcPr>
            <w:tcW w:type="dxa" w:w="232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0: web libre; 1: RAG; 2: dominio estructurado y auditado.</w:t>
            </w:r>
          </w:p>
        </w:tc>
      </w:tr>
      <w:tr>
        <w:trPr>
          <w:cantSplit/>
        </w:trPr>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Learner model</w:t>
            </w:r>
          </w:p>
        </w:tc>
        <w:tc>
          <w:tcPr>
            <w:tcW w:type="dxa" w:w="561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Variables, actualización, incertidumbre, corrección, portabilidad y evidencia predictiva.</w:t>
            </w:r>
          </w:p>
        </w:tc>
        <w:tc>
          <w:tcPr>
            <w:tcW w:type="dxa" w:w="232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0: chat; 1: resumen; 2: mastery/misconception calibrado.</w:t>
            </w:r>
          </w:p>
        </w:tc>
      </w:tr>
      <w:tr>
        <w:trPr>
          <w:cantSplit/>
        </w:trPr>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Política pedagógica</w:t>
            </w:r>
          </w:p>
        </w:tc>
        <w:tc>
          <w:tcPr>
            <w:tcW w:type="dxa" w:w="561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Acciones, reglas de ayuda, secuencia, fading, escalamiento y objetivo explícito.</w:t>
            </w:r>
          </w:p>
        </w:tc>
        <w:tc>
          <w:tcPr>
            <w:tcW w:type="dxa" w:w="232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0: prompt; 1: reglas; 2: policy testada y observable.</w:t>
            </w:r>
          </w:p>
        </w:tc>
      </w:tr>
      <w:tr>
        <w:trPr>
          <w:cantSplit/>
        </w:trPr>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Verificación</w:t>
            </w:r>
          </w:p>
        </w:tc>
        <w:tc>
          <w:tcPr>
            <w:tcW w:type="dxa" w:w="561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Tools, citations, solutions, confidence, abstention, auditoría y error rates.</w:t>
            </w:r>
          </w:p>
        </w:tc>
        <w:tc>
          <w:tcPr>
            <w:tcW w:type="dxa" w:w="232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0: ninguna; 1: parcial; 2: independiente/medida.</w:t>
            </w:r>
          </w:p>
        </w:tc>
      </w:tr>
      <w:tr>
        <w:trPr>
          <w:cantSplit/>
        </w:trPr>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Control humano</w:t>
            </w:r>
          </w:p>
        </w:tc>
        <w:tc>
          <w:tcPr>
            <w:tcW w:type="dxa" w:w="561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Asignar, ver, corregir, limitar, intervenir y exportar; alertas accionables.</w:t>
            </w:r>
          </w:p>
        </w:tc>
        <w:tc>
          <w:tcPr>
            <w:tcW w:type="dxa" w:w="232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0: ausente; 1: dashboard; 2: human-in-command.</w:t>
            </w:r>
          </w:p>
        </w:tc>
      </w:tr>
      <w:tr>
        <w:trPr>
          <w:cantSplit/>
        </w:trPr>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Seguridad/privacidad</w:t>
            </w:r>
          </w:p>
        </w:tc>
        <w:tc>
          <w:tcPr>
            <w:tcW w:type="dxa" w:w="561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Datos, menores, retención, entrenamiento, bias, incidentes y contrato.</w:t>
            </w:r>
          </w:p>
        </w:tc>
        <w:tc>
          <w:tcPr>
            <w:tcW w:type="dxa" w:w="232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0: opaco; 1: compliance; 2: minimización + auditoría.</w:t>
            </w:r>
          </w:p>
        </w:tc>
      </w:tr>
      <w:tr>
        <w:trPr>
          <w:cantSplit/>
        </w:trPr>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Evidencia</w:t>
            </w:r>
          </w:p>
        </w:tc>
        <w:tc>
          <w:tcPr>
            <w:tcW w:type="dxa" w:w="561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Outcome sin ayuda, duración, comparador, versión, población, heterogeneidad y réplica.</w:t>
            </w:r>
          </w:p>
        </w:tc>
        <w:tc>
          <w:tcPr>
            <w:tcW w:type="dxa" w:w="232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0: testimonios; 1: telemetría; 2: causal relevante.</w:t>
            </w:r>
          </w:p>
        </w:tc>
      </w:tr>
      <w:tr>
        <w:trPr>
          <w:cantSplit/>
        </w:trPr>
        <w:tc>
          <w:tcPr>
            <w:tcW w:type="dxa" w:w="215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Implementación</w:t>
            </w:r>
          </w:p>
        </w:tc>
        <w:tc>
          <w:tcPr>
            <w:tcW w:type="dxa" w:w="5613"/>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Dosificación, capacitación, soporte, dispositivos, latencia, uptime y workflow.</w:t>
            </w:r>
          </w:p>
        </w:tc>
        <w:tc>
          <w:tcPr>
            <w:tcW w:type="dxa" w:w="2324"/>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0: licencia; 1: plan; 2: fidelity observada.</w:t>
            </w:r>
          </w:p>
        </w:tc>
      </w:tr>
      <w:tr>
        <w:trPr>
          <w:cantSplit/>
        </w:trPr>
        <w:tc>
          <w:tcPr>
            <w:tcW w:type="dxa" w:w="215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Economía/salida</w:t>
            </w:r>
          </w:p>
        </w:tc>
        <w:tc>
          <w:tcPr>
            <w:tcW w:type="dxa" w:w="5613"/>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Costo total, costo por gain, interoperabilidad, exportación y plan de discontinuación.</w:t>
            </w:r>
          </w:p>
        </w:tc>
        <w:tc>
          <w:tcPr>
            <w:tcW w:type="dxa" w:w="2324"/>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0: precio; 1: TCO; 2: TCO + efectividad + salida.</w:t>
            </w:r>
          </w:p>
        </w:tc>
      </w:tr>
    </w:tbl>
    <w:tbl>
      <w:tblPr>
        <w:tblW w:type="auto" w:w="0"/>
        <w:jc w:val="center"/>
        <w:tblLayout w:type="fixed"/>
        <w:tblLook w:firstColumn="1" w:firstRow="1" w:lastColumn="0" w:lastRow="0" w:noHBand="0" w:noVBand="1" w:val="04A0"/>
      </w:tblPr>
      <w:tblGrid>
        <w:gridCol w:w="5046"/>
        <w:gridCol w:w="5046"/>
      </w:tblGrid>
      <w:tr>
        <w:trPr>
          <w:cantSplit/>
        </w:trPr>
        <w:tc>
          <w:tcPr>
            <w:tcW w:type="dxa" w:w="170"/>
            <w:tcBorders>
              <w:top w:val="nil"/>
              <w:left w:val="nil"/>
              <w:bottom w:val="nil"/>
              <w:right w:val="nil"/>
            </w:tcBorders>
            <w:shd w:fill="0A7A78" w:val="clear"/>
            <w:tcMar>
              <w:top w:w="40" w:type="dxa"/>
              <w:start w:w="15" w:type="dxa"/>
              <w:bottom w:w="40" w:type="dxa"/>
              <w:end w:w="15" w:type="dxa"/>
            </w:tcMar>
          </w:tcPr>
          <w:p/>
        </w:tc>
        <w:tc>
          <w:tcPr>
            <w:tcW w:type="dxa" w:w="9184"/>
            <w:tcBorders>
              <w:top w:val="nil"/>
              <w:left w:val="nil"/>
              <w:bottom w:val="nil"/>
              <w:right w:val="nil"/>
            </w:tcBorders>
            <w:shd w:fill="DCEFED" w:val="clear"/>
            <w:tcMar>
              <w:top w:w="80" w:type="dxa"/>
              <w:start w:w="120" w:type="dxa"/>
              <w:bottom w:w="80" w:type="dxa"/>
              <w:end w:w="120" w:type="dxa"/>
            </w:tcMar>
          </w:tcPr>
          <w:p>
            <w:pPr>
              <w:keepNext w:val="0"/>
              <w:keepLines w:val="0"/>
              <w:spacing w:before="0" w:after="0" w:line="259" w:lineRule="auto"/>
            </w:pPr>
            <w:r>
              <w:rPr>
                <w:rFonts w:ascii="Noto Sans" w:hAnsi="Noto Sans" w:eastAsia="Noto Sans"/>
                <w:b/>
                <w:color w:val="18324B"/>
                <w:sz w:val="18"/>
              </w:rPr>
              <w:t>Regla de decisión.</w:t>
            </w:r>
            <w:r>
              <w:t xml:space="preserve">  </w:t>
            </w:r>
            <w:r>
              <w:rPr>
                <w:rFonts w:ascii="Noto Sans" w:hAnsi="Noto Sans" w:eastAsia="Noto Sans"/>
                <w:color w:val="263238"/>
                <w:sz w:val="18"/>
              </w:rPr>
              <w:t>No comprar por “modelo de frontera”, cantidad de funciones o demostración. Comprar —o construir— cuando la arquitectura sea visible, la política sea compatible con el objetivo, la implementación sea viable y la evidencia mida el mismo outcome, población y modo de uso.</w:t>
            </w:r>
          </w:p>
        </w:tc>
      </w:tr>
    </w:tbl>
    <w:p>
      <w:pPr>
        <w:pStyle w:val="Heading2"/>
      </w:pPr>
      <w:r>
        <w:t>10.1 Preguntas para una demo técnica</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Muestre el learner model de un alumno ficticio antes y después de tres respuestas. ¿Qué cambió y por qué?</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Fuerce un error factual, una respuesta ambigua y una solicitud de “solo dame la respuesta”. ¿Qué rutas activa?</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Cambie el objetivo curricular o la convención matemática. ¿Cómo se controla la fuente y se evita mezclar marcos?</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Muestre una conversación larga con cambio de tema. ¿Quién controla la secuencia y qué ocurre si el LLM ignora una regla?</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Abra el panel docente. ¿Qué acción concreta sugiere, qué evidencia ofrece y cómo se corrige una inferencia?</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Exporte logs, versiones, contenido recuperado, incidentes y métricas por subgrupo. ¿Qué no puede exportarse?</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Explique qué parte del producto fue evaluada, con qué versión, en qué población y con qué prueba sin ayuda.</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Calcule el costo total con la dosis recomendada, capacitación, soporte, devices y supervisión; no solo tokens/licencia.</w:t>
      </w:r>
    </w:p>
    <w:p>
      <w:pPr>
        <w:pStyle w:val="Heading2"/>
      </w:pPr>
      <w:r>
        <w:t>10.2 Arquitectura recomendada para un piloto</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381"/>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Fase</w:t>
            </w:r>
          </w:p>
        </w:tc>
        <w:tc>
          <w:tcPr>
            <w:tcW w:type="dxa" w:w="7710"/>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6"/>
              </w:rPr>
              <w:t>Entregable</w:t>
            </w:r>
          </w:p>
        </w:tc>
      </w:tr>
      <w:tr>
        <w:trPr>
          <w:cantSplit/>
        </w:trPr>
        <w:tc>
          <w:tcPr>
            <w:tcW w:type="dxa" w:w="238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Fase 0: diseño</w:t>
            </w:r>
          </w:p>
        </w:tc>
        <w:tc>
          <w:tcPr>
            <w:tcW w:type="dxa" w:w="7710"/>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Seleccionar 1–3 competencias, currículo autorizado, población, outcome y protocolo humano.</w:t>
            </w:r>
          </w:p>
        </w:tc>
      </w:tr>
      <w:tr>
        <w:trPr>
          <w:cantSplit/>
        </w:trPr>
        <w:tc>
          <w:tcPr>
            <w:tcW w:type="dxa" w:w="238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Fase 1: tutor constrained</w:t>
            </w:r>
          </w:p>
        </w:tc>
        <w:tc>
          <w:tcPr>
            <w:tcW w:type="dxa" w:w="7710"/>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RAG + banco/solutions + learner model simple + policy externa + logs + override.</w:t>
            </w:r>
          </w:p>
        </w:tc>
      </w:tr>
      <w:tr>
        <w:trPr>
          <w:cantSplit/>
        </w:trPr>
        <w:tc>
          <w:tcPr>
            <w:tcW w:type="dxa" w:w="238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Fase 2: validación</w:t>
            </w:r>
          </w:p>
        </w:tc>
        <w:tc>
          <w:tcPr>
            <w:tcW w:type="dxa" w:w="7710"/>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Red-team, factuality, pedagogical rubric, privacidad, accesibilidad y small usability.</w:t>
            </w:r>
          </w:p>
        </w:tc>
      </w:tr>
      <w:tr>
        <w:trPr>
          <w:cantSplit/>
        </w:trPr>
        <w:tc>
          <w:tcPr>
            <w:tcW w:type="dxa" w:w="238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Fase 3: piloto causal</w:t>
            </w:r>
          </w:p>
        </w:tc>
        <w:tc>
          <w:tcPr>
            <w:tcW w:type="dxa" w:w="7710"/>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Control activo, 8–16 semanas, medición sin ayuda, dosage y costo.</w:t>
            </w:r>
          </w:p>
        </w:tc>
      </w:tr>
      <w:tr>
        <w:trPr>
          <w:cantSplit/>
        </w:trPr>
        <w:tc>
          <w:tcPr>
            <w:tcW w:type="dxa" w:w="238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Fase 4: scale gate</w:t>
            </w:r>
          </w:p>
        </w:tc>
        <w:tc>
          <w:tcPr>
            <w:tcW w:type="dxa" w:w="7710"/>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Escalar solo si no hay regresión en aprendizaje, equidad, seguridad y carga; repetir con nueva versión.</w:t>
            </w:r>
          </w:p>
        </w:tc>
      </w:tr>
    </w:tbl>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11. Frontera 2026-2030</w:t>
      </w:r>
    </w:p>
    <w:p>
      <w:pPr>
        <w:pStyle w:val="Deck"/>
        <w:keepNext/>
        <w:keepLines w:val="0"/>
        <w:spacing w:before="0" w:after="100" w:line="259" w:lineRule="auto"/>
      </w:pPr>
      <w:r>
        <w:t>Qué avances son plausibles y qué sigue sin demostrarse.</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551"/>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Frontera</w:t>
            </w:r>
          </w:p>
        </w:tc>
        <w:tc>
          <w:tcPr>
            <w:tcW w:type="dxa" w:w="4082"/>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Promesa</w:t>
            </w:r>
          </w:p>
        </w:tc>
        <w:tc>
          <w:tcPr>
            <w:tcW w:type="dxa" w:w="345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Pregunta abierta</w:t>
            </w:r>
          </w:p>
        </w:tc>
      </w:tr>
      <w:tr>
        <w:trPr>
          <w:cantSplit/>
        </w:trPr>
        <w:tc>
          <w:tcPr>
            <w:tcW w:type="dxa" w:w="255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Learner models persistentes y portables</w:t>
            </w:r>
          </w:p>
        </w:tc>
        <w:tc>
          <w:tcPr>
            <w:tcW w:type="dxa" w:w="408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Memoria estructurada entre cursos y herramientas, con dominio, olvido, metas y privacidad.</w:t>
            </w:r>
          </w:p>
        </w:tc>
        <w:tc>
          <w:tcPr>
            <w:tcW w:type="dxa" w:w="345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Interoperabilidad, corrección, gobernanza y validación longitudinal.</w:t>
            </w:r>
          </w:p>
        </w:tc>
      </w:tr>
      <w:tr>
        <w:trPr>
          <w:cantSplit/>
        </w:trPr>
        <w:tc>
          <w:tcPr>
            <w:tcW w:type="dxa" w:w="255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Agentes pedagógicos</w:t>
            </w:r>
          </w:p>
        </w:tc>
        <w:tc>
          <w:tcPr>
            <w:tcW w:type="dxa" w:w="408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Planner coordina tutor, evaluador, simulador, buscador, solver y docente.</w:t>
            </w:r>
          </w:p>
        </w:tc>
        <w:tc>
          <w:tcPr>
            <w:tcW w:type="dxa" w:w="345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Control, errores compuestos, costo/latencia y trazabilidad.</w:t>
            </w:r>
          </w:p>
        </w:tc>
      </w:tr>
      <w:tr>
        <w:trPr>
          <w:cantSplit/>
        </w:trPr>
        <w:tc>
          <w:tcPr>
            <w:tcW w:type="dxa" w:w="255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Multimodalidad auténtica</w:t>
            </w:r>
          </w:p>
        </w:tc>
        <w:tc>
          <w:tcPr>
            <w:tcW w:type="dxa" w:w="408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Observa escritura, habla, diagramas, laboratorio y pantalla; feedback situado.</w:t>
            </w:r>
          </w:p>
        </w:tc>
        <w:tc>
          <w:tcPr>
            <w:tcW w:type="dxa" w:w="345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Privacidad, validez de percepción y evaluación de tareas abiertas.</w:t>
            </w:r>
          </w:p>
        </w:tc>
      </w:tr>
      <w:tr>
        <w:trPr>
          <w:cantSplit/>
        </w:trPr>
        <w:tc>
          <w:tcPr>
            <w:tcW w:type="dxa" w:w="255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Policies aprendidas por outcomes</w:t>
            </w:r>
          </w:p>
        </w:tc>
        <w:tc>
          <w:tcPr>
            <w:tcW w:type="dxa" w:w="408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Bandits/RL eligen próxima intervención usando transferencia y retención.</w:t>
            </w:r>
          </w:p>
        </w:tc>
        <w:tc>
          <w:tcPr>
            <w:tcW w:type="dxa" w:w="345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Recompensa correcta, exploración ética, drift y generalización.</w:t>
            </w:r>
          </w:p>
        </w:tc>
      </w:tr>
      <w:tr>
        <w:trPr>
          <w:cantSplit/>
        </w:trPr>
        <w:tc>
          <w:tcPr>
            <w:tcW w:type="dxa" w:w="255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Generación curricular validada</w:t>
            </w:r>
          </w:p>
        </w:tc>
        <w:tc>
          <w:tcPr>
            <w:tcW w:type="dxa" w:w="408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Produce ítems, distractores, ejemplos y simulaciones calibradas automáticamente.</w:t>
            </w:r>
          </w:p>
        </w:tc>
        <w:tc>
          <w:tcPr>
            <w:tcW w:type="dxa" w:w="345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Control de dificultad, cobertura, copyright, bias y leakage.</w:t>
            </w:r>
          </w:p>
        </w:tc>
      </w:tr>
      <w:tr>
        <w:trPr>
          <w:cantSplit/>
        </w:trPr>
        <w:tc>
          <w:tcPr>
            <w:tcW w:type="dxa" w:w="255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Copilotos de aula</w:t>
            </w:r>
          </w:p>
        </w:tc>
        <w:tc>
          <w:tcPr>
            <w:tcW w:type="dxa" w:w="408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Agrupamiento, alertas, explicación de errores y sugerencias durante clase.</w:t>
            </w:r>
          </w:p>
        </w:tc>
        <w:tc>
          <w:tcPr>
            <w:tcW w:type="dxa" w:w="345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Sobrecarga, confianza, workflow y downstream impact.</w:t>
            </w:r>
          </w:p>
        </w:tc>
      </w:tr>
      <w:tr>
        <w:trPr>
          <w:cantSplit/>
        </w:trPr>
        <w:tc>
          <w:tcPr>
            <w:tcW w:type="dxa" w:w="255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Evaluación continua</w:t>
            </w:r>
          </w:p>
        </w:tc>
        <w:tc>
          <w:tcPr>
            <w:tcW w:type="dxa" w:w="4082"/>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Evidencia de proceso, conversación oral, proyectos y performance, no solo examen final.</w:t>
            </w:r>
          </w:p>
        </w:tc>
        <w:tc>
          <w:tcPr>
            <w:tcW w:type="dxa" w:w="345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Validez, privacidad, comparabilidad e incentivos.</w:t>
            </w:r>
          </w:p>
        </w:tc>
      </w:tr>
      <w:tr>
        <w:trPr>
          <w:cantSplit/>
        </w:trPr>
        <w:tc>
          <w:tcPr>
            <w:tcW w:type="dxa" w:w="255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Tutoría de bajo costo global</w:t>
            </w:r>
          </w:p>
        </w:tc>
        <w:tc>
          <w:tcPr>
            <w:tcW w:type="dxa" w:w="4082"/>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Voz/móvil/offline, lenguas locales, currículo nacional y facilitadores.</w:t>
            </w:r>
          </w:p>
        </w:tc>
        <w:tc>
          <w:tcPr>
            <w:tcW w:type="dxa" w:w="345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4"/>
              </w:rPr>
              <w:t>Infraestructura, soporte, contenido local y capacidad estatal.</w:t>
            </w:r>
          </w:p>
        </w:tc>
      </w:tr>
    </w:tbl>
    <w:p>
      <w:pPr>
        <w:pStyle w:val="Heading2"/>
      </w:pPr>
      <w:r>
        <w:t>11.1 Lo que probablemente veremos</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Convergencia entre ITS y LLM: los sistemas generativos incorporarán mastery, prerequisite graphs y schedulers; los adaptativos añadirán diálogo, voz y generación de contenido.</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Más arquitectura “constrained”: modelos dentro de flujos, herramientas y políticas, con libertad local y control global. La mejora vendrá tanto del sistema como del foundation model.</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Copilotos para adultos antes que autonomía plena: es más fácil medir y controlar una sugerencia a un tutor/docente que delegar toda la interacción con menores.</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Medición de conducta y longitudinalidad: la industria pasará de “mensaje pedagógicamente bueno” a acciones del alumno, retención, dependencia y trayectorias. Los estudios nacionales en Estonia y nuevos RCT de Eedi son señales [14,30].</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Presión por interoperabilidad y soberanía: instituciones querrán controlar contenido, learner models, logs, versiones y capacidad de cambiar de proveedor.</w:t>
      </w:r>
    </w:p>
    <w:p>
      <w:pPr>
        <w:pStyle w:val="Heading2"/>
      </w:pPr>
      <w:r>
        <w:t>11.2 Lo que no está demostrado</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Que un tutor generativo autónomo produzca, a escala y durante cursos completos, resultados equivalentes o superiores a tutoría humana de alta calidad.</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Que la personalización conversacional mejore outcomes por encima de secuenciación adaptativa clásica, manteniendo constantes contenido, tiempo y soporte.</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Que los gains inmediatos persistan, transfieran a tareas lejanas y no reduzcan autonomía, motivación o capacidad de trabajar sin herramienta.</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Que los costos totales —incluyendo infraestructura, autoría, supervisión, privacidad y soporte— sean sistemáticamente menores por unidad de aprendizaje.</w:t>
      </w:r>
    </w:p>
    <w:p>
      <w:pPr>
        <w:spacing w:after="50" w:line="259" w:lineRule="auto"/>
        <w:ind w:left="227" w:hanging="170"/>
      </w:pPr>
      <w:r>
        <w:rPr>
          <w:rFonts w:ascii="Noto Sans" w:hAnsi="Noto Sans" w:eastAsia="Noto Sans"/>
          <w:b/>
          <w:color w:val="0A7A78"/>
          <w:sz w:val="17"/>
        </w:rPr>
        <w:t xml:space="preserve">• </w:t>
      </w:r>
      <w:r>
        <w:rPr>
          <w:rFonts w:ascii="Noto Sans" w:hAnsi="Noto Sans" w:eastAsia="Noto Sans"/>
          <w:color w:val="263238"/>
          <w:sz w:val="17"/>
        </w:rPr>
        <w:t>Que las ventajas se distribuyan equitativamente sin facilitación, alfabetización digital, accesibilidad y contenido local.</w:t>
      </w:r>
    </w:p>
    <w:tbl>
      <w:tblPr>
        <w:tblW w:type="auto" w:w="0"/>
        <w:jc w:val="center"/>
        <w:tblLayout w:type="fixed"/>
        <w:tblLook w:firstColumn="1" w:firstRow="1" w:lastColumn="0" w:lastRow="0" w:noHBand="0" w:noVBand="1" w:val="04A0"/>
      </w:tblPr>
      <w:tblGrid>
        <w:gridCol w:w="5046"/>
        <w:gridCol w:w="5046"/>
      </w:tblGrid>
      <w:tr>
        <w:trPr>
          <w:cantSplit/>
        </w:trPr>
        <w:tc>
          <w:tcPr>
            <w:tcW w:type="dxa" w:w="170"/>
            <w:tcBorders>
              <w:top w:val="nil"/>
              <w:left w:val="nil"/>
              <w:bottom w:val="nil"/>
              <w:right w:val="nil"/>
            </w:tcBorders>
            <w:shd w:fill="D39A2C" w:val="clear"/>
            <w:tcMar>
              <w:top w:w="40" w:type="dxa"/>
              <w:start w:w="15" w:type="dxa"/>
              <w:bottom w:w="40" w:type="dxa"/>
              <w:end w:w="15" w:type="dxa"/>
            </w:tcMar>
          </w:tcPr>
          <w:p/>
        </w:tc>
        <w:tc>
          <w:tcPr>
            <w:tcW w:type="dxa" w:w="9184"/>
            <w:tcBorders>
              <w:top w:val="nil"/>
              <w:left w:val="nil"/>
              <w:bottom w:val="nil"/>
              <w:right w:val="nil"/>
            </w:tcBorders>
            <w:shd w:fill="F8EDD4" w:val="clear"/>
            <w:tcMar>
              <w:top w:w="80" w:type="dxa"/>
              <w:start w:w="120" w:type="dxa"/>
              <w:bottom w:w="80" w:type="dxa"/>
              <w:end w:w="120" w:type="dxa"/>
            </w:tcMar>
          </w:tcPr>
          <w:p>
            <w:pPr>
              <w:keepNext w:val="0"/>
              <w:keepLines w:val="0"/>
              <w:spacing w:before="0" w:after="0" w:line="259" w:lineRule="auto"/>
            </w:pPr>
            <w:r>
              <w:rPr>
                <w:rFonts w:ascii="Noto Sans" w:hAnsi="Noto Sans" w:eastAsia="Noto Sans"/>
                <w:b/>
                <w:color w:val="18324B"/>
                <w:sz w:val="18"/>
              </w:rPr>
              <w:t>Agenda científica.</w:t>
            </w:r>
            <w:r>
              <w:t xml:space="preserve">  </w:t>
            </w:r>
            <w:r>
              <w:rPr>
                <w:rFonts w:ascii="Noto Sans" w:hAnsi="Noto Sans" w:eastAsia="Noto Sans"/>
                <w:color w:val="263238"/>
                <w:sz w:val="18"/>
              </w:rPr>
              <w:t>La pregunta ya no es “¿puede conversar como tutor?”. Es: ¿qué estado del alumno mantiene, qué política elige, qué parte del esfuerzo conserva, qué componente produce el gain, para quién, cuánto dura y a qué costo?</w:t>
            </w:r>
          </w:p>
        </w:tc>
      </w:tr>
    </w:tbl>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12. Conclusiones</w:t>
      </w:r>
    </w:p>
    <w:p>
      <w:pPr>
        <w:pStyle w:val="Deck"/>
        <w:keepNext/>
        <w:keepLines w:val="0"/>
        <w:spacing w:before="0" w:after="100" w:line="259" w:lineRule="auto"/>
      </w:pPr>
      <w:r>
        <w:t>Una síntesis directa para investigación, diseño y política educativa.</w:t>
      </w: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1</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1. Un buen sistema de IA educativa es una institución en miniatura.</w:t>
            </w:r>
            <w:r>
              <w:rPr>
                <w:rFonts w:ascii="Noto Sans" w:hAnsi="Noto Sans" w:eastAsia="Noto Sans"/>
                <w:color w:val="263238"/>
                <w:sz w:val="17"/>
              </w:rPr>
              <w:t xml:space="preserve"> — Tiene currículo, diagnóstico, reglas, instrumentos, roles, registros y accountability. El LLM es un componente de interfaz y razonamiento, no la institución completa.</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2</w:t>
            </w:r>
          </w:p>
        </w:tc>
        <w:tc>
          <w:tcPr>
            <w:tcW w:type="dxa" w:w="9184"/>
            <w:tcBorders>
              <w:top w:val="nil"/>
              <w:left w:val="nil"/>
              <w:bottom w:val="nil"/>
              <w:right w:val="nil"/>
            </w:tcBorders>
            <w:shd w:fill="EAF2F7"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2. La personalización útil es una decisión contrafactual.</w:t>
            </w:r>
            <w:r>
              <w:rPr>
                <w:rFonts w:ascii="Noto Sans" w:hAnsi="Noto Sans" w:eastAsia="Noto Sans"/>
                <w:color w:val="263238"/>
                <w:sz w:val="17"/>
              </w:rPr>
              <w:t xml:space="preserve"> — El sistema debe poder mostrar que, ante evidencia distinta del alumno, habría escogido otra tarea o ayuda y que esa diferencia mejora outcomes. Personalizar estilo sin cambiar intervención es superficial.</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3</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3. La evidencia promedio es positiva, no definitiva.</w:t>
            </w:r>
            <w:r>
              <w:rPr>
                <w:rFonts w:ascii="Noto Sans" w:hAnsi="Noto Sans" w:eastAsia="Noto Sans"/>
                <w:color w:val="263238"/>
                <w:sz w:val="17"/>
              </w:rPr>
              <w:t xml:space="preserve"> — +0.125 DE es relevante, pero proviene de pocos RCT heterogéneos. La generación no ha demostrado superioridad general sobre tecnología adaptativa previa.</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4</w:t>
            </w:r>
          </w:p>
        </w:tc>
        <w:tc>
          <w:tcPr>
            <w:tcW w:type="dxa" w:w="9184"/>
            <w:tcBorders>
              <w:top w:val="nil"/>
              <w:left w:val="nil"/>
              <w:bottom w:val="nil"/>
              <w:right w:val="nil"/>
            </w:tcBorders>
            <w:shd w:fill="EAF2F7"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4. Los grandes efectos son recetas, no propiedades del modelo.</w:t>
            </w:r>
            <w:r>
              <w:rPr>
                <w:rFonts w:ascii="Noto Sans" w:hAnsi="Noto Sans" w:eastAsia="Noto Sans"/>
                <w:color w:val="263238"/>
                <w:sz w:val="17"/>
              </w:rPr>
              <w:t xml:space="preserve"> — Harvard, Nigeria y Sierra Leona combinan diseño curricular, secuencia, docentes, tiempo y soporte. Copiar la marca o el prompt no reproduce el tratamiento.</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5</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5. El outcome crítico es capacidad sin ayuda.</w:t>
            </w:r>
            <w:r>
              <w:rPr>
                <w:rFonts w:ascii="Noto Sans" w:hAnsi="Noto Sans" w:eastAsia="Noto Sans"/>
                <w:color w:val="263238"/>
                <w:sz w:val="17"/>
              </w:rPr>
              <w:t xml:space="preserve"> — El caso Bastani obliga a medir capital humano después de retirar la herramienta. Productividad conjunta y aprendizaje pueden moverse en direcciones opuestas.</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6</w:t>
            </w:r>
          </w:p>
        </w:tc>
        <w:tc>
          <w:tcPr>
            <w:tcW w:type="dxa" w:w="9184"/>
            <w:tcBorders>
              <w:top w:val="nil"/>
              <w:left w:val="nil"/>
              <w:bottom w:val="nil"/>
              <w:right w:val="nil"/>
            </w:tcBorders>
            <w:shd w:fill="EAF2F7"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6. La política pedagógica debe ser externa y auditable en decisiones críticas.</w:t>
            </w:r>
            <w:r>
              <w:rPr>
                <w:rFonts w:ascii="Noto Sans" w:hAnsi="Noto Sans" w:eastAsia="Noto Sans"/>
                <w:color w:val="263238"/>
                <w:sz w:val="17"/>
              </w:rPr>
              <w:t xml:space="preserve"> — Prompts son útiles para estilo y realización; el orden, answer withholding, mastery gates y escalamiento requieren controles más deterministas.</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7</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7. El híbrido humano-IA es la estrategia de menor arrepentimiento.</w:t>
            </w:r>
            <w:r>
              <w:rPr>
                <w:rFonts w:ascii="Noto Sans" w:hAnsi="Noto Sans" w:eastAsia="Noto Sans"/>
                <w:color w:val="263238"/>
                <w:sz w:val="17"/>
              </w:rPr>
              <w:t xml:space="preserve"> — La IA puede estandarizar buenas preguntas, ofrecer explicaciones y ampliar alcance; el humano sostiene objetivos, motivación, contexto, relaciones y responsabilidad.</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8</w:t>
            </w:r>
          </w:p>
        </w:tc>
        <w:tc>
          <w:tcPr>
            <w:tcW w:type="dxa" w:w="9184"/>
            <w:tcBorders>
              <w:top w:val="nil"/>
              <w:left w:val="nil"/>
              <w:bottom w:val="nil"/>
              <w:right w:val="nil"/>
            </w:tcBorders>
            <w:shd w:fill="EAF2F7"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8. La dosificación y la implementación son parte del modelo causal.</w:t>
            </w:r>
            <w:r>
              <w:rPr>
                <w:rFonts w:ascii="Noto Sans" w:hAnsi="Noto Sans" w:eastAsia="Noto Sans"/>
                <w:color w:val="263238"/>
                <w:sz w:val="17"/>
              </w:rPr>
              <w:t xml:space="preserve"> — Un sistema al que nadie entra no tiene efecto. La evaluación debe incluir adopción, fidelidad, infraestructura y workflow.</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9</w:t>
            </w:r>
          </w:p>
        </w:tc>
        <w:tc>
          <w:tcPr>
            <w:tcW w:type="dxa" w:w="9184"/>
            <w:tcBorders>
              <w:top w:val="nil"/>
              <w:left w:val="nil"/>
              <w:bottom w:val="nil"/>
              <w:right w:val="nil"/>
            </w:tcBorders>
            <w:shd w:fill="F5F7F8"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9. La gobernanza debe cubrir el learner model y el cambio de versión.</w:t>
            </w:r>
            <w:r>
              <w:rPr>
                <w:rFonts w:ascii="Noto Sans" w:hAnsi="Noto Sans" w:eastAsia="Noto Sans"/>
                <w:color w:val="263238"/>
                <w:sz w:val="17"/>
              </w:rPr>
              <w:t xml:space="preserve"> — No basta una política general de privacidad. Se necesitan datos mínimos, corrección, exportación, versionado, auditoría y pruebas de no regresión.</w:t>
            </w:r>
          </w:p>
        </w:tc>
      </w:tr>
    </w:tbl>
    <w:p>
      <w:pPr>
        <w:spacing w:after="0"/>
      </w:pPr>
    </w:p>
    <w:tbl>
      <w:tblPr>
        <w:tblW w:type="auto" w:w="0"/>
        <w:jc w:val="center"/>
        <w:tblLayout w:type="fixed"/>
        <w:tblLook w:firstColumn="1" w:firstRow="1" w:lastColumn="0" w:lastRow="0" w:noHBand="0" w:noVBand="1" w:val="04A0"/>
      </w:tblPr>
      <w:tblGrid>
        <w:gridCol w:w="5046"/>
        <w:gridCol w:w="5046"/>
      </w:tblGrid>
      <w:tr>
        <w:trPr>
          <w:cantSplit/>
        </w:trPr>
        <w:tc>
          <w:tcPr>
            <w:tcW w:type="dxa" w:w="794"/>
            <w:tcBorders>
              <w:top w:val="nil"/>
              <w:left w:val="nil"/>
              <w:bottom w:val="nil"/>
              <w:right w:val="nil"/>
            </w:tcBorders>
            <w:shd w:fill="0A7A78" w:val="clear"/>
            <w:tcMar>
              <w:top w:w="65" w:type="dxa"/>
              <w:start w:w="40" w:type="dxa"/>
              <w:bottom w:w="65" w:type="dxa"/>
              <w:end w:w="40" w:type="dxa"/>
            </w:tcMar>
          </w:tcPr>
          <w:p>
            <w:pPr>
              <w:jc w:val="center"/>
            </w:pPr>
            <w:r>
              <w:rPr>
                <w:rFonts w:ascii="Noto Sans" w:hAnsi="Noto Sans" w:eastAsia="Noto Sans"/>
                <w:b/>
                <w:color w:val="FFFFFF"/>
                <w:sz w:val="24"/>
              </w:rPr>
              <w:t>10</w:t>
            </w:r>
          </w:p>
        </w:tc>
        <w:tc>
          <w:tcPr>
            <w:tcW w:type="dxa" w:w="9184"/>
            <w:tcBorders>
              <w:top w:val="nil"/>
              <w:left w:val="nil"/>
              <w:bottom w:val="nil"/>
              <w:right w:val="nil"/>
            </w:tcBorders>
            <w:shd w:fill="EAF2F7" w:val="clear"/>
            <w:tcMar>
              <w:top w:w="65" w:type="dxa"/>
              <w:start w:w="100" w:type="dxa"/>
              <w:bottom w:w="65" w:type="dxa"/>
              <w:end w:w="100" w:type="dxa"/>
            </w:tcMar>
          </w:tcPr>
          <w:p>
            <w:pPr>
              <w:keepNext w:val="0"/>
              <w:keepLines w:val="0"/>
              <w:spacing w:before="0" w:after="0" w:line="254" w:lineRule="auto"/>
            </w:pPr>
            <w:r>
              <w:rPr>
                <w:rFonts w:ascii="Noto Sans" w:hAnsi="Noto Sans" w:eastAsia="Noto Sans"/>
                <w:b/>
                <w:color w:val="18324B"/>
                <w:sz w:val="18"/>
              </w:rPr>
              <w:t>10. La compra debe condicionarse a evidencia relevante.</w:t>
            </w:r>
            <w:r>
              <w:rPr>
                <w:rFonts w:ascii="Noto Sans" w:hAnsi="Noto Sans" w:eastAsia="Noto Sans"/>
                <w:color w:val="263238"/>
                <w:sz w:val="17"/>
              </w:rPr>
              <w:t xml:space="preserve"> — Misma población, objetivo, modo de uso, outcome sin asistencia y costo total. La demostración más fluida puede ser el sistema menos educativo si elimina el esfuerzo que se quería formar.</w:t>
            </w:r>
          </w:p>
        </w:tc>
      </w:tr>
    </w:tbl>
    <w:p>
      <w:pPr>
        <w:spacing w:after="0"/>
      </w:pPr>
    </w:p>
    <w:p>
      <w:pPr>
        <w:keepNext w:val="0"/>
        <w:keepLines w:val="0"/>
        <w:spacing w:before="160" w:after="60" w:line="259" w:lineRule="auto"/>
      </w:pPr>
      <w:r>
        <w:rPr>
          <w:rFonts w:ascii="Noto Sans" w:hAnsi="Noto Sans" w:eastAsia="Noto Sans"/>
          <w:b/>
          <w:color w:val="18324B"/>
          <w:sz w:val="26"/>
        </w:rPr>
        <w:t>Conclusión final</w:t>
      </w:r>
    </w:p>
    <w:p>
      <w:pPr>
        <w:keepNext w:val="0"/>
        <w:keepLines w:val="0"/>
        <w:spacing w:before="0" w:after="100" w:line="276" w:lineRule="auto"/>
      </w:pPr>
      <w:r>
        <w:rPr>
          <w:rFonts w:ascii="Noto Sans" w:hAnsi="Noto Sans" w:eastAsia="Noto Sans"/>
          <w:color w:val="263238"/>
          <w:sz w:val="20"/>
        </w:rPr>
        <w:t>Los sistemas modernos ya pueden hacer que una interacción educativa sea mucho más flexible, accesible y sensible al alumno. La evidencia sugiere que pueden mejorar aprendizaje cuando la IA está subordinada a una arquitectura pedagógica, contenido verificable, fricción productiva y conducción humana. El avance decisivo no será un chatbot que “suena” más como profesor, sino un sistema que sabe qué intenta enseñar, qué cree que el alumno sabe, por qué elige la siguiente intervención, cuándo debe callar o pedir ayuda y cómo demuestra —sin ser juez de sí mismo— que el estudiante aprendió.</w:t>
      </w:r>
    </w:p>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Apéndice A. Matriz comparativa de sistemas</w:t>
      </w:r>
    </w:p>
    <w:p>
      <w:pPr>
        <w:pStyle w:val="Deck"/>
        <w:keepNext/>
        <w:keepLines w:val="0"/>
        <w:spacing w:before="0" w:after="100" w:line="259" w:lineRule="auto"/>
      </w:pPr>
      <w:r>
        <w:t>Capacidades visibles y solidez de la evidencia pública; valoración cualitativa al corte del informe.</w:t>
      </w:r>
    </w:p>
    <w:tbl>
      <w:tblPr>
        <w:tblW w:type="auto" w:w="0"/>
        <w:jc w:val="center"/>
        <w:tblLayout w:type="fixed"/>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1247"/>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Sistema</w:t>
            </w:r>
          </w:p>
        </w:tc>
        <w:tc>
          <w:tcPr>
            <w:tcW w:type="dxa" w:w="907"/>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Currículo</w:t>
            </w:r>
          </w:p>
        </w:tc>
        <w:tc>
          <w:tcPr>
            <w:tcW w:type="dxa" w:w="113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Learner model</w:t>
            </w:r>
          </w:p>
        </w:tc>
        <w:tc>
          <w:tcPr>
            <w:tcW w:type="dxa" w:w="907"/>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Policy</w:t>
            </w:r>
          </w:p>
        </w:tc>
        <w:tc>
          <w:tcPr>
            <w:tcW w:type="dxa" w:w="1134"/>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GenAI/multi</w:t>
            </w:r>
          </w:p>
        </w:tc>
        <w:tc>
          <w:tcPr>
            <w:tcW w:type="dxa" w:w="1020"/>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Guardrails</w:t>
            </w:r>
          </w:p>
        </w:tc>
        <w:tc>
          <w:tcPr>
            <w:tcW w:type="dxa" w:w="907"/>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Humano</w:t>
            </w:r>
          </w:p>
        </w:tc>
        <w:tc>
          <w:tcPr>
            <w:tcW w:type="dxa" w:w="907"/>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Evidencia</w:t>
            </w:r>
          </w:p>
        </w:tc>
        <w:tc>
          <w:tcPr>
            <w:tcW w:type="dxa" w:w="192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Nota</w:t>
            </w:r>
          </w:p>
        </w:tc>
      </w:tr>
      <w:tr>
        <w:trPr>
          <w:cantSplit/>
        </w:trPr>
        <w:tc>
          <w:tcPr>
            <w:tcW w:type="dxa" w:w="124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Khanmigo</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020"/>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C/B</w:t>
            </w:r>
          </w:p>
        </w:tc>
        <w:tc>
          <w:tcPr>
            <w:tcW w:type="dxa" w:w="1928"/>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Currículo + A/B de producto</w:t>
            </w:r>
          </w:p>
        </w:tc>
      </w:tr>
      <w:tr>
        <w:trPr>
          <w:cantSplit/>
        </w:trPr>
        <w:tc>
          <w:tcPr>
            <w:tcW w:type="dxa" w:w="124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ChatGPT Study Mode</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Baja-media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020"/>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 temprana</w:t>
            </w:r>
          </w:p>
        </w:tc>
        <w:tc>
          <w:tcPr>
            <w:tcW w:type="dxa" w:w="1928"/>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Flexible; evidencia longitudinal en desarrollo</w:t>
            </w:r>
          </w:p>
        </w:tc>
      </w:tr>
      <w:tr>
        <w:trPr>
          <w:cantSplit/>
        </w:trPr>
        <w:tc>
          <w:tcPr>
            <w:tcW w:type="dxa" w:w="124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Gemini Guided Learning</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020"/>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B/A emergente</w:t>
            </w:r>
          </w:p>
        </w:tc>
        <w:tc>
          <w:tcPr>
            <w:tcW w:type="dxa" w:w="1928"/>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RCT Sierra + Eedi supervisado</w:t>
            </w:r>
          </w:p>
        </w:tc>
      </w:tr>
      <w:tr>
        <w:trPr>
          <w:cantSplit/>
        </w:trPr>
        <w:tc>
          <w:tcPr>
            <w:tcW w:type="dxa" w:w="124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Claude Learning Mode</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Baja-media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020"/>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D/C</w:t>
            </w:r>
          </w:p>
        </w:tc>
        <w:tc>
          <w:tcPr>
            <w:tcW w:type="dxa" w:w="1928"/>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Capacidad clara; outcomes causales no públicos</w:t>
            </w:r>
          </w:p>
        </w:tc>
      </w:tr>
      <w:tr>
        <w:trPr>
          <w:cantSplit/>
        </w:trPr>
        <w:tc>
          <w:tcPr>
            <w:tcW w:type="dxa" w:w="124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MATHia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Baja-media</w:t>
            </w:r>
          </w:p>
        </w:tc>
        <w:tc>
          <w:tcPr>
            <w:tcW w:type="dxa" w:w="1020"/>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B/A histórica</w:t>
            </w:r>
          </w:p>
        </w:tc>
        <w:tc>
          <w:tcPr>
            <w:tcW w:type="dxa" w:w="1928"/>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ITS estructurado</w:t>
            </w:r>
          </w:p>
        </w:tc>
      </w:tr>
      <w:tr>
        <w:trPr>
          <w:cantSplit/>
        </w:trPr>
        <w:tc>
          <w:tcPr>
            <w:tcW w:type="dxa" w:w="124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ALEKS</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Baja</w:t>
            </w:r>
          </w:p>
        </w:tc>
        <w:tc>
          <w:tcPr>
            <w:tcW w:type="dxa" w:w="1020"/>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B/C</w:t>
            </w:r>
          </w:p>
        </w:tc>
        <w:tc>
          <w:tcPr>
            <w:tcW w:type="dxa" w:w="1928"/>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Knowledge Space Theory</w:t>
            </w:r>
          </w:p>
        </w:tc>
      </w:tr>
      <w:tr>
        <w:trPr>
          <w:cantSplit/>
        </w:trPr>
        <w:tc>
          <w:tcPr>
            <w:tcW w:type="dxa" w:w="124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ASSISTments</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Baja</w:t>
            </w:r>
          </w:p>
        </w:tc>
        <w:tc>
          <w:tcPr>
            <w:tcW w:type="dxa" w:w="1020"/>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w:t>
            </w:r>
          </w:p>
        </w:tc>
        <w:tc>
          <w:tcPr>
            <w:tcW w:type="dxa" w:w="1928"/>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Software + teacher data/PD</w:t>
            </w:r>
          </w:p>
        </w:tc>
      </w:tr>
      <w:tr>
        <w:trPr>
          <w:cantSplit/>
        </w:trPr>
        <w:tc>
          <w:tcPr>
            <w:tcW w:type="dxa" w:w="124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Mindspark</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Baja</w:t>
            </w:r>
          </w:p>
        </w:tc>
        <w:tc>
          <w:tcPr>
            <w:tcW w:type="dxa" w:w="1020"/>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w:t>
            </w:r>
          </w:p>
        </w:tc>
        <w:tc>
          <w:tcPr>
            <w:tcW w:type="dxa" w:w="1928"/>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Fuerte benchmark pre-LLM</w:t>
            </w:r>
          </w:p>
        </w:tc>
      </w:tr>
      <w:tr>
        <w:trPr>
          <w:cantSplit/>
        </w:trPr>
        <w:tc>
          <w:tcPr>
            <w:tcW w:type="dxa" w:w="124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Eedi/LearnLM</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020"/>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w:t>
            </w:r>
          </w:p>
        </w:tc>
        <w:tc>
          <w:tcPr>
            <w:tcW w:type="dxa" w:w="1928"/>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Human-supervised constrained AI</w:t>
            </w:r>
          </w:p>
        </w:tc>
      </w:tr>
      <w:tr>
        <w:trPr>
          <w:cantSplit/>
        </w:trPr>
        <w:tc>
          <w:tcPr>
            <w:tcW w:type="dxa" w:w="124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Tutor CoPilot</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Indirecta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1020"/>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Muy alta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A/B</w:t>
            </w:r>
          </w:p>
        </w:tc>
        <w:tc>
          <w:tcPr>
            <w:tcW w:type="dxa" w:w="1928"/>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Copilot, no tutor autónomo</w:t>
            </w:r>
          </w:p>
        </w:tc>
      </w:tr>
      <w:tr>
        <w:trPr>
          <w:cantSplit/>
        </w:trPr>
        <w:tc>
          <w:tcPr>
            <w:tcW w:type="dxa" w:w="124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Duolingo</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020"/>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Baja-media</w:t>
            </w:r>
          </w:p>
        </w:tc>
        <w:tc>
          <w:tcPr>
            <w:tcW w:type="dxa" w:w="907"/>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C/D capa GenAI</w:t>
            </w:r>
          </w:p>
        </w:tc>
        <w:tc>
          <w:tcPr>
            <w:tcW w:type="dxa" w:w="1928"/>
            <w:shd w:fill="FFFFFF"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Híbrido adaptativo-generativo</w:t>
            </w:r>
          </w:p>
        </w:tc>
      </w:tr>
      <w:tr>
        <w:trPr>
          <w:cantSplit/>
        </w:trPr>
        <w:tc>
          <w:tcPr>
            <w:tcW w:type="dxa" w:w="124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Rori</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Alta</w:t>
            </w:r>
          </w:p>
        </w:tc>
        <w:tc>
          <w:tcPr>
            <w:tcW w:type="dxa" w:w="1134"/>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1020"/>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Media-alta</w:t>
            </w:r>
          </w:p>
        </w:tc>
        <w:tc>
          <w:tcPr>
            <w:tcW w:type="dxa" w:w="907"/>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B</w:t>
            </w:r>
          </w:p>
        </w:tc>
        <w:tc>
          <w:tcPr>
            <w:tcW w:type="dxa" w:w="1928"/>
            <w:shd w:fill="F5F7F8" w:val="clear"/>
            <w:tcMar>
              <w:top w:w="55" w:type="dxa"/>
              <w:start w:w="60" w:type="dxa"/>
              <w:bottom w:w="55"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45" w:lineRule="auto"/>
            </w:pPr>
            <w:r>
              <w:rPr>
                <w:rFonts w:ascii="Noto Sans" w:hAnsi="Noto Sans" w:eastAsia="Noto Sans"/>
                <w:color w:val="263238"/>
                <w:sz w:val="12"/>
              </w:rPr>
              <w:t>WhatsApp/baja conectividad</w:t>
            </w:r>
          </w:p>
        </w:tc>
      </w:tr>
    </w:tbl>
    <w:p>
      <w:pPr>
        <w:pStyle w:val="Source"/>
      </w:pPr>
      <w:r>
        <w:t>Escala: “Alta” significa que la función es central y observable en la descripción/implementación; no implica calidad causal. Grados A–D siguen la jerarquía del informe. La ausencia de evidencia pública no prueba ausencia de efecto.</w:t>
      </w:r>
    </w:p>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Apéndice B. Matriz de evidencia</w:t>
      </w:r>
    </w:p>
    <w:p>
      <w:pPr>
        <w:pStyle w:val="Deck"/>
        <w:keepNext/>
        <w:keepLines w:val="0"/>
        <w:spacing w:before="0" w:after="100" w:line="259" w:lineRule="auto"/>
      </w:pPr>
      <w:r>
        <w:t>Qué outcome mide cada estudio y qué afirmación permite sostener.</w:t>
      </w:r>
    </w:p>
    <w:tbl>
      <w:tblPr>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1531"/>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Fuente</w:t>
            </w:r>
          </w:p>
        </w:tc>
        <w:tc>
          <w:tcPr>
            <w:tcW w:type="dxa" w:w="1417"/>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Diseño</w:t>
            </w:r>
          </w:p>
        </w:tc>
        <w:tc>
          <w:tcPr>
            <w:tcW w:type="dxa" w:w="1928"/>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Outcome</w:t>
            </w:r>
          </w:p>
        </w:tc>
        <w:tc>
          <w:tcPr>
            <w:tcW w:type="dxa" w:w="1247"/>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Sin IA</w:t>
            </w:r>
          </w:p>
        </w:tc>
        <w:tc>
          <w:tcPr>
            <w:tcW w:type="dxa" w:w="1247"/>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Horizonte</w:t>
            </w:r>
          </w:p>
        </w:tc>
        <w:tc>
          <w:tcPr>
            <w:tcW w:type="dxa" w:w="2721"/>
            <w:shd w:fill="18324B"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2"/>
              </w:rPr>
              <w:t>Conclusión permitida</w:t>
            </w:r>
          </w:p>
        </w:tc>
      </w:tr>
      <w:tr>
        <w:trPr>
          <w:cantSplit/>
        </w:trPr>
        <w:tc>
          <w:tcPr>
            <w:tcW w:type="dxa" w:w="153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Burneo et al. 2026</w:t>
            </w:r>
          </w:p>
        </w:tc>
        <w:tc>
          <w:tcPr>
            <w:tcW w:type="dxa" w:w="141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Meta-análisis RCT</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Aprendizaje, no-learning, docente</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Sí, estudios incluidos</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Variable</w:t>
            </w:r>
          </w:p>
        </w:tc>
        <w:tc>
          <w:tcPr>
            <w:tcW w:type="dxa" w:w="272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Promedio +0.125 DE; no ranking robusto entre tecnologías</w:t>
            </w:r>
          </w:p>
        </w:tc>
      </w:tr>
      <w:tr>
        <w:trPr>
          <w:cantSplit/>
        </w:trPr>
        <w:tc>
          <w:tcPr>
            <w:tcW w:type="dxa" w:w="153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Bastani et al. 2025</w:t>
            </w:r>
          </w:p>
        </w:tc>
        <w:tc>
          <w:tcPr>
            <w:tcW w:type="dxa" w:w="141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RCT</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Práctica + examen</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Sí</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Corto</w:t>
            </w:r>
          </w:p>
        </w:tc>
        <w:tc>
          <w:tcPr>
            <w:tcW w:type="dxa" w:w="272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Guardrails evitan daño de GPT irrestricto</w:t>
            </w:r>
          </w:p>
        </w:tc>
      </w:tr>
      <w:tr>
        <w:trPr>
          <w:cantSplit/>
        </w:trPr>
        <w:tc>
          <w:tcPr>
            <w:tcW w:type="dxa" w:w="153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Kestin et al. 2025</w:t>
            </w:r>
          </w:p>
        </w:tc>
        <w:tc>
          <w:tcPr>
            <w:tcW w:type="dxa" w:w="141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Crossover RCT</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Post-test inmediato</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Sí</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2 lecciones</w:t>
            </w:r>
          </w:p>
        </w:tc>
        <w:tc>
          <w:tcPr>
            <w:tcW w:type="dxa" w:w="272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Tutor diseñado supera active learning en ese contexto</w:t>
            </w:r>
          </w:p>
        </w:tc>
      </w:tr>
      <w:tr>
        <w:trPr>
          <w:cantSplit/>
        </w:trPr>
        <w:tc>
          <w:tcPr>
            <w:tcW w:type="dxa" w:w="153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De Simone et al. 2025</w:t>
            </w:r>
          </w:p>
        </w:tc>
        <w:tc>
          <w:tcPr>
            <w:tcW w:type="dxa" w:w="141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RCT</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Pen-and-paper + skills</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Sí</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6 semanas</w:t>
            </w:r>
          </w:p>
        </w:tc>
        <w:tc>
          <w:tcPr>
            <w:tcW w:type="dxa" w:w="272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Paquete teacher-led after-school efectivo</w:t>
            </w:r>
          </w:p>
        </w:tc>
      </w:tr>
      <w:tr>
        <w:trPr>
          <w:cantSplit/>
        </w:trPr>
        <w:tc>
          <w:tcPr>
            <w:tcW w:type="dxa" w:w="153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Sierra Leona 2026</w:t>
            </w:r>
          </w:p>
        </w:tc>
        <w:tc>
          <w:tcPr>
            <w:tcW w:type="dxa" w:w="141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Cluster RCT</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Math assessment</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Sí</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8 semanas</w:t>
            </w:r>
          </w:p>
        </w:tc>
        <w:tc>
          <w:tcPr>
            <w:tcW w:type="dxa" w:w="272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Guided Learning teacher-led mejora math</w:t>
            </w:r>
          </w:p>
        </w:tc>
      </w:tr>
      <w:tr>
        <w:trPr>
          <w:cantSplit/>
        </w:trPr>
        <w:tc>
          <w:tcPr>
            <w:tcW w:type="dxa" w:w="153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Tutor CoPilot</w:t>
            </w:r>
          </w:p>
        </w:tc>
        <w:tc>
          <w:tcPr>
            <w:tcW w:type="dxa" w:w="141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RCT</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Mastery plataforma + estrategias</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Outcome sin copilot para alumno; tutor lo usa</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Programa</w:t>
            </w:r>
          </w:p>
        </w:tc>
        <w:tc>
          <w:tcPr>
            <w:tcW w:type="dxa" w:w="272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Copilot mejora tutoría, sobre todo tutores débiles</w:t>
            </w:r>
          </w:p>
        </w:tc>
      </w:tr>
      <w:tr>
        <w:trPr>
          <w:cantSplit/>
        </w:trPr>
        <w:tc>
          <w:tcPr>
            <w:tcW w:type="dxa" w:w="153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Eedi/LearnLM</w:t>
            </w:r>
          </w:p>
        </w:tc>
        <w:tc>
          <w:tcPr>
            <w:tcW w:type="dxa" w:w="141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Exploratory RCT</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Corrección, misconception, next-topic</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Sí, después de intervención</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Sesiones</w:t>
            </w:r>
          </w:p>
        </w:tc>
        <w:tc>
          <w:tcPr>
            <w:tcW w:type="dxa" w:w="272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AI supervisada al menos comparable; señal de transfer</w:t>
            </w:r>
          </w:p>
        </w:tc>
      </w:tr>
      <w:tr>
        <w:trPr>
          <w:cantSplit/>
        </w:trPr>
        <w:tc>
          <w:tcPr>
            <w:tcW w:type="dxa" w:w="153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Robinson et al. 2026</w:t>
            </w:r>
          </w:p>
        </w:tc>
        <w:tc>
          <w:tcPr>
            <w:tcW w:type="dxa" w:w="141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2 RCT</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Uso + reading</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Sí</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14–31 semanas</w:t>
            </w:r>
          </w:p>
        </w:tc>
        <w:tc>
          <w:tcPr>
            <w:tcW w:type="dxa" w:w="272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Acceso solo no produce dosis; humano sube uso, no gains</w:t>
            </w:r>
          </w:p>
        </w:tc>
      </w:tr>
      <w:tr>
        <w:trPr>
          <w:cantSplit/>
        </w:trPr>
        <w:tc>
          <w:tcPr>
            <w:tcW w:type="dxa" w:w="153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Rori Ghana</w:t>
            </w:r>
          </w:p>
        </w:tc>
        <w:tc>
          <w:tcPr>
            <w:tcW w:type="dxa" w:w="141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Preliminar/cuasi</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Math growth</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Sí</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8 meses</w:t>
            </w:r>
          </w:p>
        </w:tc>
        <w:tc>
          <w:tcPr>
            <w:tcW w:type="dxa" w:w="272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Señal grande, identificación/extra time cautela</w:t>
            </w:r>
          </w:p>
        </w:tc>
      </w:tr>
      <w:tr>
        <w:trPr>
          <w:cantSplit/>
        </w:trPr>
        <w:tc>
          <w:tcPr>
            <w:tcW w:type="dxa" w:w="153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Mindspark</w:t>
            </w:r>
          </w:p>
        </w:tc>
        <w:tc>
          <w:tcPr>
            <w:tcW w:type="dxa" w:w="141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Lottery RCT</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Math/Hindi test</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Sí</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4.5 meses</w:t>
            </w:r>
          </w:p>
        </w:tc>
        <w:tc>
          <w:tcPr>
            <w:tcW w:type="dxa" w:w="272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Adaptativo clásico con efecto grande</w:t>
            </w:r>
          </w:p>
        </w:tc>
      </w:tr>
      <w:tr>
        <w:trPr>
          <w:cantSplit/>
        </w:trPr>
        <w:tc>
          <w:tcPr>
            <w:tcW w:type="dxa" w:w="153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ASSISTments</w:t>
            </w:r>
          </w:p>
        </w:tc>
        <w:tc>
          <w:tcPr>
            <w:tcW w:type="dxa" w:w="141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Cluster RCT</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Standardized math</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Sí</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2 años</w:t>
            </w:r>
          </w:p>
        </w:tc>
        <w:tc>
          <w:tcPr>
            <w:tcW w:type="dxa" w:w="272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Feedback + teacher data mejora math</w:t>
            </w:r>
          </w:p>
        </w:tc>
      </w:tr>
      <w:tr>
        <w:trPr>
          <w:cantSplit/>
        </w:trPr>
        <w:tc>
          <w:tcPr>
            <w:tcW w:type="dxa" w:w="153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Khanmigo A/B</w:t>
            </w:r>
          </w:p>
        </w:tc>
        <w:tc>
          <w:tcPr>
            <w:tcW w:type="dxa" w:w="141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Experimentos producto</w:t>
            </w:r>
          </w:p>
        </w:tc>
        <w:tc>
          <w:tcPr>
            <w:tcW w:type="dxa" w:w="1928"/>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Next-item correctness/engagement</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Siguiente ítem sin Khanmigo</w:t>
            </w:r>
          </w:p>
        </w:tc>
        <w:tc>
          <w:tcPr>
            <w:tcW w:type="dxa" w:w="124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Minutos/sesión</w:t>
            </w:r>
          </w:p>
        </w:tc>
        <w:tc>
          <w:tcPr>
            <w:tcW w:type="dxa" w:w="2721"/>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Evidencia de componentes, no impacto de curso</w:t>
            </w:r>
          </w:p>
        </w:tc>
      </w:tr>
      <w:tr>
        <w:trPr>
          <w:cantSplit/>
        </w:trPr>
        <w:tc>
          <w:tcPr>
            <w:tcW w:type="dxa" w:w="153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OpenAI Study Mode</w:t>
            </w:r>
          </w:p>
        </w:tc>
        <w:tc>
          <w:tcPr>
            <w:tcW w:type="dxa" w:w="141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RCT temprano</w:t>
            </w:r>
          </w:p>
        </w:tc>
        <w:tc>
          <w:tcPr>
            <w:tcW w:type="dxa" w:w="1928"/>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Exámenes universitarios</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Sí</w:t>
            </w:r>
          </w:p>
        </w:tc>
        <w:tc>
          <w:tcPr>
            <w:tcW w:type="dxa" w:w="124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Sesiones pre-examen</w:t>
            </w:r>
          </w:p>
        </w:tc>
        <w:tc>
          <w:tcPr>
            <w:tcW w:type="dxa" w:w="2721"/>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2"/>
              </w:rPr>
              <w:t>Heterogéneo por materia; análisis en curso</w:t>
            </w:r>
          </w:p>
        </w:tc>
      </w:tr>
    </w:tbl>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Apéndice C. Glosario operacional</w:t>
      </w:r>
    </w:p>
    <w:p>
      <w:pPr>
        <w:pStyle w:val="Deck"/>
        <w:keepNext/>
        <w:keepLines w:val="0"/>
        <w:spacing w:before="0" w:after="100" w:line="259" w:lineRule="auto"/>
      </w:pPr>
      <w:r>
        <w:t>Términos empleados en el informe.</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835"/>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Término</w:t>
            </w:r>
          </w:p>
        </w:tc>
        <w:tc>
          <w:tcPr>
            <w:tcW w:type="dxa" w:w="7257"/>
            <w:shd w:fill="0A7A78" w:val="clear"/>
            <w:tcMar>
              <w:top w:w="65" w:type="dxa"/>
              <w:start w:w="65" w:type="dxa"/>
              <w:bottom w:w="65" w:type="dxa"/>
              <w:end w:w="65" w:type="dxa"/>
            </w:tcMar>
            <w:vAlign w:val="center"/>
            <w:tcBorders>
              <w:top w:val="single" w:sz="4" w:color="CCD5DA"/>
              <w:left w:val="single" w:sz="4" w:color="CCD5DA"/>
              <w:bottom w:val="single" w:sz="4" w:color="CCD5DA"/>
              <w:right w:val="single" w:sz="4" w:color="CCD5DA"/>
            </w:tcBorders>
          </w:tcPr>
          <w:p>
            <w:pPr>
              <w:keepNext w:val="0"/>
              <w:keepLines w:val="0"/>
              <w:spacing w:before="0" w:after="0" w:line="240" w:lineRule="auto"/>
            </w:pPr>
            <w:r>
              <w:rPr>
                <w:rFonts w:ascii="Noto Sans" w:hAnsi="Noto Sans" w:eastAsia="Noto Sans"/>
                <w:b/>
                <w:color w:val="FFFFFF"/>
                <w:sz w:val="15"/>
              </w:rPr>
              <w:t>Definición</w:t>
            </w:r>
          </w:p>
        </w:tc>
      </w:tr>
      <w:tr>
        <w:trPr>
          <w:cantSplit/>
        </w:trPr>
        <w:tc>
          <w:tcPr>
            <w:tcW w:type="dxa" w:w="283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Adaptive learning</w:t>
            </w:r>
          </w:p>
        </w:tc>
        <w:tc>
          <w:tcPr>
            <w:tcW w:type="dxa" w:w="725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Sistema que cambia contenido, dificultad, secuencia o apoyo a partir de evidencia del alumno.</w:t>
            </w:r>
          </w:p>
        </w:tc>
      </w:tr>
      <w:tr>
        <w:trPr>
          <w:cantSplit/>
        </w:trPr>
        <w:tc>
          <w:tcPr>
            <w:tcW w:type="dxa" w:w="283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AI tutor</w:t>
            </w:r>
          </w:p>
        </w:tc>
        <w:tc>
          <w:tcPr>
            <w:tcW w:type="dxa" w:w="725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Sistema que realiza funciones tutoriales; puede ser generativo, simbólico, estadístico o híbrido.</w:t>
            </w:r>
          </w:p>
        </w:tc>
      </w:tr>
      <w:tr>
        <w:trPr>
          <w:cantSplit/>
        </w:trPr>
        <w:tc>
          <w:tcPr>
            <w:tcW w:type="dxa" w:w="283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Answer withholding</w:t>
            </w:r>
          </w:p>
        </w:tc>
        <w:tc>
          <w:tcPr>
            <w:tcW w:type="dxa" w:w="725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Política que evita entregar la solución antes de intento o evidencia suficiente.</w:t>
            </w:r>
          </w:p>
        </w:tc>
      </w:tr>
      <w:tr>
        <w:trPr>
          <w:cantSplit/>
        </w:trPr>
        <w:tc>
          <w:tcPr>
            <w:tcW w:type="dxa" w:w="283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BKT / Knowledge Tracing</w:t>
            </w:r>
          </w:p>
        </w:tc>
        <w:tc>
          <w:tcPr>
            <w:tcW w:type="dxa" w:w="725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Modelo probabilístico de dominio latente actualizado mediante observaciones de desempeño.</w:t>
            </w:r>
          </w:p>
        </w:tc>
      </w:tr>
      <w:tr>
        <w:trPr>
          <w:cantSplit/>
        </w:trPr>
        <w:tc>
          <w:tcPr>
            <w:tcW w:type="dxa" w:w="283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Deep Knowledge Tracing</w:t>
            </w:r>
          </w:p>
        </w:tc>
        <w:tc>
          <w:tcPr>
            <w:tcW w:type="dxa" w:w="725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Uso de modelos de secuencia/neuronales para predecir desempeño y estado de conocimiento.</w:t>
            </w:r>
          </w:p>
        </w:tc>
      </w:tr>
      <w:tr>
        <w:trPr>
          <w:cantSplit/>
        </w:trPr>
        <w:tc>
          <w:tcPr>
            <w:tcW w:type="dxa" w:w="283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Fading</w:t>
            </w:r>
          </w:p>
        </w:tc>
        <w:tc>
          <w:tcPr>
            <w:tcW w:type="dxa" w:w="725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Retirada gradual de pistas o soporte a medida que aumenta competencia.</w:t>
            </w:r>
          </w:p>
        </w:tc>
      </w:tr>
      <w:tr>
        <w:trPr>
          <w:cantSplit/>
        </w:trPr>
        <w:tc>
          <w:tcPr>
            <w:tcW w:type="dxa" w:w="283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Grounding</w:t>
            </w:r>
          </w:p>
        </w:tc>
        <w:tc>
          <w:tcPr>
            <w:tcW w:type="dxa" w:w="725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Vincular generación a fuentes, contenido o herramientas externas autorizadas.</w:t>
            </w:r>
          </w:p>
        </w:tc>
      </w:tr>
      <w:tr>
        <w:trPr>
          <w:cantSplit/>
        </w:trPr>
        <w:tc>
          <w:tcPr>
            <w:tcW w:type="dxa" w:w="283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Guardrail pedagógico</w:t>
            </w:r>
          </w:p>
        </w:tc>
        <w:tc>
          <w:tcPr>
            <w:tcW w:type="dxa" w:w="725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Restricción diseñada para preservar aprendizaje, integridad o seguridad.</w:t>
            </w:r>
          </w:p>
        </w:tc>
      </w:tr>
      <w:tr>
        <w:trPr>
          <w:cantSplit/>
        </w:trPr>
        <w:tc>
          <w:tcPr>
            <w:tcW w:type="dxa" w:w="283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Hint ladder</w:t>
            </w:r>
          </w:p>
        </w:tc>
        <w:tc>
          <w:tcPr>
            <w:tcW w:type="dxa" w:w="725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Secuencia de pistas de menor a mayor explicitud.</w:t>
            </w:r>
          </w:p>
        </w:tc>
      </w:tr>
      <w:tr>
        <w:trPr>
          <w:cantSplit/>
        </w:trPr>
        <w:tc>
          <w:tcPr>
            <w:tcW w:type="dxa" w:w="283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Human-in-the-loop</w:t>
            </w:r>
          </w:p>
        </w:tc>
        <w:tc>
          <w:tcPr>
            <w:tcW w:type="dxa" w:w="725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Humano revisa, aprueba o interviene dentro del flujo.</w:t>
            </w:r>
          </w:p>
        </w:tc>
      </w:tr>
      <w:tr>
        <w:trPr>
          <w:cantSplit/>
        </w:trPr>
        <w:tc>
          <w:tcPr>
            <w:tcW w:type="dxa" w:w="283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Human-in-command</w:t>
            </w:r>
          </w:p>
        </w:tc>
        <w:tc>
          <w:tcPr>
            <w:tcW w:type="dxa" w:w="725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Humano conserva autoridad, objetivos, límites y responsabilidad, aunque no revise cada output.</w:t>
            </w:r>
          </w:p>
        </w:tc>
      </w:tr>
      <w:tr>
        <w:trPr>
          <w:cantSplit/>
        </w:trPr>
        <w:tc>
          <w:tcPr>
            <w:tcW w:type="dxa" w:w="283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Learner model</w:t>
            </w:r>
          </w:p>
        </w:tc>
        <w:tc>
          <w:tcPr>
            <w:tcW w:type="dxa" w:w="725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Representación estructurada del estado, historial y necesidades del alumno.</w:t>
            </w:r>
          </w:p>
        </w:tc>
      </w:tr>
      <w:tr>
        <w:trPr>
          <w:cantSplit/>
        </w:trPr>
        <w:tc>
          <w:tcPr>
            <w:tcW w:type="dxa" w:w="283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Mastery learning</w:t>
            </w:r>
          </w:p>
        </w:tc>
        <w:tc>
          <w:tcPr>
            <w:tcW w:type="dxa" w:w="725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Progresión condicionada a alcanzar un criterio de dominio.</w:t>
            </w:r>
          </w:p>
        </w:tc>
      </w:tr>
      <w:tr>
        <w:trPr>
          <w:cantSplit/>
        </w:trPr>
        <w:tc>
          <w:tcPr>
            <w:tcW w:type="dxa" w:w="283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Next-item correctness</w:t>
            </w:r>
          </w:p>
        </w:tc>
        <w:tc>
          <w:tcPr>
            <w:tcW w:type="dxa" w:w="725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Desempeño en el siguiente ítem de la misma habilidad sin ayuda; leading indicator de transfer cercana.</w:t>
            </w:r>
          </w:p>
        </w:tc>
      </w:tr>
      <w:tr>
        <w:trPr>
          <w:cantSplit/>
        </w:trPr>
        <w:tc>
          <w:tcPr>
            <w:tcW w:type="dxa" w:w="283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Policy / planner</w:t>
            </w:r>
          </w:p>
        </w:tc>
        <w:tc>
          <w:tcPr>
            <w:tcW w:type="dxa" w:w="725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Componente que elige la próxima intervención pedagógica.</w:t>
            </w:r>
          </w:p>
        </w:tc>
      </w:tr>
      <w:tr>
        <w:trPr>
          <w:cantSplit/>
        </w:trPr>
        <w:tc>
          <w:tcPr>
            <w:tcW w:type="dxa" w:w="283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Productive struggle</w:t>
            </w:r>
          </w:p>
        </w:tc>
        <w:tc>
          <w:tcPr>
            <w:tcW w:type="dxa" w:w="725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Esfuerzo y dificultad que generan procesamiento útil sin bloqueo improductivo.</w:t>
            </w:r>
          </w:p>
        </w:tc>
      </w:tr>
      <w:tr>
        <w:trPr>
          <w:cantSplit/>
        </w:trPr>
        <w:tc>
          <w:tcPr>
            <w:tcW w:type="dxa" w:w="283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RAG</w:t>
            </w:r>
          </w:p>
        </w:tc>
        <w:tc>
          <w:tcPr>
            <w:tcW w:type="dxa" w:w="725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Recuperación de información relevante para fundamentar la generación.</w:t>
            </w:r>
          </w:p>
        </w:tc>
      </w:tr>
      <w:tr>
        <w:trPr>
          <w:cantSplit/>
        </w:trPr>
        <w:tc>
          <w:tcPr>
            <w:tcW w:type="dxa" w:w="283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Scaffolding</w:t>
            </w:r>
          </w:p>
        </w:tc>
        <w:tc>
          <w:tcPr>
            <w:tcW w:type="dxa" w:w="725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Soporte temporal que permite realizar una tarea y se ajusta/retira con progreso.</w:t>
            </w:r>
          </w:p>
        </w:tc>
      </w:tr>
      <w:tr>
        <w:trPr>
          <w:cantSplit/>
        </w:trPr>
        <w:tc>
          <w:tcPr>
            <w:tcW w:type="dxa" w:w="2835"/>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Transferencia cercana/lejana</w:t>
            </w:r>
          </w:p>
        </w:tc>
        <w:tc>
          <w:tcPr>
            <w:tcW w:type="dxa" w:w="7257"/>
            <w:shd w:fill="FFFFFF"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Aplicar aprendizaje a tareas similares/novedosas o contextos distintos.</w:t>
            </w:r>
          </w:p>
        </w:tc>
      </w:tr>
      <w:tr>
        <w:trPr>
          <w:cantSplit/>
        </w:trPr>
        <w:tc>
          <w:tcPr>
            <w:tcW w:type="dxa" w:w="2835"/>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Worked example</w:t>
            </w:r>
          </w:p>
        </w:tc>
        <w:tc>
          <w:tcPr>
            <w:tcW w:type="dxa" w:w="7257"/>
            <w:shd w:fill="F5F7F8" w:val="clear"/>
            <w:tcMar>
              <w:top w:w="70" w:type="dxa"/>
              <w:start w:w="60" w:type="dxa"/>
              <w:bottom w:w="70" w:type="dxa"/>
              <w:end w:w="60" w:type="dxa"/>
            </w:tcMar>
            <w:vAlign w:val="top"/>
            <w:tcBorders>
              <w:top w:val="single" w:sz="4" w:color="CCD5DA"/>
              <w:left w:val="single" w:sz="4" w:color="CCD5DA"/>
              <w:bottom w:val="single" w:sz="4" w:color="CCD5DA"/>
              <w:right w:val="single" w:sz="4" w:color="CCD5DA"/>
            </w:tcBorders>
          </w:tcPr>
          <w:p>
            <w:pPr>
              <w:keepNext w:val="0"/>
              <w:keepLines w:val="0"/>
              <w:spacing w:before="0" w:after="0" w:line="257" w:lineRule="auto"/>
            </w:pPr>
            <w:r>
              <w:rPr>
                <w:rFonts w:ascii="Noto Sans" w:hAnsi="Noto Sans" w:eastAsia="Noto Sans"/>
                <w:color w:val="263238"/>
                <w:sz w:val="15"/>
              </w:rPr>
              <w:t>Solución completa explicada que reduce carga y muestra procedimiento.</w:t>
            </w:r>
          </w:p>
        </w:tc>
      </w:tr>
    </w:tbl>
    <w:p>
      <w:pPr>
        <w:keepNext/>
        <w:keepLines w:val="0"/>
        <w:shd w:fill="18324B"/>
        <w:spacing w:before="100" w:after="40" w:line="240" w:lineRule="auto"/>
      </w:pPr>
      <w:r>
        <w:rPr>
          <w:rFonts w:ascii="Noto Sans" w:hAnsi="Noto Sans" w:eastAsia="Noto Sans"/>
          <w:b/>
          <w:caps/>
          <w:color w:val="FFFFFF"/>
          <w:sz w:val="15"/>
        </w:rPr>
        <w:t xml:space="preserve">  INFORME COMPLETO</w:t>
      </w:r>
    </w:p>
    <w:p>
      <w:pPr>
        <w:keepNext/>
        <w:keepLines w:val="0"/>
        <w:spacing w:before="80" w:after="20" w:line="240" w:lineRule="auto"/>
      </w:pPr>
      <w:r>
        <w:rPr>
          <w:rFonts w:ascii="Noto Sans" w:hAnsi="Noto Sans" w:eastAsia="Noto Sans"/>
          <w:b/>
          <w:caps/>
          <w:color w:val="0A7A78"/>
          <w:sz w:val="15"/>
        </w:rPr>
        <w:t>SECCIÓN</w:t>
      </w:r>
    </w:p>
    <w:p>
      <w:pPr>
        <w:keepNext/>
        <w:keepLines w:val="0"/>
        <w:spacing w:before="0" w:after="60" w:line="235" w:lineRule="auto"/>
      </w:pPr>
      <w:r>
        <w:rPr>
          <w:rFonts w:ascii="Noto Sans" w:hAnsi="Noto Sans" w:eastAsia="Noto Sans"/>
          <w:b/>
          <w:color w:val="18324B"/>
          <w:sz w:val="46"/>
        </w:rPr>
        <w:t>Referencias</w:t>
      </w:r>
    </w:p>
    <w:p>
      <w:pPr>
        <w:pStyle w:val="Deck"/>
        <w:keepNext/>
        <w:keepLines w:val="0"/>
        <w:spacing w:before="0" w:after="100" w:line="259" w:lineRule="auto"/>
      </w:pPr>
      <w:r>
        <w:t>Fuentes primarias, documentación oficial y síntesis utilizadas.</w:t>
      </w:r>
    </w:p>
    <w:p>
      <w:pPr>
        <w:spacing w:after="46" w:line="245" w:lineRule="auto"/>
        <w:ind w:left="283" w:hanging="283"/>
      </w:pPr>
      <w:r>
        <w:rPr>
          <w:rFonts w:ascii="Noto Sans" w:hAnsi="Noto Sans" w:eastAsia="Noto Sans"/>
          <w:b/>
          <w:color w:val="0A7A78"/>
          <w:sz w:val="14"/>
        </w:rPr>
        <w:t xml:space="preserve">[1] </w:t>
      </w:r>
      <w:r>
        <w:rPr>
          <w:rFonts w:ascii="Noto Sans" w:hAnsi="Noto Sans" w:eastAsia="Noto Sans"/>
          <w:color w:val="263238"/>
          <w:sz w:val="14"/>
        </w:rPr>
        <w:t xml:space="preserve">Burneo, A., Dinarte-Diaz, L., Lopez, C. y Molina, E. (2026). Can EdTech Close Learning Gaps? Global Evidence from Digital Interventions. Banco Mundial, 1 de agosto de 2026. </w:t>
      </w:r>
      <w:hyperlink r:id="rId11">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[2] </w:t>
      </w:r>
      <w:r>
        <w:rPr>
          <w:rFonts w:ascii="Noto Sans" w:hAnsi="Noto Sans" w:eastAsia="Noto Sans"/>
          <w:color w:val="263238"/>
          <w:sz w:val="14"/>
        </w:rPr>
        <w:t xml:space="preserve">Kestin, G. et al. (2025). AI tutoring outperforms in-class active learning: an RCT introducing a novel research-based design in an authentic educational setting. Scientific Reports, 15, 17458. </w:t>
      </w:r>
      <w:hyperlink r:id="rId12">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[3] </w:t>
      </w:r>
      <w:r>
        <w:rPr>
          <w:rFonts w:ascii="Noto Sans" w:hAnsi="Noto Sans" w:eastAsia="Noto Sans"/>
          <w:color w:val="263238"/>
          <w:sz w:val="14"/>
        </w:rPr>
        <w:t xml:space="preserve">Bastani, H., Bastani, O., Sungu, A., Ge, H., Kabakci, O. y Mariman, R. (2025). Generative AI without guardrails can harm learning: Evidence from high school mathematics. PNAS. </w:t>
      </w:r>
      <w:hyperlink r:id="rId13">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[4] </w:t>
      </w:r>
      <w:r>
        <w:rPr>
          <w:rFonts w:ascii="Noto Sans" w:hAnsi="Noto Sans" w:eastAsia="Noto Sans"/>
          <w:color w:val="263238"/>
          <w:sz w:val="14"/>
        </w:rPr>
        <w:t xml:space="preserve">De Simone, M. E. et al. (2025). From Chalkboards to Chatbots: Evaluating the Impact of Generative AI on Learning Outcomes in Nigeria. World Bank Policy Research Working Paper 11125. </w:t>
      </w:r>
      <w:hyperlink r:id="rId14">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[5] </w:t>
      </w:r>
      <w:r>
        <w:rPr>
          <w:rFonts w:ascii="Noto Sans" w:hAnsi="Noto Sans" w:eastAsia="Noto Sans"/>
          <w:color w:val="263238"/>
          <w:sz w:val="14"/>
        </w:rPr>
        <w:t xml:space="preserve">LearnLM Team, Google DeepMind y Fab AI (2026). Teaching with Gemini: Measuring the impact of Guided Learning on student mathematics progress in Sierra Leone. Technical report. </w:t>
      </w:r>
      <w:hyperlink r:id="rId15">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[6] </w:t>
      </w:r>
      <w:r>
        <w:rPr>
          <w:rFonts w:ascii="Noto Sans" w:hAnsi="Noto Sans" w:eastAsia="Noto Sans"/>
          <w:color w:val="263238"/>
          <w:sz w:val="14"/>
        </w:rPr>
        <w:t xml:space="preserve">Wang, R. E., Ribeiro, A. T., Robinson, C. D., Loeb, S. y Demszky, D. (2024). Tutor CoPilot: A Human-AI Approach for Scaling Real-Time Expertise. </w:t>
      </w:r>
      <w:hyperlink r:id="rId16">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[7] </w:t>
      </w:r>
      <w:r>
        <w:rPr>
          <w:rFonts w:ascii="Noto Sans" w:hAnsi="Noto Sans" w:eastAsia="Noto Sans"/>
          <w:color w:val="263238"/>
          <w:sz w:val="14"/>
        </w:rPr>
        <w:t xml:space="preserve">LearnLM Team y Eedi (2025). AI tutoring can safely and effectively support students: An exploratory RCT in UK classrooms. </w:t>
      </w:r>
      <w:hyperlink r:id="rId17">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[8] </w:t>
      </w:r>
      <w:r>
        <w:rPr>
          <w:rFonts w:ascii="Noto Sans" w:hAnsi="Noto Sans" w:eastAsia="Noto Sans"/>
          <w:color w:val="263238"/>
          <w:sz w:val="14"/>
        </w:rPr>
        <w:t xml:space="preserve">Robinson, C. D., Gormley, D., Ribeiro, A. T. y Loeb, S. (2026). Access is Not Enough: Human Support Improves Engagement with AI Tutoring. </w:t>
      </w:r>
      <w:hyperlink r:id="rId18">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[9] </w:t>
      </w:r>
      <w:r>
        <w:rPr>
          <w:rFonts w:ascii="Noto Sans" w:hAnsi="Noto Sans" w:eastAsia="Noto Sans"/>
          <w:color w:val="263238"/>
          <w:sz w:val="14"/>
        </w:rPr>
        <w:t xml:space="preserve">Henkel, O., Horne-Robinson, H., Kozhakhmetova, N. y Lee, A. (2024). Effective and Scalable Math Support: Experimental Evidence on the Impact of an AI-Math Tutor in Ghana. </w:t>
      </w:r>
      <w:hyperlink r:id="rId19">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[10] </w:t>
      </w:r>
      <w:r>
        <w:rPr>
          <w:rFonts w:ascii="Noto Sans" w:hAnsi="Noto Sans" w:eastAsia="Noto Sans"/>
          <w:color w:val="263238"/>
          <w:sz w:val="14"/>
        </w:rPr>
        <w:t xml:space="preserve">Muralidharan, K., Singh, A. y Ganimian, A. J. (2019). Disrupting Education? Experimental Evidence on Technology-Aided Instruction in India. American Economic Review, 109(4), 1426-1460. </w:t>
      </w:r>
      <w:hyperlink r:id="rId20">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[11] </w:t>
      </w:r>
      <w:r>
        <w:rPr>
          <w:rFonts w:ascii="Noto Sans" w:hAnsi="Noto Sans" w:eastAsia="Noto Sans"/>
          <w:color w:val="263238"/>
          <w:sz w:val="14"/>
        </w:rPr>
        <w:t xml:space="preserve">Roschelle, J., Feng, M., Murphy, R. F. y Mason, C. A. (2016). Online Mathematics Homework Increases Student Achievement. AERA Open. </w:t>
      </w:r>
      <w:hyperlink r:id="rId21">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[12] </w:t>
      </w:r>
      <w:r>
        <w:rPr>
          <w:rFonts w:ascii="Noto Sans" w:hAnsi="Noto Sans" w:eastAsia="Noto Sans"/>
          <w:color w:val="263238"/>
          <w:sz w:val="14"/>
        </w:rPr>
        <w:t xml:space="preserve">Nickow, A., Oreopoulos, P. y Quan, V. (2024). The Promise of Tutoring for PreK-12 Learning: A Systematic Review and Meta-Analysis of the Experimental Evidence. AERJ, 61(1), 74-107. </w:t>
      </w:r>
      <w:hyperlink r:id="rId22">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[13] </w:t>
      </w:r>
      <w:r>
        <w:rPr>
          <w:rFonts w:ascii="Noto Sans" w:hAnsi="Noto Sans" w:eastAsia="Noto Sans"/>
          <w:color w:val="263238"/>
          <w:sz w:val="14"/>
        </w:rPr>
        <w:t xml:space="preserve">Khan Academy (2026). How Khan Academy Is Building a Better AI Tutor: Our Most Recent Learnings. </w:t>
      </w:r>
      <w:hyperlink r:id="rId23">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[14] </w:t>
      </w:r>
      <w:r>
        <w:rPr>
          <w:rFonts w:ascii="Noto Sans" w:hAnsi="Noto Sans" w:eastAsia="Noto Sans"/>
          <w:color w:val="263238"/>
          <w:sz w:val="14"/>
        </w:rPr>
        <w:t xml:space="preserve">OpenAI (2026). New tools for understanding AI and learning outcomes. </w:t>
      </w:r>
      <w:hyperlink r:id="rId24">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[15] </w:t>
      </w:r>
      <w:r>
        <w:rPr>
          <w:rFonts w:ascii="Noto Sans" w:hAnsi="Noto Sans" w:eastAsia="Noto Sans"/>
          <w:color w:val="263238"/>
          <w:sz w:val="14"/>
        </w:rPr>
        <w:t xml:space="preserve">Anthropic (2025). Introducing Claude for Education. </w:t>
      </w:r>
      <w:hyperlink r:id="rId25">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[16] </w:t>
      </w:r>
      <w:r>
        <w:rPr>
          <w:rFonts w:ascii="Noto Sans" w:hAnsi="Noto Sans" w:eastAsia="Noto Sans"/>
          <w:color w:val="263238"/>
          <w:sz w:val="14"/>
        </w:rPr>
        <w:t xml:space="preserve">Google (2025). Guided Learning in Gemini. </w:t>
      </w:r>
      <w:hyperlink r:id="rId26">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[17] </w:t>
      </w:r>
      <w:r>
        <w:rPr>
          <w:rFonts w:ascii="Noto Sans" w:hAnsi="Noto Sans" w:eastAsia="Noto Sans"/>
          <w:color w:val="263238"/>
          <w:sz w:val="14"/>
        </w:rPr>
        <w:t xml:space="preserve">LearnLM Team (2024). LearnLM: Improving Gemini for Learning. </w:t>
      </w:r>
      <w:hyperlink r:id="rId27">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[18] </w:t>
      </w:r>
      <w:r>
        <w:rPr>
          <w:rFonts w:ascii="Noto Sans" w:hAnsi="Noto Sans" w:eastAsia="Noto Sans"/>
          <w:color w:val="263238"/>
          <w:sz w:val="14"/>
        </w:rPr>
        <w:t xml:space="preserve">ALEKS. Research Behind ALEKS: Knowledge Space Theory. </w:t>
      </w:r>
      <w:hyperlink r:id="rId28">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[19] </w:t>
      </w:r>
      <w:r>
        <w:rPr>
          <w:rFonts w:ascii="Noto Sans" w:hAnsi="Noto Sans" w:eastAsia="Noto Sans"/>
          <w:color w:val="263238"/>
          <w:sz w:val="14"/>
        </w:rPr>
        <w:t xml:space="preserve">Carnegie Learning. MATHia adaptive mathematics software. </w:t>
      </w:r>
      <w:hyperlink r:id="rId29">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[20] </w:t>
      </w:r>
      <w:r>
        <w:rPr>
          <w:rFonts w:ascii="Noto Sans" w:hAnsi="Noto Sans" w:eastAsia="Noto Sans"/>
          <w:color w:val="263238"/>
          <w:sz w:val="14"/>
        </w:rPr>
        <w:t xml:space="preserve">Duolingo (2023). Duolingo Max Uses GPT-4 for Roleplay and Explain My Answer. </w:t>
      </w:r>
      <w:hyperlink r:id="rId30">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[21] </w:t>
      </w:r>
      <w:r>
        <w:rPr>
          <w:rFonts w:ascii="Noto Sans" w:hAnsi="Noto Sans" w:eastAsia="Noto Sans"/>
          <w:color w:val="263238"/>
          <w:sz w:val="14"/>
        </w:rPr>
        <w:t xml:space="preserve">Ma, W., Adesope, O. O., Nesbit, J. C. y Liu, Q. (2014). Intelligent Tutoring Systems and Learning Outcomes: A Meta-Analysis. Journal of Educational Psychology, 106(4), 901-918. </w:t>
      </w:r>
      <w:hyperlink r:id="rId31">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[22] </w:t>
      </w:r>
      <w:r>
        <w:rPr>
          <w:rFonts w:ascii="Noto Sans" w:hAnsi="Noto Sans" w:eastAsia="Noto Sans"/>
          <w:color w:val="263238"/>
          <w:sz w:val="14"/>
        </w:rPr>
        <w:t xml:space="preserve">Corbett, A. T. y Anderson, J. R. (1994). Knowledge tracing: Modeling the acquisition of procedural knowledge. User Modeling and User-Adapted Interaction, 4, 253-278. </w:t>
      </w:r>
      <w:hyperlink r:id="rId32">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[23] </w:t>
      </w:r>
      <w:r>
        <w:rPr>
          <w:rFonts w:ascii="Noto Sans" w:hAnsi="Noto Sans" w:eastAsia="Noto Sans"/>
          <w:color w:val="263238"/>
          <w:sz w:val="14"/>
        </w:rPr>
        <w:t xml:space="preserve">Piech, C. et al. (2015). Deep Knowledge Tracing. Advances in Neural Information Processing Systems. </w:t>
      </w:r>
      <w:hyperlink r:id="rId33">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[24] </w:t>
      </w:r>
      <w:r>
        <w:rPr>
          <w:rFonts w:ascii="Noto Sans" w:hAnsi="Noto Sans" w:eastAsia="Noto Sans"/>
          <w:color w:val="263238"/>
          <w:sz w:val="14"/>
        </w:rPr>
        <w:t xml:space="preserve">OpenAI (2025). ChatGPT Study Mode. </w:t>
      </w:r>
      <w:hyperlink r:id="rId34">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[25] </w:t>
      </w:r>
      <w:r>
        <w:rPr>
          <w:rFonts w:ascii="Noto Sans" w:hAnsi="Noto Sans" w:eastAsia="Noto Sans"/>
          <w:color w:val="263238"/>
          <w:sz w:val="14"/>
        </w:rPr>
        <w:t xml:space="preserve">Khan Academy. Khan Labs / Khanmigo. </w:t>
      </w:r>
      <w:hyperlink r:id="rId35">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[26] </w:t>
      </w:r>
      <w:r>
        <w:rPr>
          <w:rFonts w:ascii="Noto Sans" w:hAnsi="Noto Sans" w:eastAsia="Noto Sans"/>
          <w:color w:val="263238"/>
          <w:sz w:val="14"/>
        </w:rPr>
        <w:t xml:space="preserve">ASSISTments. Evidence and platform description. </w:t>
      </w:r>
      <w:hyperlink r:id="rId36">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[27] </w:t>
      </w:r>
      <w:r>
        <w:rPr>
          <w:rFonts w:ascii="Noto Sans" w:hAnsi="Noto Sans" w:eastAsia="Noto Sans"/>
          <w:color w:val="263238"/>
          <w:sz w:val="14"/>
        </w:rPr>
        <w:t xml:space="preserve">Burns, M. (2026). What the research shows about generative AI in tutoring. Brookings Institution. </w:t>
      </w:r>
      <w:hyperlink r:id="rId37">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[28] </w:t>
      </w:r>
      <w:r>
        <w:rPr>
          <w:rFonts w:ascii="Noto Sans" w:hAnsi="Noto Sans" w:eastAsia="Noto Sans"/>
          <w:color w:val="263238"/>
          <w:sz w:val="14"/>
        </w:rPr>
        <w:t xml:space="preserve">Létourneau, A. et al. (2025). A systematic review of AI-driven intelligent tutoring systems in K-12 education. </w:t>
      </w:r>
      <w:hyperlink r:id="rId38">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[29] </w:t>
      </w:r>
      <w:r>
        <w:rPr>
          <w:rFonts w:ascii="Noto Sans" w:hAnsi="Noto Sans" w:eastAsia="Noto Sans"/>
          <w:color w:val="263238"/>
          <w:sz w:val="14"/>
        </w:rPr>
        <w:t xml:space="preserve">OpenAI. ChatGPT release notes: Study mode availability and behavior. </w:t>
      </w:r>
      <w:hyperlink r:id="rId39">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[30] </w:t>
      </w:r>
      <w:r>
        <w:rPr>
          <w:rFonts w:ascii="Noto Sans" w:hAnsi="Noto Sans" w:eastAsia="Noto Sans"/>
          <w:color w:val="263238"/>
          <w:sz w:val="14"/>
        </w:rPr>
        <w:t xml:space="preserve">Eedi (2026). Second constrained AI Tutor RCT: four arms, 1,525 students, ten schools. </w:t>
      </w:r>
      <w:hyperlink r:id="rId40">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[31] </w:t>
      </w:r>
      <w:r>
        <w:rPr>
          <w:rFonts w:ascii="Noto Sans" w:hAnsi="Noto Sans" w:eastAsia="Noto Sans"/>
          <w:color w:val="263238"/>
          <w:sz w:val="14"/>
        </w:rPr>
        <w:t xml:space="preserve">Niousha, R. et al. (2026). The Missing Evaluation Axis: What 10,000 Student Submissions Reveal About AI Tutor Effectiveness. </w:t>
      </w:r>
      <w:hyperlink r:id="rId41">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[32] </w:t>
      </w:r>
      <w:r>
        <w:rPr>
          <w:rFonts w:ascii="Noto Sans" w:hAnsi="Noto Sans" w:eastAsia="Noto Sans"/>
          <w:color w:val="263238"/>
          <w:sz w:val="14"/>
        </w:rPr>
        <w:t xml:space="preserve">Chen, Y. et al. (2026). Not All Students Engage Alike: Multi-Institution Patterns in GenAI Tutor Use. </w:t>
      </w:r>
      <w:hyperlink r:id="rId42">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[33] </w:t>
      </w:r>
      <w:r>
        <w:rPr>
          <w:rFonts w:ascii="Noto Sans" w:hAnsi="Noto Sans" w:eastAsia="Noto Sans"/>
          <w:color w:val="263238"/>
          <w:sz w:val="14"/>
        </w:rPr>
        <w:t xml:space="preserve">UNESCO (2023). Guidance for Generative AI in Education and Research. </w:t>
      </w:r>
      <w:hyperlink r:id="rId43">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[34] </w:t>
      </w:r>
      <w:r>
        <w:rPr>
          <w:rFonts w:ascii="Noto Sans" w:hAnsi="Noto Sans" w:eastAsia="Noto Sans"/>
          <w:color w:val="263238"/>
          <w:sz w:val="14"/>
        </w:rPr>
        <w:t xml:space="preserve">Khan Academy (2026). Learning in the open: what AI is and is not changing. </w:t>
      </w:r>
      <w:hyperlink r:id="rId44">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[35] </w:t>
      </w:r>
      <w:r>
        <w:rPr>
          <w:rFonts w:ascii="Noto Sans" w:hAnsi="Noto Sans" w:eastAsia="Noto Sans"/>
          <w:color w:val="263238"/>
          <w:sz w:val="14"/>
        </w:rPr>
        <w:t xml:space="preserve">Anthropic (2025). Anthropic Education Report: How educators use Claude. </w:t>
      </w:r>
      <w:hyperlink r:id="rId45">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[36] </w:t>
      </w:r>
      <w:r>
        <w:rPr>
          <w:rFonts w:ascii="Noto Sans" w:hAnsi="Noto Sans" w:eastAsia="Noto Sans"/>
          <w:color w:val="263238"/>
          <w:sz w:val="14"/>
        </w:rPr>
        <w:t xml:space="preserve">Anthropic (2025). Anthropic Education Report: How university students use Claude. </w:t>
      </w:r>
      <w:hyperlink r:id="rId46">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[37] </w:t>
      </w:r>
      <w:r>
        <w:rPr>
          <w:rFonts w:ascii="Noto Sans" w:hAnsi="Noto Sans" w:eastAsia="Noto Sans"/>
          <w:color w:val="263238"/>
          <w:sz w:val="14"/>
        </w:rPr>
        <w:t xml:space="preserve">Google DeepMind (2026). Measuring the impact of learning with AI in Sierra Leone and beyond. </w:t>
      </w:r>
      <w:hyperlink r:id="rId47">
        <w:r>
          <w:rPr>
            <w:color w:val="2E6F9E"/>
            <w:u w:val="single"/>
            <w:rFonts w:ascii="Noto Sans" w:hAnsi="Noto Sans"/>
          </w:rPr>
          <w:t>Fuente</w:t>
        </w:r>
      </w:hyperlink>
    </w:p>
    <w:p>
      <w:pPr>
        <w:spacing w:after="46" w:line="245" w:lineRule="auto"/>
        <w:ind w:left="283" w:hanging="283"/>
      </w:pPr>
      <w:r>
        <w:rPr>
          <w:rFonts w:ascii="Noto Sans" w:hAnsi="Noto Sans" w:eastAsia="Noto Sans"/>
          <w:b/>
          <w:color w:val="0A7A78"/>
          <w:sz w:val="14"/>
        </w:rPr>
        <w:t xml:space="preserve">[38] </w:t>
      </w:r>
      <w:r>
        <w:rPr>
          <w:rFonts w:ascii="Noto Sans" w:hAnsi="Noto Sans" w:eastAsia="Noto Sans"/>
          <w:color w:val="263238"/>
          <w:sz w:val="14"/>
        </w:rPr>
        <w:t xml:space="preserve">World Bank (2025). Reproducibility package for From Chalkboards to Chatbots. </w:t>
      </w:r>
      <w:hyperlink r:id="rId48">
        <w:r>
          <w:rPr>
            <w:color w:val="2E6F9E"/>
            <w:u w:val="single"/>
            <w:rFonts w:ascii="Noto Sans" w:hAnsi="Noto Sans"/>
          </w:rPr>
          <w:t>Fuente</w:t>
        </w:r>
      </w:hyperlink>
    </w:p>
    <w:sectPr w:rsidR="00FC693F" w:rsidRPr="0006063C" w:rsidSect="00034616">
      <w:headerReference w:type="default" r:id="rId9"/>
      <w:footerReference w:type="default" r:id="rId10"/>
      <w:pgSz w:w="11906" w:h="16838"/>
      <w:pgMar w:top="794" w:right="907" w:bottom="765"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olor w:val="738087"/>
        <w:sz w:val="14"/>
      </w:rPr>
      <w:t xml:space="preserve">Corte de evidencia: 10 de agosto de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pBdr>
        <w:bottom w:val="single" w:sz="4" w:space="2" w:color="CCD5DA"/>
      </w:pBdr>
    </w:pPr>
    <w:r>
      <w:rPr>
        <w:rFonts w:ascii="Noto Sans" w:hAnsi="Noto Sans" w:eastAsia="Noto Sans"/>
        <w:b/>
        <w:caps/>
        <w:color w:val="738087"/>
        <w:sz w:val="14"/>
      </w:rPr>
      <w:t>IA GENERATIVA PARA APRENDER Y ENSEÑAR MEJOR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64" w:lineRule="auto"/>
    </w:pPr>
    <w:rPr>
      <w:rFonts w:ascii="Noto Sans" w:hAnsi="Noto Sans" w:eastAsia="Noto Sans"/>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40" w:lineRule="auto"/>
      <w:outlineLvl w:val="0"/>
    </w:pPr>
    <w:rPr>
      <w:rFonts w:asciiTheme="majorHAnsi" w:eastAsiaTheme="majorEastAsia" w:hAnsiTheme="majorHAnsi" w:cstheme="majorBidi" w:ascii="Noto Sans" w:hAnsi="Noto Sans" w:eastAsia="Noto Sans"/>
      <w:b/>
      <w:bCs/>
      <w:color w:val="18324B"/>
      <w:sz w:val="34"/>
      <w:szCs w:val="28"/>
    </w:rPr>
  </w:style>
  <w:style w:type="paragraph" w:styleId="Heading2">
    <w:name w:val="heading 2"/>
    <w:basedOn w:val="Normal"/>
    <w:next w:val="Normal"/>
    <w:link w:val="Heading2Char"/>
    <w:uiPriority w:val="9"/>
    <w:unhideWhenUsed/>
    <w:qFormat/>
    <w:rsid w:val="00FC693F"/>
    <w:pPr>
      <w:keepNext/>
      <w:keepLines/>
      <w:spacing w:before="140" w:after="60" w:line="240" w:lineRule="auto"/>
      <w:outlineLvl w:val="1"/>
    </w:pPr>
    <w:rPr>
      <w:rFonts w:asciiTheme="majorHAnsi" w:eastAsiaTheme="majorEastAsia" w:hAnsiTheme="majorHAnsi" w:cstheme="majorBidi" w:ascii="Noto Sans" w:hAnsi="Noto Sans" w:eastAsia="Noto Sans"/>
      <w:b/>
      <w:bCs/>
      <w:color w:val="0A7A78"/>
      <w:sz w:val="26"/>
      <w:szCs w:val="26"/>
    </w:rPr>
  </w:style>
  <w:style w:type="paragraph" w:styleId="Heading3">
    <w:name w:val="heading 3"/>
    <w:basedOn w:val="Normal"/>
    <w:next w:val="Normal"/>
    <w:link w:val="Heading3Char"/>
    <w:uiPriority w:val="9"/>
    <w:unhideWhenUsed/>
    <w:qFormat/>
    <w:rsid w:val="00FC693F"/>
    <w:pPr>
      <w:keepNext/>
      <w:keepLines/>
      <w:spacing w:before="100" w:after="40" w:line="240" w:lineRule="auto"/>
      <w:outlineLvl w:val="2"/>
    </w:pPr>
    <w:rPr>
      <w:rFonts w:asciiTheme="majorHAnsi" w:eastAsiaTheme="majorEastAsia" w:hAnsiTheme="majorHAnsi" w:cstheme="majorBidi" w:ascii="Noto Sans" w:hAnsi="Noto Sans" w:eastAsia="Noto Sans"/>
      <w:b/>
      <w:bCs/>
      <w:color w:val="244B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Noto Sans" w:hAnsi="Noto Sans" w:eastAsia="Noto Sans"/>
      <w:b/>
      <w:color w:val="18324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line="240" w:lineRule="auto"/>
    </w:pPr>
    <w:rPr>
      <w:rFonts w:asciiTheme="majorHAnsi" w:eastAsiaTheme="majorEastAsia" w:hAnsiTheme="majorHAnsi" w:cstheme="majorBidi" w:ascii="Noto Sans" w:hAnsi="Noto Sans" w:eastAsia="Noto Sans"/>
      <w:b/>
      <w:i/>
      <w:iCs/>
      <w:color w:val="4F5B6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40" w:line="245" w:lineRule="auto"/>
    </w:pPr>
    <w:rPr>
      <w:rFonts w:ascii="Noto Sans" w:hAnsi="Noto Sans" w:eastAsia="Noto Sans"/>
      <w:b w:val="0"/>
      <w:color w:val="4F5B62"/>
      <w:sz w:val="22"/>
    </w:rPr>
  </w:style>
  <w:style w:type="paragraph" w:customStyle="1" w:styleId="Small">
    <w:name w:val="Small"/>
    <w:pPr>
      <w:spacing w:after="40" w:line="245" w:lineRule="auto"/>
    </w:pPr>
    <w:rPr>
      <w:rFonts w:ascii="Noto Sans" w:hAnsi="Noto Sans" w:eastAsia="Noto Sans"/>
      <w:b w:val="0"/>
      <w:color w:val="4F5B62"/>
      <w:sz w:val="15"/>
    </w:rPr>
  </w:style>
  <w:style w:type="paragraph" w:customStyle="1" w:styleId="Tiny">
    <w:name w:val="Tiny"/>
    <w:pPr>
      <w:spacing w:after="40" w:line="245" w:lineRule="auto"/>
    </w:pPr>
    <w:rPr>
      <w:rFonts w:ascii="Noto Sans" w:hAnsi="Noto Sans" w:eastAsia="Noto Sans"/>
      <w:b w:val="0"/>
      <w:color w:val="4F5B62"/>
      <w:sz w:val="14"/>
    </w:rPr>
  </w:style>
  <w:style w:type="paragraph" w:customStyle="1" w:styleId="Callout">
    <w:name w:val="Callout"/>
    <w:pPr>
      <w:spacing w:after="40" w:line="245" w:lineRule="auto"/>
    </w:pPr>
    <w:rPr>
      <w:rFonts w:ascii="Noto Sans" w:hAnsi="Noto Sans" w:eastAsia="Noto Sans"/>
      <w:b w:val="0"/>
      <w:color w:val="263238"/>
      <w:sz w:val="18"/>
    </w:rPr>
  </w:style>
  <w:style w:type="paragraph" w:customStyle="1" w:styleId="TableText">
    <w:name w:val="Table Text"/>
    <w:pPr>
      <w:spacing w:after="40" w:line="245" w:lineRule="auto"/>
    </w:pPr>
    <w:rPr>
      <w:rFonts w:ascii="Noto Sans" w:hAnsi="Noto Sans" w:eastAsia="Noto Sans"/>
      <w:b w:val="0"/>
      <w:color w:val="263238"/>
      <w:sz w:val="15"/>
    </w:rPr>
  </w:style>
  <w:style w:type="paragraph" w:customStyle="1" w:styleId="TableHeader">
    <w:name w:val="Table Header"/>
    <w:pPr>
      <w:spacing w:after="40" w:line="245" w:lineRule="auto"/>
    </w:pPr>
    <w:rPr>
      <w:rFonts w:ascii="Noto Sans" w:hAnsi="Noto Sans" w:eastAsia="Noto Sans"/>
      <w:b/>
      <w:color w:val="FFFFFF"/>
      <w:sz w:val="15"/>
    </w:rPr>
  </w:style>
  <w:style w:type="paragraph" w:customStyle="1" w:styleId="Source">
    <w:name w:val="Source"/>
    <w:pPr>
      <w:spacing w:after="40" w:line="245" w:lineRule="auto"/>
    </w:pPr>
    <w:rPr>
      <w:rFonts w:ascii="Noto Sans" w:hAnsi="Noto Sans" w:eastAsia="Noto Sans"/>
      <w:b w:val="0"/>
      <w:color w:val="738087"/>
      <w:sz w:val="14"/>
    </w:rPr>
  </w:style>
  <w:style w:type="paragraph" w:customStyle="1" w:styleId="KeyNumber">
    <w:name w:val="Key Number"/>
    <w:pPr>
      <w:spacing w:after="40" w:line="245" w:lineRule="auto"/>
    </w:pPr>
    <w:rPr>
      <w:rFonts w:ascii="Noto Sans" w:hAnsi="Noto Sans" w:eastAsia="Noto Sans"/>
      <w:b/>
      <w:color w:val="0A7A78"/>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docs.worldbank.org/en/doc/2fba81cd6cd60d2f54532fc7062395fb-0050062026/original/Can-EdTech-Close-Learning-Gaps.pdf" TargetMode="External"/><Relationship Id="rId12" Type="http://schemas.openxmlformats.org/officeDocument/2006/relationships/hyperlink" Target="https://doi.org/10.1038/s41598-025-97652-6" TargetMode="External"/><Relationship Id="rId13" Type="http://schemas.openxmlformats.org/officeDocument/2006/relationships/hyperlink" Target="https://doi.org/10.1073/pnas.2422633122" TargetMode="External"/><Relationship Id="rId14" Type="http://schemas.openxmlformats.org/officeDocument/2006/relationships/hyperlink" Target="https://doi.org/10.1596/1813-9450-11125" TargetMode="External"/><Relationship Id="rId15" Type="http://schemas.openxmlformats.org/officeDocument/2006/relationships/hyperlink" Target="https://storage.googleapis.com/deepmind-media/LearnLM/learnLM_sierraleone_may26.pdf" TargetMode="External"/><Relationship Id="rId16" Type="http://schemas.openxmlformats.org/officeDocument/2006/relationships/hyperlink" Target="https://arxiv.org/abs/2410.03017" TargetMode="External"/><Relationship Id="rId17" Type="http://schemas.openxmlformats.org/officeDocument/2006/relationships/hyperlink" Target="https://arxiv.org/abs/2512.23633" TargetMode="External"/><Relationship Id="rId18" Type="http://schemas.openxmlformats.org/officeDocument/2006/relationships/hyperlink" Target="https://scale.stanford.edu/publications/access-not-enough-human-support-improves-engagement-ai-tutoring" TargetMode="External"/><Relationship Id="rId19" Type="http://schemas.openxmlformats.org/officeDocument/2006/relationships/hyperlink" Target="https://arxiv.org/abs/2402.09809" TargetMode="External"/><Relationship Id="rId20" Type="http://schemas.openxmlformats.org/officeDocument/2006/relationships/hyperlink" Target="https://doi.org/10.1257/aer.20171112" TargetMode="External"/><Relationship Id="rId21" Type="http://schemas.openxmlformats.org/officeDocument/2006/relationships/hyperlink" Target="https://doi.org/10.1177/2332858416673968" TargetMode="External"/><Relationship Id="rId22" Type="http://schemas.openxmlformats.org/officeDocument/2006/relationships/hyperlink" Target="https://doi.org/10.3102/00028312231208687" TargetMode="External"/><Relationship Id="rId23" Type="http://schemas.openxmlformats.org/officeDocument/2006/relationships/hyperlink" Target="https://blog.khanacademy.org/how-khan-academy-is-building-a-better-ai-tutor-our-most-recent-learnings/" TargetMode="External"/><Relationship Id="rId24" Type="http://schemas.openxmlformats.org/officeDocument/2006/relationships/hyperlink" Target="https://openai.com/index/understanding-ai-and-learning-outcomes/" TargetMode="External"/><Relationship Id="rId25" Type="http://schemas.openxmlformats.org/officeDocument/2006/relationships/hyperlink" Target="https://www.anthropic.com/news/introducing-claude-for-education" TargetMode="External"/><Relationship Id="rId26" Type="http://schemas.openxmlformats.org/officeDocument/2006/relationships/hyperlink" Target="https://blog.google/products-and-platforms/products/education/guided-learning/" TargetMode="External"/><Relationship Id="rId27" Type="http://schemas.openxmlformats.org/officeDocument/2006/relationships/hyperlink" Target="https://arxiv.org/abs/2412.16429" TargetMode="External"/><Relationship Id="rId28" Type="http://schemas.openxmlformats.org/officeDocument/2006/relationships/hyperlink" Target="https://www.aleks.com/about_aleks/knowledge_space_theory" TargetMode="External"/><Relationship Id="rId29" Type="http://schemas.openxmlformats.org/officeDocument/2006/relationships/hyperlink" Target="https://www.carnegielearning.com/solutions/math/mathia" TargetMode="External"/><Relationship Id="rId30" Type="http://schemas.openxmlformats.org/officeDocument/2006/relationships/hyperlink" Target="https://blog.duolingo.com/duolingo-max/" TargetMode="External"/><Relationship Id="rId31" Type="http://schemas.openxmlformats.org/officeDocument/2006/relationships/hyperlink" Target="https://doi.org/10.1037/a0037123" TargetMode="External"/><Relationship Id="rId32" Type="http://schemas.openxmlformats.org/officeDocument/2006/relationships/hyperlink" Target="https://doi.org/10.1007/BF01099821" TargetMode="External"/><Relationship Id="rId33" Type="http://schemas.openxmlformats.org/officeDocument/2006/relationships/hyperlink" Target="https://arxiv.org/abs/1506.05908" TargetMode="External"/><Relationship Id="rId34" Type="http://schemas.openxmlformats.org/officeDocument/2006/relationships/hyperlink" Target="https://openai.com/index/chatgpt-study-mode/" TargetMode="External"/><Relationship Id="rId35" Type="http://schemas.openxmlformats.org/officeDocument/2006/relationships/hyperlink" Target="https://www.khanacademy.org/khan-labs" TargetMode="External"/><Relationship Id="rId36" Type="http://schemas.openxmlformats.org/officeDocument/2006/relationships/hyperlink" Target="https://www.assistments.org/evidence-of-impact" TargetMode="External"/><Relationship Id="rId37" Type="http://schemas.openxmlformats.org/officeDocument/2006/relationships/hyperlink" Target="https://www.brookings.edu/articles/what-the-research-shows-about-generative-ai-in-tutoring/" TargetMode="External"/><Relationship Id="rId38" Type="http://schemas.openxmlformats.org/officeDocument/2006/relationships/hyperlink" Target="https://pmc.ncbi.nlm.nih.gov/articles/PMC12078640/" TargetMode="External"/><Relationship Id="rId39" Type="http://schemas.openxmlformats.org/officeDocument/2006/relationships/hyperlink" Target="https://help.openai.com/en/articles/6825453-chatgpt-release-notes" TargetMode="External"/><Relationship Id="rId40" Type="http://schemas.openxmlformats.org/officeDocument/2006/relationships/hyperlink" Target="https://www.eedi.com/news/just-launched---our-second-ai-tutor-rct" TargetMode="External"/><Relationship Id="rId41" Type="http://schemas.openxmlformats.org/officeDocument/2006/relationships/hyperlink" Target="https://arxiv.org/abs/2605.05648" TargetMode="External"/><Relationship Id="rId42" Type="http://schemas.openxmlformats.org/officeDocument/2006/relationships/hyperlink" Target="https://arxiv.org/abs/2602.00447" TargetMode="External"/><Relationship Id="rId43" Type="http://schemas.openxmlformats.org/officeDocument/2006/relationships/hyperlink" Target="https://unesdoc.unesco.org/ark:/48223/pf0000386693" TargetMode="External"/><Relationship Id="rId44" Type="http://schemas.openxmlformats.org/officeDocument/2006/relationships/hyperlink" Target="https://blog.khanacademy.org/learning-in-the-open-what-ai-is-and-isnt-changing/" TargetMode="External"/><Relationship Id="rId45" Type="http://schemas.openxmlformats.org/officeDocument/2006/relationships/hyperlink" Target="https://www.anthropic.com/news/anthropic-education-report-how-educators-use-claude" TargetMode="External"/><Relationship Id="rId46" Type="http://schemas.openxmlformats.org/officeDocument/2006/relationships/hyperlink" Target="https://www.anthropic.com/news/anthropic-education-report-how-university-students-use-claude" TargetMode="External"/><Relationship Id="rId47" Type="http://schemas.openxmlformats.org/officeDocument/2006/relationships/hyperlink" Target="https://deepmind.google/blog/measuring-the-impact-of-learning-with-ai-in-sierra-leone-and-beyond/" TargetMode="External"/><Relationship Id="rId48" Type="http://schemas.openxmlformats.org/officeDocument/2006/relationships/hyperlink" Target="https://reproducibility.worldbank.org/catalog/419/study-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 generativa para aprender y enseñar mejor — informe completo</dc:title>
  <dc:subject>Sistemas, arquitectura, evidencia y evaluación</dc:subject>
  <dc:creator>OpenAI</dc:creator>
  <cp:keywords>IA generativa, educación, tutoría, aprendizaje adaptativo, evidencia causal</cp:keywords>
  <dc:description>Informe preparado a partir de investigación documental con corte al 10 de agosto de 2026.</dc:description>
  <cp:lastModifiedBy>OpenAI</cp:lastModifiedBy>
  <cp:revision>1</cp:revision>
  <dcterms:created xsi:type="dcterms:W3CDTF">2013-12-23T23:15:00Z</dcterms:created>
  <dcterms:modified xsi:type="dcterms:W3CDTF">2013-12-23T23:15:00Z</dcterms:modified>
  <cp:category/>
</cp:coreProperties>
</file>