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cantSplit/>
        </w:trPr>
        <w:tc>
          <w:tcPr>
            <w:tcW w:type="dxa" w:w="8220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85" w:type="dxa"/>
              <w:bottom w:w="45" w:type="dxa"/>
              <w:end w:w="85" w:type="dxa"/>
            </w:tcMar>
            <w:shd w:fill="18324B" w:val="clear"/>
            <w:vAlign w:val="center"/>
          </w:tcPr>
          <w:p>
            <w:pPr>
              <w:keepNext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aps/>
                <w:color w:val="FFFFFF"/>
                <w:sz w:val="15"/>
              </w:rPr>
              <w:t>INFORME DE INVESTIGACIÓN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85" w:type="dxa"/>
              <w:bottom w:w="45" w:type="dxa"/>
              <w:end w:w="85" w:type="dxa"/>
            </w:tcMar>
            <w:shd w:fill="0A7A78" w:val="clear"/>
            <w:vAlign w:val="center"/>
          </w:tcPr>
          <w:p>
            <w:pPr>
              <w:keepNext/>
              <w:keepLines w:val="0"/>
              <w:spacing w:before="0" w:after="0" w:line="240" w:lineRule="auto"/>
              <w:jc w:val="righ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RESUMEN · 5 PÁGINAS</w:t>
            </w:r>
          </w:p>
        </w:tc>
      </w:tr>
    </w:tbl>
    <w:p>
      <w:pPr>
        <w:keepNext w:val="0"/>
        <w:keepLines w:val="0"/>
        <w:spacing w:before="0" w:after="100" w:line="228" w:lineRule="auto"/>
      </w:pPr>
      <w:r>
        <w:rPr>
          <w:rFonts w:ascii="Noto Sans" w:hAnsi="Noto Sans" w:eastAsia="Noto Sans"/>
          <w:b/>
          <w:color w:val="18324B"/>
          <w:sz w:val="50"/>
        </w:rPr>
        <w:t>IA generativa para</w:t>
        <w:br/>
        <w:t>aprender y enseñar mejor</w:t>
      </w:r>
    </w:p>
    <w:p>
      <w:pPr>
        <w:keepNext w:val="0"/>
        <w:keepLines w:val="0"/>
        <w:spacing w:before="0" w:after="160" w:line="252" w:lineRule="auto"/>
      </w:pPr>
      <w:r>
        <w:rPr>
          <w:rFonts w:ascii="Noto Sans" w:hAnsi="Noto Sans" w:eastAsia="Noto Sans"/>
          <w:b/>
          <w:color w:val="0A7A78"/>
          <w:sz w:val="22"/>
        </w:rPr>
        <w:t>Sistemas modernos, arquitectura, evidencia causal y agenda de evaluación</w:t>
      </w:r>
    </w:p>
    <w:p>
      <w:pPr>
        <w:keepNext w:val="0"/>
        <w:keepLines w:val="0"/>
        <w:spacing w:before="0" w:after="180" w:line="259" w:lineRule="auto"/>
      </w:pPr>
      <w:r>
        <w:rPr>
          <w:rFonts w:ascii="Noto Sans" w:hAnsi="Noto Sans" w:eastAsia="Noto Sans"/>
          <w:color w:val="738087"/>
          <w:sz w:val="14"/>
        </w:rPr>
        <w:t>Corte de evidencia: 10 de agosto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cantSplit/>
        </w:trPr>
        <w:tc>
          <w:tcPr>
            <w:tcW w:type="dxa" w:w="170"/>
            <w:tcBorders>
              <w:top w:val="nil"/>
              <w:left w:val="nil"/>
              <w:bottom w:val="nil"/>
              <w:right w:val="nil"/>
            </w:tcBorders>
            <w:shd w:fill="0A7A78" w:val="clear"/>
            <w:tcMar>
              <w:top w:w="40" w:type="dxa"/>
              <w:start w:w="15" w:type="dxa"/>
              <w:bottom w:w="40" w:type="dxa"/>
              <w:end w:w="15" w:type="dxa"/>
            </w:tcMar>
          </w:tcPr>
          <w:p/>
        </w:tc>
        <w:tc>
          <w:tcPr>
            <w:tcW w:type="dxa" w:w="10148"/>
            <w:tcBorders>
              <w:top w:val="nil"/>
              <w:left w:val="nil"/>
              <w:bottom w:val="nil"/>
              <w:right w:val="nil"/>
            </w:tcBorders>
            <w:shd w:fill="DCEFED" w:val="clea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18324B"/>
                <w:sz w:val="17"/>
              </w:rPr>
              <w:t>Tesis central.</w:t>
            </w:r>
            <w:r>
              <w:t xml:space="preserve">  </w:t>
            </w:r>
            <w:r>
              <w:rPr>
                <w:rFonts w:ascii="Noto Sans" w:hAnsi="Noto Sans" w:eastAsia="Noto Sans"/>
                <w:color w:val="263238"/>
                <w:sz w:val="17"/>
              </w:rPr>
              <w:t>La unidad relevante no es el modelo de lenguaje, sino el sistema pedagógico completo: currículo verificable, modelo del estudiante, política de tutoría, herramientas, límites, conducción humana y medición independiente.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572"/>
      </w:tblGrid>
      <w:tr>
        <w:trPr>
          <w:cantSplit/>
        </w:trPr>
        <w:tc>
          <w:tcPr>
            <w:tcW w:type="dxa" w:w="3553"/>
            <w:tcBorders>
              <w:top w:val="nil"/>
              <w:left w:val="nil"/>
              <w:bottom w:val="nil"/>
              <w:right w:val="nil"/>
            </w:tcBorders>
            <w:shd w:fill="F5F7F8" w:val="clear"/>
            <w:tcMar>
              <w:top w:w="8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28" w:lineRule="auto"/>
              <w:jc w:val="center"/>
            </w:pPr>
            <w:r>
              <w:rPr>
                <w:rFonts w:ascii="Noto Sans" w:hAnsi="Noto Sans" w:eastAsia="Noto Sans"/>
                <w:b/>
                <w:color w:val="0A7A78"/>
                <w:sz w:val="34"/>
              </w:rPr>
              <w:t>+0.125 DE</w:t>
            </w:r>
          </w:p>
          <w:p>
            <w:pPr>
              <w:keepNext w:val="0"/>
              <w:keepLines w:val="0"/>
              <w:spacing w:before="0" w:after="2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18324B"/>
                <w:sz w:val="14"/>
              </w:rPr>
              <w:t>efecto medio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color w:val="4F5B62"/>
                <w:sz w:val="12"/>
              </w:rPr>
              <w:t>14 RCT; 191 estimaciones</w:t>
            </w:r>
          </w:p>
        </w:tc>
        <w:tc>
          <w:tcPr>
            <w:tcW w:type="dxa" w:w="3553"/>
            <w:tcBorders>
              <w:top w:val="nil"/>
              <w:left w:val="nil"/>
              <w:bottom w:val="nil"/>
              <w:right w:val="nil"/>
            </w:tcBorders>
            <w:shd w:fill="EAF2F7" w:val="clear"/>
            <w:tcMar>
              <w:top w:w="8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28" w:lineRule="auto"/>
              <w:jc w:val="center"/>
            </w:pPr>
            <w:r>
              <w:rPr>
                <w:rFonts w:ascii="Noto Sans" w:hAnsi="Noto Sans" w:eastAsia="Noto Sans"/>
                <w:b/>
                <w:color w:val="0A7A78"/>
                <w:sz w:val="34"/>
              </w:rPr>
              <w:t>0.12 DE</w:t>
            </w:r>
          </w:p>
          <w:p>
            <w:pPr>
              <w:keepNext w:val="0"/>
              <w:keepLines w:val="0"/>
              <w:spacing w:before="0" w:after="2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18324B"/>
                <w:sz w:val="14"/>
              </w:rPr>
              <w:t>tutoría/instrucción IA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color w:val="4F5B62"/>
                <w:sz w:val="12"/>
              </w:rPr>
              <w:t>promedio metaanalítico</w:t>
            </w:r>
          </w:p>
        </w:tc>
        <w:tc>
          <w:tcPr>
            <w:tcW w:type="dxa" w:w="3553"/>
            <w:tcBorders>
              <w:top w:val="nil"/>
              <w:left w:val="nil"/>
              <w:bottom w:val="nil"/>
              <w:right w:val="nil"/>
            </w:tcBorders>
            <w:shd w:fill="F5F7F8" w:val="clear"/>
            <w:tcMar>
              <w:top w:w="8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28" w:lineRule="auto"/>
              <w:jc w:val="center"/>
            </w:pPr>
            <w:r>
              <w:rPr>
                <w:rFonts w:ascii="Noto Sans" w:hAnsi="Noto Sans" w:eastAsia="Noto Sans"/>
                <w:b/>
                <w:color w:val="0A7A78"/>
                <w:sz w:val="34"/>
              </w:rPr>
              <w:t>No probado</w:t>
            </w:r>
          </w:p>
          <w:p>
            <w:pPr>
              <w:keepNext w:val="0"/>
              <w:keepLines w:val="0"/>
              <w:spacing w:before="0" w:after="20" w:line="240" w:lineRule="auto"/>
              <w:jc w:val="center"/>
            </w:pPr>
            <w:r>
              <w:rPr>
                <w:rFonts w:ascii="Noto Sans" w:hAnsi="Noto Sans" w:eastAsia="Noto Sans"/>
                <w:b/>
                <w:color w:val="18324B"/>
                <w:sz w:val="14"/>
              </w:rPr>
              <w:t>GenAI &gt; adaptativo clásico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Noto Sans" w:hAnsi="Noto Sans" w:eastAsia="Noto Sans"/>
                <w:color w:val="4F5B62"/>
                <w:sz w:val="12"/>
              </w:rPr>
              <w:t>diferencia imprecisa</w:t>
            </w:r>
          </w:p>
        </w:tc>
      </w:tr>
    </w:tbl>
    <w:p>
      <w:pPr>
        <w:keepNext w:val="0"/>
        <w:keepLines w:val="0"/>
        <w:spacing w:before="0" w:after="40" w:line="259" w:lineRule="auto"/>
      </w:pPr>
      <w:r>
        <w:rPr>
          <w:rFonts w:ascii="Noto Sans" w:hAnsi="Noto Sans" w:eastAsia="Noto Sans"/>
          <w:b/>
          <w:color w:val="18324B"/>
          <w:sz w:val="16"/>
        </w:rPr>
        <w:t>La conclusión en una frase</w:t>
      </w:r>
    </w:p>
    <w:p>
      <w:pPr>
        <w:keepNext w:val="0"/>
        <w:keepLines w:val="0"/>
        <w:spacing w:before="0" w:after="80" w:line="269" w:lineRule="auto"/>
      </w:pPr>
      <w:r>
        <w:rPr>
          <w:rFonts w:ascii="Noto Sans" w:hAnsi="Noto Sans" w:eastAsia="Noto Sans"/>
          <w:color w:val="263238"/>
          <w:sz w:val="18"/>
        </w:rPr>
        <w:t>Los mejores resultados aparecen cuando la IA está encajada dentro de una secuencia didáctica estructurada, exige esfuerzo cognitivo, usa contenido comprobado, entrega información accionable al docente y se evalúa con pruebas sin asistencia; el “chat inteligente” genérico no ofrece esas garantías.</w:t>
      </w:r>
    </w:p>
    <w:p>
      <w:pPr>
        <w:keepNext w:val="0"/>
        <w:keepLines w:val="0"/>
        <w:spacing w:before="100" w:after="40" w:line="259" w:lineRule="auto"/>
      </w:pPr>
      <w:r>
        <w:rPr>
          <w:rFonts w:ascii="Noto Sans" w:hAnsi="Noto Sans" w:eastAsia="Noto Sans"/>
          <w:b/>
          <w:color w:val="0A7A78"/>
          <w:sz w:val="14"/>
        </w:rPr>
        <w:t>SEIS CONCLUSIONES DECISIVAS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shd w:fill="0A7A78" w:val="clear"/>
            <w:tcMar>
              <w:top w:w="65" w:type="dxa"/>
              <w:start w:w="40" w:type="dxa"/>
              <w:bottom w:w="65" w:type="dxa"/>
              <w:end w:w="4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0"/>
              </w:rPr>
              <w:t>1</w:t>
            </w:r>
          </w:p>
        </w:tc>
        <w:tc>
          <w:tcPr>
            <w:tcW w:type="dxa" w:w="9865"/>
            <w:tcBorders>
              <w:top w:val="nil"/>
              <w:left w:val="nil"/>
              <w:bottom w:val="nil"/>
              <w:right w:val="nil"/>
            </w:tcBorders>
            <w:shd w:fill="F5F7F8" w:val="clea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4" w:lineRule="auto"/>
            </w:pPr>
            <w:r>
              <w:rPr>
                <w:rFonts w:ascii="Noto Sans" w:hAnsi="Noto Sans" w:eastAsia="Noto Sans"/>
                <w:b/>
                <w:color w:val="18324B"/>
                <w:sz w:val="16"/>
              </w:rPr>
              <w:t>El modelo no es el tutor</w:t>
            </w:r>
            <w:r>
              <w:rPr>
                <w:rFonts w:ascii="Noto Sans" w:hAnsi="Noto Sans" w:eastAsia="Noto Sans"/>
                <w:color w:val="263238"/>
                <w:sz w:val="16"/>
              </w:rPr>
              <w:t xml:space="preserve"> — Un LLM solo genera lenguaje. La personalización profunda requiere estado de dominio, prerrequisitos, historial, objetivos, política de intervención y evaluación.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shd w:fill="0A7A78" w:val="clear"/>
            <w:tcMar>
              <w:top w:w="65" w:type="dxa"/>
              <w:start w:w="40" w:type="dxa"/>
              <w:bottom w:w="65" w:type="dxa"/>
              <w:end w:w="4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0"/>
              </w:rPr>
              <w:t>2</w:t>
            </w:r>
          </w:p>
        </w:tc>
        <w:tc>
          <w:tcPr>
            <w:tcW w:type="dxa" w:w="9865"/>
            <w:tcBorders>
              <w:top w:val="nil"/>
              <w:left w:val="nil"/>
              <w:bottom w:val="nil"/>
              <w:right w:val="nil"/>
            </w:tcBorders>
            <w:shd w:fill="F5F7F8" w:val="clea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4" w:lineRule="auto"/>
            </w:pPr>
            <w:r>
              <w:rPr>
                <w:rFonts w:ascii="Noto Sans" w:hAnsi="Noto Sans" w:eastAsia="Noto Sans"/>
                <w:b/>
                <w:color w:val="18324B"/>
                <w:sz w:val="16"/>
              </w:rPr>
              <w:t>La evidencia es positiva, pero no milagrosa</w:t>
            </w:r>
            <w:r>
              <w:rPr>
                <w:rFonts w:ascii="Noto Sans" w:hAnsi="Noto Sans" w:eastAsia="Noto Sans"/>
                <w:color w:val="263238"/>
                <w:sz w:val="16"/>
              </w:rPr>
              <w:t xml:space="preserve"> — El metaanálisis más reciente estima +0.125 DE; la gran heterogeneidad impide convertir un resultado espectacular en una regla general.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shd w:fill="0A7A78" w:val="clear"/>
            <w:tcMar>
              <w:top w:w="65" w:type="dxa"/>
              <w:start w:w="40" w:type="dxa"/>
              <w:bottom w:w="65" w:type="dxa"/>
              <w:end w:w="4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0"/>
              </w:rPr>
              <w:t>3</w:t>
            </w:r>
          </w:p>
        </w:tc>
        <w:tc>
          <w:tcPr>
            <w:tcW w:type="dxa" w:w="9865"/>
            <w:tcBorders>
              <w:top w:val="nil"/>
              <w:left w:val="nil"/>
              <w:bottom w:val="nil"/>
              <w:right w:val="nil"/>
            </w:tcBorders>
            <w:shd w:fill="F5F7F8" w:val="clea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4" w:lineRule="auto"/>
            </w:pPr>
            <w:r>
              <w:rPr>
                <w:rFonts w:ascii="Noto Sans" w:hAnsi="Noto Sans" w:eastAsia="Noto Sans"/>
                <w:b/>
                <w:color w:val="18324B"/>
                <w:sz w:val="16"/>
              </w:rPr>
              <w:t>Ayuda no equivale a aprendizaje</w:t>
            </w:r>
            <w:r>
              <w:rPr>
                <w:rFonts w:ascii="Noto Sans" w:hAnsi="Noto Sans" w:eastAsia="Noto Sans"/>
                <w:color w:val="263238"/>
                <w:sz w:val="16"/>
              </w:rPr>
              <w:t xml:space="preserve"> — La métrica crítica es desempeño posterior sin IA, idealmente demorado y en tareas nuevas. Sin guardrails, la asistencia puede elevar la práctica y reducir el examen autónomo.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shd w:fill="0A7A78" w:val="clear"/>
            <w:tcMar>
              <w:top w:w="65" w:type="dxa"/>
              <w:start w:w="40" w:type="dxa"/>
              <w:bottom w:w="65" w:type="dxa"/>
              <w:end w:w="4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0"/>
              </w:rPr>
              <w:t>4</w:t>
            </w:r>
          </w:p>
        </w:tc>
        <w:tc>
          <w:tcPr>
            <w:tcW w:type="dxa" w:w="9865"/>
            <w:tcBorders>
              <w:top w:val="nil"/>
              <w:left w:val="nil"/>
              <w:bottom w:val="nil"/>
              <w:right w:val="nil"/>
            </w:tcBorders>
            <w:shd w:fill="F5F7F8" w:val="clea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4" w:lineRule="auto"/>
            </w:pPr>
            <w:r>
              <w:rPr>
                <w:rFonts w:ascii="Noto Sans" w:hAnsi="Noto Sans" w:eastAsia="Noto Sans"/>
                <w:b/>
                <w:color w:val="18324B"/>
                <w:sz w:val="16"/>
              </w:rPr>
              <w:t>La pedagogía debe controlar la IA</w:t>
            </w:r>
            <w:r>
              <w:rPr>
                <w:rFonts w:ascii="Noto Sans" w:hAnsi="Noto Sans" w:eastAsia="Noto Sans"/>
                <w:color w:val="263238"/>
                <w:sz w:val="16"/>
              </w:rPr>
              <w:t xml:space="preserve"> — Secuencias, hint ladders, solución verificada, “intento antes de pista” y retirada gradual son más confiables que un prompt socrático genérico.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shd w:fill="0A7A78" w:val="clear"/>
            <w:tcMar>
              <w:top w:w="65" w:type="dxa"/>
              <w:start w:w="40" w:type="dxa"/>
              <w:bottom w:w="65" w:type="dxa"/>
              <w:end w:w="4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0"/>
              </w:rPr>
              <w:t>5</w:t>
            </w:r>
          </w:p>
        </w:tc>
        <w:tc>
          <w:tcPr>
            <w:tcW w:type="dxa" w:w="9865"/>
            <w:tcBorders>
              <w:top w:val="nil"/>
              <w:left w:val="nil"/>
              <w:bottom w:val="nil"/>
              <w:right w:val="nil"/>
            </w:tcBorders>
            <w:shd w:fill="F5F7F8" w:val="clea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4" w:lineRule="auto"/>
            </w:pPr>
            <w:r>
              <w:rPr>
                <w:rFonts w:ascii="Noto Sans" w:hAnsi="Noto Sans" w:eastAsia="Noto Sans"/>
                <w:b/>
                <w:color w:val="18324B"/>
                <w:sz w:val="16"/>
              </w:rPr>
              <w:t>El híbrido humano-IA es la apuesta inmediata</w:t>
            </w:r>
            <w:r>
              <w:rPr>
                <w:rFonts w:ascii="Noto Sans" w:hAnsi="Noto Sans" w:eastAsia="Noto Sans"/>
                <w:color w:val="263238"/>
                <w:sz w:val="16"/>
              </w:rPr>
              <w:t xml:space="preserve"> — Docentes y tutores sostienen objetivos, motivación, diagnóstico social, seguridad y uso suficiente; la IA amplía capacidad y consistencia.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shd w:fill="0A7A78" w:val="clear"/>
            <w:tcMar>
              <w:top w:w="65" w:type="dxa"/>
              <w:start w:w="40" w:type="dxa"/>
              <w:bottom w:w="65" w:type="dxa"/>
              <w:end w:w="4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0"/>
              </w:rPr>
              <w:t>6</w:t>
            </w:r>
          </w:p>
        </w:tc>
        <w:tc>
          <w:tcPr>
            <w:tcW w:type="dxa" w:w="9865"/>
            <w:tcBorders>
              <w:top w:val="nil"/>
              <w:left w:val="nil"/>
              <w:bottom w:val="nil"/>
              <w:right w:val="nil"/>
            </w:tcBorders>
            <w:shd w:fill="F5F7F8" w:val="clea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4" w:lineRule="auto"/>
            </w:pPr>
            <w:r>
              <w:rPr>
                <w:rFonts w:ascii="Noto Sans" w:hAnsi="Noto Sans" w:eastAsia="Noto Sans"/>
                <w:b/>
                <w:color w:val="18324B"/>
                <w:sz w:val="16"/>
              </w:rPr>
              <w:t>La adopción es una variable causal</w:t>
            </w:r>
            <w:r>
              <w:rPr>
                <w:rFonts w:ascii="Noto Sans" w:hAnsi="Noto Sans" w:eastAsia="Noto Sans"/>
                <w:color w:val="263238"/>
                <w:sz w:val="16"/>
              </w:rPr>
              <w:t xml:space="preserve"> — Dar acceso no garantiza uso. En dos RCT recientes, muchos alumnos casi no interactuaron; sin dosificación, no hay tratamiento real.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cantSplit/>
        </w:trPr>
        <w:tc>
          <w:tcPr>
            <w:tcW w:type="dxa" w:w="8220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85" w:type="dxa"/>
              <w:bottom w:w="45" w:type="dxa"/>
              <w:end w:w="85" w:type="dxa"/>
            </w:tcMar>
            <w:shd w:fill="18324B" w:val="clear"/>
            <w:vAlign w:val="center"/>
          </w:tcPr>
          <w:p>
            <w:pPr>
              <w:keepNext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aps/>
                <w:color w:val="FFFFFF"/>
                <w:sz w:val="15"/>
              </w:rPr>
              <w:t>CÓMO FUNCIONAN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85" w:type="dxa"/>
              <w:bottom w:w="45" w:type="dxa"/>
              <w:end w:w="85" w:type="dxa"/>
            </w:tcMar>
            <w:shd w:fill="0A7A78" w:val="clear"/>
            <w:vAlign w:val="center"/>
          </w:tcPr>
          <w:p>
            <w:pPr>
              <w:keepNext/>
              <w:keepLines w:val="0"/>
              <w:spacing w:before="0" w:after="0" w:line="240" w:lineRule="auto"/>
              <w:jc w:val="righ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2 / 5</w:t>
            </w:r>
          </w:p>
        </w:tc>
      </w:tr>
    </w:tbl>
    <w:p>
      <w:pPr>
        <w:keepNext/>
        <w:keepLines w:val="0"/>
        <w:spacing w:before="80" w:after="20" w:line="240" w:lineRule="auto"/>
      </w:pPr>
      <w:r>
        <w:rPr>
          <w:rFonts w:ascii="Noto Sans" w:hAnsi="Noto Sans" w:eastAsia="Noto Sans"/>
          <w:b/>
          <w:caps/>
          <w:color w:val="0A7A78"/>
          <w:sz w:val="14"/>
        </w:rPr>
        <w:t>ARQUITECTURA DE REFERENCIA</w:t>
      </w:r>
    </w:p>
    <w:p>
      <w:pPr>
        <w:keepNext/>
        <w:keepLines w:val="0"/>
        <w:spacing w:before="0" w:after="60" w:line="235" w:lineRule="auto"/>
      </w:pPr>
      <w:r>
        <w:rPr>
          <w:rFonts w:ascii="Noto Sans" w:hAnsi="Noto Sans" w:eastAsia="Noto Sans"/>
          <w:b/>
          <w:color w:val="18324B"/>
          <w:sz w:val="38"/>
        </w:rPr>
        <w:t>El “tutor” moderno es una pila de ocho capas</w:t>
      </w:r>
    </w:p>
    <w:p>
      <w:pPr>
        <w:pStyle w:val="Deck"/>
        <w:keepNext/>
        <w:keepLines w:val="0"/>
        <w:spacing w:before="0" w:after="100" w:line="259" w:lineRule="auto"/>
      </w:pPr>
      <w:r>
        <w:t>La conversación es solo la superficie. La calidad pedagógica depende de lo que el sistema sabe del dominio y del alumno, de cómo decide la próxima intervención y de cómo comprueba sus propios resultados.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572"/>
      </w:tblGrid>
      <w:tr>
        <w:trPr>
          <w:tblHeader w:val="true"/>
        </w:trPr>
        <w:tc>
          <w:tcPr>
            <w:tcW w:type="dxa" w:w="737"/>
            <w:shd w:fill="18324B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Capa</w:t>
            </w:r>
          </w:p>
        </w:tc>
        <w:tc>
          <w:tcPr>
            <w:tcW w:type="dxa" w:w="2551"/>
            <w:shd w:fill="18324B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Función</w:t>
            </w:r>
          </w:p>
        </w:tc>
        <w:tc>
          <w:tcPr>
            <w:tcW w:type="dxa" w:w="7370"/>
            <w:shd w:fill="18324B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Qué debe contener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1</w:t>
            </w:r>
          </w:p>
        </w:tc>
        <w:tc>
          <w:tcPr>
            <w:tcW w:type="dxa" w:w="2551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Modelo del dominio</w:t>
            </w:r>
          </w:p>
        </w:tc>
        <w:tc>
          <w:tcPr>
            <w:tcW w:type="dxa" w:w="7370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Currículo, estándares, conceptos, prerrequisitos, ejemplos resueltos y criterios de dominio.</w:t>
            </w:r>
          </w:p>
        </w:tc>
      </w:tr>
      <w:tr>
        <w:trPr>
          <w:cantSplit/>
        </w:trPr>
        <w:tc>
          <w:tcPr>
            <w:tcW w:type="dxa" w:w="73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2</w:t>
            </w:r>
          </w:p>
        </w:tc>
        <w:tc>
          <w:tcPr>
            <w:tcW w:type="dxa" w:w="2551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Modelo del estudiante</w:t>
            </w:r>
          </w:p>
        </w:tc>
        <w:tc>
          <w:tcPr>
            <w:tcW w:type="dxa" w:w="7370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Estimación de conocimiento, errores, intentos, confianza, ritmo y trayectoria; no solo “memoria del chat”.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3</w:t>
            </w:r>
          </w:p>
        </w:tc>
        <w:tc>
          <w:tcPr>
            <w:tcW w:type="dxa" w:w="2551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Política pedagógica</w:t>
            </w:r>
          </w:p>
        </w:tc>
        <w:tc>
          <w:tcPr>
            <w:tcW w:type="dxa" w:w="7370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Decide preguntar, dar pista, explicar, practicar prerrequisito, cambiar dificultad o retirar ayuda.</w:t>
            </w:r>
          </w:p>
        </w:tc>
      </w:tr>
      <w:tr>
        <w:trPr>
          <w:cantSplit/>
        </w:trPr>
        <w:tc>
          <w:tcPr>
            <w:tcW w:type="dxa" w:w="73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4</w:t>
            </w:r>
          </w:p>
        </w:tc>
        <w:tc>
          <w:tcPr>
            <w:tcW w:type="dxa" w:w="2551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Generación + multimodalidad</w:t>
            </w:r>
          </w:p>
        </w:tc>
        <w:tc>
          <w:tcPr>
            <w:tcW w:type="dxa" w:w="7370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Diálogo, voz, imagen, simulación, role-play y explicaciones en distintas representaciones.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5</w:t>
            </w:r>
          </w:p>
        </w:tc>
        <w:tc>
          <w:tcPr>
            <w:tcW w:type="dxa" w:w="2551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Grounding y herramientas</w:t>
            </w:r>
          </w:p>
        </w:tc>
        <w:tc>
          <w:tcPr>
            <w:tcW w:type="dxa" w:w="7370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RAG sobre materiales autorizados; calculadora, solver, código, búsqueda, verificadores y citas.</w:t>
            </w:r>
          </w:p>
        </w:tc>
      </w:tr>
      <w:tr>
        <w:trPr>
          <w:cantSplit/>
        </w:trPr>
        <w:tc>
          <w:tcPr>
            <w:tcW w:type="dxa" w:w="73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6</w:t>
            </w:r>
          </w:p>
        </w:tc>
        <w:tc>
          <w:tcPr>
            <w:tcW w:type="dxa" w:w="2551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Guardrails de aprendizaje</w:t>
            </w:r>
          </w:p>
        </w:tc>
        <w:tc>
          <w:tcPr>
            <w:tcW w:type="dxa" w:w="7370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No revelar la respuesta, requerir intento, graduar pistas, detectar copia, incertidumbre y contenido riesgoso.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7</w:t>
            </w:r>
          </w:p>
        </w:tc>
        <w:tc>
          <w:tcPr>
            <w:tcW w:type="dxa" w:w="2551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Orquestación humana</w:t>
            </w:r>
          </w:p>
        </w:tc>
        <w:tc>
          <w:tcPr>
            <w:tcW w:type="dxa" w:w="7370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Asignaciones, panel docente, alertas, agrupamiento, aprobación de mensajes, escalamiento y seguimiento.</w:t>
            </w:r>
          </w:p>
        </w:tc>
      </w:tr>
      <w:tr>
        <w:trPr>
          <w:cantSplit/>
        </w:trPr>
        <w:tc>
          <w:tcPr>
            <w:tcW w:type="dxa" w:w="73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8</w:t>
            </w:r>
          </w:p>
        </w:tc>
        <w:tc>
          <w:tcPr>
            <w:tcW w:type="dxa" w:w="2551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Medición</w:t>
            </w:r>
          </w:p>
        </w:tc>
        <w:tc>
          <w:tcPr>
            <w:tcW w:type="dxa" w:w="7370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Transferencia sin ayuda, retención, tiempo a dominio, proceso, equidad, carga docente, costo y uso real.</w:t>
            </w:r>
          </w:p>
        </w:tc>
      </w:tr>
    </w:tbl>
    <w:p>
      <w:pPr>
        <w:keepNext w:val="0"/>
        <w:keepLines w:val="0"/>
        <w:spacing w:before="100" w:after="40" w:line="259" w:lineRule="auto"/>
      </w:pPr>
      <w:r>
        <w:rPr>
          <w:rFonts w:ascii="Noto Sans" w:hAnsi="Noto Sans" w:eastAsia="Noto Sans"/>
          <w:b/>
          <w:color w:val="0A7A78"/>
          <w:sz w:val="14"/>
        </w:rPr>
        <w:t>CUATRO NIVELES DE PERSONALIZACIÓN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tblHeader w:val="true"/>
        </w:trPr>
        <w:tc>
          <w:tcPr>
            <w:tcW w:type="dxa" w:w="2665"/>
            <w:shd w:fill="0A7A78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Nivel</w:t>
            </w:r>
          </w:p>
        </w:tc>
        <w:tc>
          <w:tcPr>
            <w:tcW w:type="dxa" w:w="7994"/>
            <w:shd w:fill="0A7A78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Definición operativa</w:t>
            </w:r>
          </w:p>
        </w:tc>
      </w:tr>
      <w:tr>
        <w:trPr>
          <w:cantSplit/>
        </w:trPr>
        <w:tc>
          <w:tcPr>
            <w:tcW w:type="dxa" w:w="2665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1. Presentación</w:t>
            </w:r>
          </w:p>
        </w:tc>
        <w:tc>
          <w:tcPr>
            <w:tcW w:type="dxa" w:w="799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Idioma, tono, extensión, lectura fácil. Común; impacto pedagógico limitado.</w:t>
            </w:r>
          </w:p>
        </w:tc>
      </w:tr>
      <w:tr>
        <w:trPr>
          <w:cantSplit/>
        </w:trPr>
        <w:tc>
          <w:tcPr>
            <w:tcW w:type="dxa" w:w="2665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2. Interacción</w:t>
            </w:r>
          </w:p>
        </w:tc>
        <w:tc>
          <w:tcPr>
            <w:tcW w:type="dxa" w:w="799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Preguntas, ejemplos, pista y modalidad adaptados al turno. La mayoría de los chats modernos llega aquí.</w:t>
            </w:r>
          </w:p>
        </w:tc>
      </w:tr>
      <w:tr>
        <w:trPr>
          <w:cantSplit/>
        </w:trPr>
        <w:tc>
          <w:tcPr>
            <w:tcW w:type="dxa" w:w="2665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3. Decisión pedagógica</w:t>
            </w:r>
          </w:p>
        </w:tc>
        <w:tc>
          <w:tcPr>
            <w:tcW w:type="dxa" w:w="799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Próxima acción basada en diagnóstico, dificultad, error y esfuerzo productivo. Requiere política explícita.</w:t>
            </w:r>
          </w:p>
        </w:tc>
      </w:tr>
      <w:tr>
        <w:trPr>
          <w:cantSplit/>
        </w:trPr>
        <w:tc>
          <w:tcPr>
            <w:tcW w:type="dxa" w:w="2665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4. Trayectoria longitudinal</w:t>
            </w:r>
          </w:p>
        </w:tc>
        <w:tc>
          <w:tcPr>
            <w:tcW w:type="dxa" w:w="799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Dominio acumulado, prerrequisitos, espaciado, objetivos y transferencia entre sesiones. Aún poco común en LLM generalistas.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cantSplit/>
        </w:trPr>
        <w:tc>
          <w:tcPr>
            <w:tcW w:type="dxa" w:w="170"/>
            <w:tcBorders>
              <w:top w:val="nil"/>
              <w:left w:val="nil"/>
              <w:bottom w:val="nil"/>
              <w:right w:val="nil"/>
            </w:tcBorders>
            <w:shd w:fill="D39A2C" w:val="clear"/>
            <w:tcMar>
              <w:top w:w="40" w:type="dxa"/>
              <w:start w:w="15" w:type="dxa"/>
              <w:bottom w:w="40" w:type="dxa"/>
              <w:end w:w="15" w:type="dxa"/>
            </w:tcMar>
          </w:tcPr>
          <w:p/>
        </w:tc>
        <w:tc>
          <w:tcPr>
            <w:tcW w:type="dxa" w:w="10148"/>
            <w:tcBorders>
              <w:top w:val="nil"/>
              <w:left w:val="nil"/>
              <w:bottom w:val="nil"/>
              <w:right w:val="nil"/>
            </w:tcBorders>
            <w:shd w:fill="F8EDD4" w:val="clea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18324B"/>
                <w:sz w:val="15"/>
              </w:rPr>
              <w:t>Prueba de realidad.</w:t>
            </w:r>
            <w:r>
              <w:t xml:space="preserve">  </w:t>
            </w:r>
            <w:r>
              <w:rPr>
                <w:rFonts w:ascii="Noto Sans" w:hAnsi="Noto Sans" w:eastAsia="Noto Sans"/>
                <w:color w:val="263238"/>
                <w:sz w:val="15"/>
              </w:rPr>
              <w:t>Un sistema que recuerda el nombre, cambia el tono o “parece empático” puede sentirse personalizado sin estimar correctamente qué sabe el alumno ni escoger la próxima tarea óptima.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cantSplit/>
        </w:trPr>
        <w:tc>
          <w:tcPr>
            <w:tcW w:type="dxa" w:w="8220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85" w:type="dxa"/>
              <w:bottom w:w="45" w:type="dxa"/>
              <w:end w:w="85" w:type="dxa"/>
            </w:tcMar>
            <w:shd w:fill="18324B" w:val="clear"/>
            <w:vAlign w:val="center"/>
          </w:tcPr>
          <w:p>
            <w:pPr>
              <w:keepNext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aps/>
                <w:color w:val="FFFFFF"/>
                <w:sz w:val="15"/>
              </w:rPr>
              <w:t>QUÉ SISTEMAS EXISTEN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85" w:type="dxa"/>
              <w:bottom w:w="45" w:type="dxa"/>
              <w:end w:w="85" w:type="dxa"/>
            </w:tcMar>
            <w:shd w:fill="0A7A78" w:val="clear"/>
            <w:vAlign w:val="center"/>
          </w:tcPr>
          <w:p>
            <w:pPr>
              <w:keepNext/>
              <w:keepLines w:val="0"/>
              <w:spacing w:before="0" w:after="0" w:line="240" w:lineRule="auto"/>
              <w:jc w:val="righ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3 / 5</w:t>
            </w:r>
          </w:p>
        </w:tc>
      </w:tr>
    </w:tbl>
    <w:p>
      <w:pPr>
        <w:keepNext/>
        <w:keepLines w:val="0"/>
        <w:spacing w:before="80" w:after="20" w:line="240" w:lineRule="auto"/>
      </w:pPr>
      <w:r>
        <w:rPr>
          <w:rFonts w:ascii="Noto Sans" w:hAnsi="Noto Sans" w:eastAsia="Noto Sans"/>
          <w:b/>
          <w:caps/>
          <w:color w:val="0A7A78"/>
          <w:sz w:val="14"/>
        </w:rPr>
        <w:t>MAPA 2026</w:t>
      </w:r>
    </w:p>
    <w:p>
      <w:pPr>
        <w:keepNext/>
        <w:keepLines w:val="0"/>
        <w:spacing w:before="0" w:after="60" w:line="235" w:lineRule="auto"/>
      </w:pPr>
      <w:r>
        <w:rPr>
          <w:rFonts w:ascii="Noto Sans" w:hAnsi="Noto Sans" w:eastAsia="Noto Sans"/>
          <w:b/>
          <w:color w:val="18324B"/>
          <w:sz w:val="38"/>
        </w:rPr>
        <w:t>Seis familias; ninguna domina todas las funciones</w:t>
      </w:r>
    </w:p>
    <w:p>
      <w:pPr>
        <w:pStyle w:val="Deck"/>
        <w:keepNext/>
        <w:keepLines w:val="0"/>
        <w:spacing w:before="0" w:after="100" w:line="259" w:lineRule="auto"/>
      </w:pPr>
      <w:r>
        <w:t>La frontera está convergiendo: los chats incorporan currículo y memoria; los tutores adaptativos incorporan lenguaje generativo; ambos añaden paneles docentes y verificadores.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9"/>
        <w:gridCol w:w="2679"/>
        <w:gridCol w:w="2679"/>
        <w:gridCol w:w="2679"/>
      </w:tblGrid>
      <w:tr>
        <w:trPr>
          <w:tblHeader w:val="true"/>
        </w:trPr>
        <w:tc>
          <w:tcPr>
            <w:tcW w:type="dxa" w:w="1928"/>
            <w:shd w:fill="18324B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Familia</w:t>
            </w:r>
          </w:p>
        </w:tc>
        <w:tc>
          <w:tcPr>
            <w:tcW w:type="dxa" w:w="2948"/>
            <w:shd w:fill="18324B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Ejemplos</w:t>
            </w:r>
          </w:p>
        </w:tc>
        <w:tc>
          <w:tcPr>
            <w:tcW w:type="dxa" w:w="3288"/>
            <w:shd w:fill="18324B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Valor distintivo</w:t>
            </w:r>
          </w:p>
        </w:tc>
        <w:tc>
          <w:tcPr>
            <w:tcW w:type="dxa" w:w="2494"/>
            <w:shd w:fill="18324B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Límite actual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Tutor conversacional</w:t>
            </w:r>
          </w:p>
        </w:tc>
        <w:tc>
          <w:tcPr>
            <w:tcW w:type="dxa" w:w="2948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Khanmigo; ChatGPT Study Mode; Gemini Guided Learning; Claude Learning Mode</w:t>
            </w:r>
          </w:p>
        </w:tc>
        <w:tc>
          <w:tcPr>
            <w:tcW w:type="dxa" w:w="3288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Diálogo abierto, explicación, preguntas, pistas, materiales del alumno.</w:t>
            </w:r>
          </w:p>
        </w:tc>
        <w:tc>
          <w:tcPr>
            <w:tcW w:type="dxa" w:w="249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Alta flexibilidad; adaptación longitudinal desigual.</w:t>
            </w:r>
          </w:p>
        </w:tc>
      </w:tr>
      <w:tr>
        <w:trPr>
          <w:cantSplit/>
        </w:trPr>
        <w:tc>
          <w:tcPr>
            <w:tcW w:type="dxa" w:w="1928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ITS/adaptativo estructurado</w:t>
            </w:r>
          </w:p>
        </w:tc>
        <w:tc>
          <w:tcPr>
            <w:tcW w:type="dxa" w:w="2948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MATHia; ALEKS; ASSISTments; Mindspark</w:t>
            </w:r>
          </w:p>
        </w:tc>
        <w:tc>
          <w:tcPr>
            <w:tcW w:type="dxa" w:w="3288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Mapa granular de habilidades, secuenciación, práctica y feedback.</w:t>
            </w:r>
          </w:p>
        </w:tc>
        <w:tc>
          <w:tcPr>
            <w:tcW w:type="dxa" w:w="249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Menos abierto; evidencia histórica más madura.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Híbrido GenAI + currículo</w:t>
            </w:r>
          </w:p>
        </w:tc>
        <w:tc>
          <w:tcPr>
            <w:tcW w:type="dxa" w:w="2948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Khanmigo integrado; Eedi/LearnLM; Duolingo Max + Birdbrain</w:t>
            </w:r>
          </w:p>
        </w:tc>
        <w:tc>
          <w:tcPr>
            <w:tcW w:type="dxa" w:w="3288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Generación dentro de una ruta, diagnóstico o banco de ítems.</w:t>
            </w:r>
          </w:p>
        </w:tc>
        <w:tc>
          <w:tcPr>
            <w:tcW w:type="dxa" w:w="249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Arquitectura más prometedora para personalización real.</w:t>
            </w:r>
          </w:p>
        </w:tc>
      </w:tr>
      <w:tr>
        <w:trPr>
          <w:cantSplit/>
        </w:trPr>
        <w:tc>
          <w:tcPr>
            <w:tcW w:type="dxa" w:w="1928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Copiloto humano</w:t>
            </w:r>
          </w:p>
        </w:tc>
        <w:tc>
          <w:tcPr>
            <w:tcW w:type="dxa" w:w="2948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Tutor CoPilot; asistentes de planificación y evaluación</w:t>
            </w:r>
          </w:p>
        </w:tc>
        <w:tc>
          <w:tcPr>
            <w:tcW w:type="dxa" w:w="3288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Sugiere al tutor/docente la próxima pregunta, explicación o estrategia.</w:t>
            </w:r>
          </w:p>
        </w:tc>
        <w:tc>
          <w:tcPr>
            <w:tcW w:type="dxa" w:w="249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Preserva juicio humano; puede elevar a los menos expertos.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Multimodal/transformación</w:t>
            </w:r>
          </w:p>
        </w:tc>
        <w:tc>
          <w:tcPr>
            <w:tcW w:type="dxa" w:w="2948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Reading Coach; NotebookLM; Learn Your Way; simuladores</w:t>
            </w:r>
          </w:p>
        </w:tc>
        <w:tc>
          <w:tcPr>
            <w:tcW w:type="dxa" w:w="3288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Voz, lectura, video, mapas, cuestionarios y cambio de representación.</w:t>
            </w:r>
          </w:p>
        </w:tc>
        <w:tc>
          <w:tcPr>
            <w:tcW w:type="dxa" w:w="249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Útil para acceso y comprensión; efecto causal específico escaso.</w:t>
            </w:r>
          </w:p>
        </w:tc>
      </w:tr>
      <w:tr>
        <w:trPr>
          <w:cantSplit/>
        </w:trPr>
        <w:tc>
          <w:tcPr>
            <w:tcW w:type="dxa" w:w="1928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Baja conectividad</w:t>
            </w:r>
          </w:p>
        </w:tc>
        <w:tc>
          <w:tcPr>
            <w:tcW w:type="dxa" w:w="2948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Rori por WhatsApp; despliegue Nigeria; asistentes sobre textos locales</w:t>
            </w:r>
          </w:p>
        </w:tc>
        <w:tc>
          <w:tcPr>
            <w:tcW w:type="dxa" w:w="3288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Interfaz móvil, pares, contenidos limitados, facilitador y sesiones pautadas.</w:t>
            </w:r>
          </w:p>
        </w:tc>
        <w:tc>
          <w:tcPr>
            <w:tcW w:type="dxa" w:w="249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Gran potencial distributivo; infraestructura y implementación mandan.</w:t>
            </w:r>
          </w:p>
        </w:tc>
      </w:tr>
    </w:tbl>
    <w:p>
      <w:pPr>
        <w:keepNext w:val="0"/>
        <w:keepLines w:val="0"/>
        <w:spacing w:before="100" w:after="40" w:line="259" w:lineRule="auto"/>
      </w:pPr>
      <w:r>
        <w:rPr>
          <w:rFonts w:ascii="Noto Sans" w:hAnsi="Noto Sans" w:eastAsia="Noto Sans"/>
          <w:b/>
          <w:color w:val="0A7A78"/>
          <w:sz w:val="14"/>
        </w:rPr>
        <w:t>LECTURA PRECISA DE LOS PRODUCTOS MÁS VISIBLES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tblHeader w:val="true"/>
        </w:trPr>
        <w:tc>
          <w:tcPr>
            <w:tcW w:type="dxa" w:w="2154"/>
            <w:shd w:fill="0A7A78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Sistema</w:t>
            </w:r>
          </w:p>
        </w:tc>
        <w:tc>
          <w:tcPr>
            <w:tcW w:type="dxa" w:w="8504"/>
            <w:shd w:fill="0A7A78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Qué hay realmente detrás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Khanmigo</w:t>
            </w:r>
          </w:p>
        </w:tc>
        <w:tc>
          <w:tcPr>
            <w:tcW w:type="dxa" w:w="850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Integra problema, historial reciente, habilidades y prerrequisitos; usa agente matemático/verificación. A/B internos: +3.4% y +2.7% en corrección del siguiente ítem. Es transferencia inmediata de producto, no un RCT externo de aprendizaje duradero.</w:t>
            </w:r>
          </w:p>
        </w:tc>
      </w:tr>
      <w:tr>
        <w:trPr>
          <w:cantSplit/>
        </w:trPr>
        <w:tc>
          <w:tcPr>
            <w:tcW w:type="dxa" w:w="215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ChatGPT Study Mode</w:t>
            </w:r>
          </w:p>
        </w:tc>
        <w:tc>
          <w:tcPr>
            <w:tcW w:type="dxa" w:w="850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Instrucciones pedagógicas, andamiaje, preguntas y checks. Estudio temprano &gt;300 universitarios: resultado positivo no significativo en neurociencia y ≈15% más en microeconomía; análisis y validación longitudinal continúan.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Gemini Guided Learning / LearnLM</w:t>
            </w:r>
          </w:p>
        </w:tc>
        <w:tc>
          <w:tcPr>
            <w:tcW w:type="dxa" w:w="850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Modelo ajustado para conductas pedagógicas y formato socrático. En Sierra Leona, RCT docente-dirigido +0.258 DE; el paquete incluyó capacitación, pares, lecciones y consolidación.</w:t>
            </w:r>
          </w:p>
        </w:tc>
      </w:tr>
      <w:tr>
        <w:trPr>
          <w:cantSplit/>
        </w:trPr>
        <w:tc>
          <w:tcPr>
            <w:tcW w:type="dxa" w:w="215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Claude Learning Mode</w:t>
            </w:r>
          </w:p>
        </w:tc>
        <w:tc>
          <w:tcPr>
            <w:tcW w:type="dxa" w:w="850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Guía, preguntas socráticas, conceptos nucleares y plantillas dentro de Projects. Hay datos de uso y despliegue universitario, pero no evidencia causal pública comparable de aprendizaje.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Duolingo</w:t>
            </w:r>
          </w:p>
        </w:tc>
        <w:tc>
          <w:tcPr>
            <w:tcW w:type="dxa" w:w="850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Motor adaptativo estructurado + conversación generativa, role-play y explicaciones. Buen ejemplo de hibridación; no hay estimación pública que aísle el aporte causal de la capa GenAI.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cantSplit/>
        </w:trPr>
        <w:tc>
          <w:tcPr>
            <w:tcW w:type="dxa" w:w="8220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85" w:type="dxa"/>
              <w:bottom w:w="45" w:type="dxa"/>
              <w:end w:w="85" w:type="dxa"/>
            </w:tcMar>
            <w:shd w:fill="18324B" w:val="clear"/>
            <w:vAlign w:val="center"/>
          </w:tcPr>
          <w:p>
            <w:pPr>
              <w:keepNext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aps/>
                <w:color w:val="FFFFFF"/>
                <w:sz w:val="15"/>
              </w:rPr>
              <w:t>QUÉ SE HA MEDIDO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85" w:type="dxa"/>
              <w:bottom w:w="45" w:type="dxa"/>
              <w:end w:w="85" w:type="dxa"/>
            </w:tcMar>
            <w:shd w:fill="0A7A78" w:val="clear"/>
            <w:vAlign w:val="center"/>
          </w:tcPr>
          <w:p>
            <w:pPr>
              <w:keepNext/>
              <w:keepLines w:val="0"/>
              <w:spacing w:before="0" w:after="0" w:line="240" w:lineRule="auto"/>
              <w:jc w:val="righ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4 / 5</w:t>
            </w:r>
          </w:p>
        </w:tc>
      </w:tr>
    </w:tbl>
    <w:p>
      <w:pPr>
        <w:keepNext/>
        <w:keepLines w:val="0"/>
        <w:spacing w:before="80" w:after="20" w:line="240" w:lineRule="auto"/>
      </w:pPr>
      <w:r>
        <w:rPr>
          <w:rFonts w:ascii="Noto Sans" w:hAnsi="Noto Sans" w:eastAsia="Noto Sans"/>
          <w:b/>
          <w:caps/>
          <w:color w:val="0A7A78"/>
          <w:sz w:val="14"/>
        </w:rPr>
        <w:t>EVIDENCIA CAUSAL</w:t>
      </w:r>
    </w:p>
    <w:p>
      <w:pPr>
        <w:keepNext/>
        <w:keepLines w:val="0"/>
        <w:spacing w:before="0" w:after="60" w:line="235" w:lineRule="auto"/>
      </w:pPr>
      <w:r>
        <w:rPr>
          <w:rFonts w:ascii="Noto Sans" w:hAnsi="Noto Sans" w:eastAsia="Noto Sans"/>
          <w:b/>
          <w:color w:val="18324B"/>
          <w:sz w:val="38"/>
        </w:rPr>
        <w:t>La señal es favorable; las condiciones importan más que la marca</w:t>
      </w:r>
    </w:p>
    <w:p>
      <w:pPr>
        <w:pStyle w:val="Deck"/>
        <w:keepNext/>
        <w:keepLines w:val="0"/>
        <w:spacing w:before="0" w:after="100" w:line="259" w:lineRule="auto"/>
      </w:pPr>
      <w:r>
        <w:t>Comparar estudios exige separar práctica asistida, prueba autónoma, duración, dosificación, soporte humano, población y quién construyó/evaluó 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3"/>
        <w:gridCol w:w="2143"/>
        <w:gridCol w:w="2143"/>
        <w:gridCol w:w="2143"/>
        <w:gridCol w:w="2143"/>
      </w:tblGrid>
      <w:tr>
        <w:trPr>
          <w:tblHeader w:val="true"/>
        </w:trPr>
        <w:tc>
          <w:tcPr>
            <w:tcW w:type="dxa" w:w="1757"/>
            <w:shd w:fill="18324B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2"/>
              </w:rPr>
              <w:t>Estudio</w:t>
            </w:r>
          </w:p>
        </w:tc>
        <w:tc>
          <w:tcPr>
            <w:tcW w:type="dxa" w:w="1871"/>
            <w:shd w:fill="18324B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2"/>
              </w:rPr>
              <w:t>Muestra/diseño</w:t>
            </w:r>
          </w:p>
        </w:tc>
        <w:tc>
          <w:tcPr>
            <w:tcW w:type="dxa" w:w="2324"/>
            <w:shd w:fill="18324B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2"/>
              </w:rPr>
              <w:t>Resultado</w:t>
            </w:r>
          </w:p>
        </w:tc>
        <w:tc>
          <w:tcPr>
            <w:tcW w:type="dxa" w:w="3742"/>
            <w:shd w:fill="18324B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2"/>
              </w:rPr>
              <w:t>Qué identifica realmente</w:t>
            </w:r>
          </w:p>
        </w:tc>
        <w:tc>
          <w:tcPr>
            <w:tcW w:type="dxa" w:w="964"/>
            <w:shd w:fill="18324B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2"/>
              </w:rPr>
              <w:t>Juicio</w:t>
            </w:r>
          </w:p>
        </w:tc>
      </w:tr>
      <w:tr>
        <w:trPr>
          <w:cantSplit/>
        </w:trPr>
        <w:tc>
          <w:tcPr>
            <w:tcW w:type="dxa" w:w="175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Metaanálisis 2026</w:t>
            </w:r>
          </w:p>
        </w:tc>
        <w:tc>
          <w:tcPr>
            <w:tcW w:type="dxa" w:w="1871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14 RCT; 10 economías</w:t>
            </w:r>
          </w:p>
        </w:tc>
        <w:tc>
          <w:tcPr>
            <w:tcW w:type="dxa" w:w="232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+0.125 DE aprendizaje; tutoría/instrucción IA +0.12 DE</w:t>
            </w:r>
          </w:p>
        </w:tc>
        <w:tc>
          <w:tcPr>
            <w:tcW w:type="dxa" w:w="3742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GenAI no supera con precisión a tecnología adaptativa previa; costos y países de bajos ingresos casi ausentes.</w:t>
            </w:r>
          </w:p>
        </w:tc>
        <w:tc>
          <w:tcPr>
            <w:tcW w:type="dxa" w:w="96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Alta síntesis; base aún pequeña</w:t>
            </w:r>
          </w:p>
        </w:tc>
      </w:tr>
      <w:tr>
        <w:trPr>
          <w:cantSplit/>
        </w:trPr>
        <w:tc>
          <w:tcPr>
            <w:tcW w:type="dxa" w:w="175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Bastani et al.</w:t>
            </w:r>
          </w:p>
        </w:tc>
        <w:tc>
          <w:tcPr>
            <w:tcW w:type="dxa" w:w="1871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≈1,000, secundaria, Turquía</w:t>
            </w:r>
          </w:p>
        </w:tc>
        <w:tc>
          <w:tcPr>
            <w:tcW w:type="dxa" w:w="232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Práctica: +48% GPT Base; +127% GPT Tutor. Examen sin IA: Base −17%; Tutor ≈ control.</w:t>
            </w:r>
          </w:p>
        </w:tc>
        <w:tc>
          <w:tcPr>
            <w:tcW w:type="dxa" w:w="3742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La asistencia irrestricta produce dependencia; guardrails eliminan el daño, no generan una ventaja autónoma.</w:t>
            </w:r>
          </w:p>
        </w:tc>
        <w:tc>
          <w:tcPr>
            <w:tcW w:type="dxa" w:w="96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Fuerte</w:t>
            </w:r>
          </w:p>
        </w:tc>
      </w:tr>
      <w:tr>
        <w:trPr>
          <w:cantSplit/>
        </w:trPr>
        <w:tc>
          <w:tcPr>
            <w:tcW w:type="dxa" w:w="175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Kestin et al.</w:t>
            </w:r>
          </w:p>
        </w:tc>
        <w:tc>
          <w:tcPr>
            <w:tcW w:type="dxa" w:w="1871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194, física Harvard; 2 lecciones</w:t>
            </w:r>
          </w:p>
        </w:tc>
        <w:tc>
          <w:tcPr>
            <w:tcW w:type="dxa" w:w="232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≈0.63 DE; estimación ajustada por techo 0.73–1.3; 49 vs 60 min.</w:t>
            </w:r>
          </w:p>
        </w:tc>
        <w:tc>
          <w:tcPr>
            <w:tcW w:type="dxa" w:w="3742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Sistema muy diseñado, soluciones verificadas, secuencia controlada; resultado inmediato y contexto selectivo.</w:t>
            </w:r>
          </w:p>
        </w:tc>
        <w:tc>
          <w:tcPr>
            <w:tcW w:type="dxa" w:w="96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Fuerte pero estrecha</w:t>
            </w:r>
          </w:p>
        </w:tc>
      </w:tr>
      <w:tr>
        <w:trPr>
          <w:cantSplit/>
        </w:trPr>
        <w:tc>
          <w:tcPr>
            <w:tcW w:type="dxa" w:w="175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Nigeria</w:t>
            </w:r>
          </w:p>
        </w:tc>
        <w:tc>
          <w:tcPr>
            <w:tcW w:type="dxa" w:w="1871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1,328; 6 semanas; after-school</w:t>
            </w:r>
          </w:p>
        </w:tc>
        <w:tc>
          <w:tcPr>
            <w:tcW w:type="dxa" w:w="232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+0.31 DE compuesto; ≈+0.24 DE inglés.</w:t>
            </w:r>
          </w:p>
        </w:tc>
        <w:tc>
          <w:tcPr>
            <w:tcW w:type="dxa" w:w="3742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GPT-4 + tiempo adicional + docente + trabajo en pares + prompting. Efecto del paquete, no del modelo solo.</w:t>
            </w:r>
          </w:p>
        </w:tc>
        <w:tc>
          <w:tcPr>
            <w:tcW w:type="dxa" w:w="96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Prometedora/fuerte</w:t>
            </w:r>
          </w:p>
        </w:tc>
      </w:tr>
      <w:tr>
        <w:trPr>
          <w:cantSplit/>
        </w:trPr>
        <w:tc>
          <w:tcPr>
            <w:tcW w:type="dxa" w:w="175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Sierra Leona</w:t>
            </w:r>
          </w:p>
        </w:tc>
        <w:tc>
          <w:tcPr>
            <w:tcW w:type="dxa" w:w="1871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1,763; 12 escuelas; 8 semanas</w:t>
            </w:r>
          </w:p>
        </w:tc>
        <w:tc>
          <w:tcPr>
            <w:tcW w:type="dxa" w:w="232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+0.258 DE ITT.</w:t>
            </w:r>
          </w:p>
        </w:tc>
        <w:tc>
          <w:tcPr>
            <w:tcW w:type="dxa" w:w="3742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Docente al centro; exposición alta; reporte asociado al proveedor; beneficio mayor para alumnos de línea base alta.</w:t>
            </w:r>
          </w:p>
        </w:tc>
        <w:tc>
          <w:tcPr>
            <w:tcW w:type="dxa" w:w="96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Prometedora</w:t>
            </w:r>
          </w:p>
        </w:tc>
      </w:tr>
      <w:tr>
        <w:trPr>
          <w:cantSplit/>
        </w:trPr>
        <w:tc>
          <w:tcPr>
            <w:tcW w:type="dxa" w:w="175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Tutor CoPilot</w:t>
            </w:r>
          </w:p>
        </w:tc>
        <w:tc>
          <w:tcPr>
            <w:tcW w:type="dxa" w:w="1871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900 tutores; 1,800 alumnos</w:t>
            </w:r>
          </w:p>
        </w:tc>
        <w:tc>
          <w:tcPr>
            <w:tcW w:type="dxa" w:w="232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+4 pp dominio; +9 pp con tutores de menor rating.</w:t>
            </w:r>
          </w:p>
        </w:tc>
        <w:tc>
          <w:tcPr>
            <w:tcW w:type="dxa" w:w="3742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La IA asesora al humano; outcome de plataforma, no test amplio.</w:t>
            </w:r>
          </w:p>
        </w:tc>
        <w:tc>
          <w:tcPr>
            <w:tcW w:type="dxa" w:w="96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Fuerte para copilot</w:t>
            </w:r>
          </w:p>
        </w:tc>
      </w:tr>
      <w:tr>
        <w:trPr>
          <w:cantSplit/>
        </w:trPr>
        <w:tc>
          <w:tcPr>
            <w:tcW w:type="dxa" w:w="175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Eedi/LearnLM</w:t>
            </w:r>
          </w:p>
        </w:tc>
        <w:tc>
          <w:tcPr>
            <w:tcW w:type="dxa" w:w="1871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165; Reino Unido</w:t>
            </w:r>
          </w:p>
        </w:tc>
        <w:tc>
          <w:tcPr>
            <w:tcW w:type="dxa" w:w="232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+5.5 pp en problemas de tema posterior vs tutor humano; intervalos exploratorios.</w:t>
            </w:r>
          </w:p>
        </w:tc>
        <w:tc>
          <w:tcPr>
            <w:tcW w:type="dxa" w:w="3742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Cada mensaje supervisado por expertos; 74–76% requirió cero o mínimos cambios.</w:t>
            </w:r>
          </w:p>
        </w:tc>
        <w:tc>
          <w:tcPr>
            <w:tcW w:type="dxa" w:w="96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Exploratoria</w:t>
            </w:r>
          </w:p>
        </w:tc>
      </w:tr>
      <w:tr>
        <w:trPr>
          <w:cantSplit/>
        </w:trPr>
        <w:tc>
          <w:tcPr>
            <w:tcW w:type="dxa" w:w="175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Acceso sin apoyo</w:t>
            </w:r>
          </w:p>
        </w:tc>
        <w:tc>
          <w:tcPr>
            <w:tcW w:type="dxa" w:w="1871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≈350; 2 RCT de lectura</w:t>
            </w:r>
          </w:p>
        </w:tc>
        <w:tc>
          <w:tcPr>
            <w:tcW w:type="dxa" w:w="232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Uso +1 a +4.4 min/sem con humano; sin mejora de lectura.</w:t>
            </w:r>
          </w:p>
        </w:tc>
        <w:tc>
          <w:tcPr>
            <w:tcW w:type="dxa" w:w="3742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Muchos nunca entraron; dosificación muy inferior a la recomendada.</w:t>
            </w:r>
          </w:p>
        </w:tc>
        <w:tc>
          <w:tcPr>
            <w:tcW w:type="dxa" w:w="96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2"/>
              </w:rPr>
              <w:t>Fuerte para adopción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cantSplit/>
        </w:trPr>
        <w:tc>
          <w:tcPr>
            <w:tcW w:type="dxa" w:w="170"/>
            <w:tcBorders>
              <w:top w:val="nil"/>
              <w:left w:val="nil"/>
              <w:bottom w:val="nil"/>
              <w:right w:val="nil"/>
            </w:tcBorders>
            <w:shd w:fill="A23B3B" w:val="clear"/>
            <w:tcMar>
              <w:top w:w="40" w:type="dxa"/>
              <w:start w:w="15" w:type="dxa"/>
              <w:bottom w:w="40" w:type="dxa"/>
              <w:end w:w="15" w:type="dxa"/>
            </w:tcMar>
          </w:tcPr>
          <w:p/>
        </w:tc>
        <w:tc>
          <w:tcPr>
            <w:tcW w:type="dxa" w:w="10148"/>
            <w:tcBorders>
              <w:top w:val="nil"/>
              <w:left w:val="nil"/>
              <w:bottom w:val="nil"/>
              <w:right w:val="nil"/>
            </w:tcBorders>
            <w:shd w:fill="F7E6E4" w:val="clea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18324B"/>
                <w:sz w:val="15"/>
              </w:rPr>
              <w:t>Regla de oro de medición.</w:t>
            </w:r>
            <w:r>
              <w:t xml:space="preserve">  </w:t>
            </w:r>
            <w:r>
              <w:rPr>
                <w:rFonts w:ascii="Noto Sans" w:hAnsi="Noto Sans" w:eastAsia="Noto Sans"/>
                <w:color w:val="263238"/>
                <w:sz w:val="15"/>
              </w:rPr>
              <w:t>El outcome principal debe ser una prueba independiente, sin IA y preferentemente demorada; después se añaden transferencia lejana, tiempo a dominio, engagement productivo, equidad y costo. “Resolvió más con ayuda” es una métrica de productividad, no de aprendizaje.</w:t>
            </w:r>
          </w:p>
        </w:tc>
      </w:tr>
    </w:tbl>
    <w:p>
      <w:pPr>
        <w:keepNext w:val="0"/>
        <w:keepLines w:val="0"/>
        <w:spacing w:before="80" w:after="20" w:line="259" w:lineRule="auto"/>
      </w:pPr>
      <w:r>
        <w:rPr>
          <w:rFonts w:ascii="Noto Sans" w:hAnsi="Noto Sans" w:eastAsia="Noto Sans"/>
          <w:b/>
          <w:color w:val="18324B"/>
          <w:sz w:val="16"/>
        </w:rPr>
        <w:t>Por qué los efectos difieren</w:t>
      </w:r>
    </w:p>
    <w:p>
      <w:pPr>
        <w:spacing w:after="20" w:line="250" w:lineRule="auto"/>
        <w:ind w:left="227" w:hanging="170"/>
      </w:pPr>
      <w:r>
        <w:rPr>
          <w:rFonts w:ascii="Noto Sans" w:hAnsi="Noto Sans" w:eastAsia="Noto Sans"/>
          <w:b/>
          <w:color w:val="0A7A78"/>
          <w:sz w:val="14"/>
        </w:rPr>
        <w:t xml:space="preserve">• </w:t>
      </w:r>
      <w:r>
        <w:rPr>
          <w:rFonts w:ascii="Noto Sans" w:hAnsi="Noto Sans" w:eastAsia="Noto Sans"/>
          <w:color w:val="263238"/>
          <w:sz w:val="14"/>
        </w:rPr>
        <w:t>Contenido verificado y solución conocida frente a conversación abierta; secuencia externa frente a prompt frágil.</w:t>
      </w:r>
    </w:p>
    <w:p>
      <w:pPr>
        <w:spacing w:after="20" w:line="250" w:lineRule="auto"/>
        <w:ind w:left="227" w:hanging="170"/>
      </w:pPr>
      <w:r>
        <w:rPr>
          <w:rFonts w:ascii="Noto Sans" w:hAnsi="Noto Sans" w:eastAsia="Noto Sans"/>
          <w:b/>
          <w:color w:val="0A7A78"/>
          <w:sz w:val="14"/>
        </w:rPr>
        <w:t xml:space="preserve">• </w:t>
      </w:r>
      <w:r>
        <w:rPr>
          <w:rFonts w:ascii="Noto Sans" w:hAnsi="Noto Sans" w:eastAsia="Noto Sans"/>
          <w:color w:val="263238"/>
          <w:sz w:val="14"/>
        </w:rPr>
        <w:t>Intento, pista gradual y fading frente a respuesta inmediata; objetivos de dominio frente a satisfacción del usuario.</w:t>
      </w:r>
    </w:p>
    <w:p>
      <w:pPr>
        <w:spacing w:after="20" w:line="250" w:lineRule="auto"/>
        <w:ind w:left="227" w:hanging="170"/>
      </w:pPr>
      <w:r>
        <w:rPr>
          <w:rFonts w:ascii="Noto Sans" w:hAnsi="Noto Sans" w:eastAsia="Noto Sans"/>
          <w:b/>
          <w:color w:val="0A7A78"/>
          <w:sz w:val="14"/>
        </w:rPr>
        <w:t xml:space="preserve">• </w:t>
      </w:r>
      <w:r>
        <w:rPr>
          <w:rFonts w:ascii="Noto Sans" w:hAnsi="Noto Sans" w:eastAsia="Noto Sans"/>
          <w:color w:val="263238"/>
          <w:sz w:val="14"/>
        </w:rPr>
        <w:t>Uso obligatorio/acompañado frente a acceso voluntario; minutos reales y fidelidad de implementación.</w:t>
      </w:r>
    </w:p>
    <w:p>
      <w:pPr>
        <w:spacing w:after="20" w:line="250" w:lineRule="auto"/>
        <w:ind w:left="227" w:hanging="170"/>
      </w:pPr>
      <w:r>
        <w:rPr>
          <w:rFonts w:ascii="Noto Sans" w:hAnsi="Noto Sans" w:eastAsia="Noto Sans"/>
          <w:b/>
          <w:color w:val="0A7A78"/>
          <w:sz w:val="14"/>
        </w:rPr>
        <w:t xml:space="preserve">• </w:t>
      </w:r>
      <w:r>
        <w:rPr>
          <w:rFonts w:ascii="Noto Sans" w:hAnsi="Noto Sans" w:eastAsia="Noto Sans"/>
          <w:color w:val="263238"/>
          <w:sz w:val="14"/>
        </w:rPr>
        <w:t>Prueba inmediata y estrecha frente a retención y transferencia; estudiantes/contextos muy distintos.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cantSplit/>
        </w:trPr>
        <w:tc>
          <w:tcPr>
            <w:tcW w:type="dxa" w:w="8220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85" w:type="dxa"/>
              <w:bottom w:w="45" w:type="dxa"/>
              <w:end w:w="85" w:type="dxa"/>
            </w:tcMar>
            <w:shd w:fill="18324B" w:val="clear"/>
            <w:vAlign w:val="center"/>
          </w:tcPr>
          <w:p>
            <w:pPr>
              <w:keepNext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aps/>
                <w:color w:val="FFFFFF"/>
                <w:sz w:val="15"/>
              </w:rPr>
              <w:t>QUÉ HACER CON ESTO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85" w:type="dxa"/>
              <w:bottom w:w="45" w:type="dxa"/>
              <w:end w:w="85" w:type="dxa"/>
            </w:tcMar>
            <w:shd w:fill="0A7A78" w:val="clear"/>
            <w:vAlign w:val="center"/>
          </w:tcPr>
          <w:p>
            <w:pPr>
              <w:keepNext/>
              <w:keepLines w:val="0"/>
              <w:spacing w:before="0" w:after="0" w:line="240" w:lineRule="auto"/>
              <w:jc w:val="righ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5 / 5</w:t>
            </w:r>
          </w:p>
        </w:tc>
      </w:tr>
    </w:tbl>
    <w:p>
      <w:pPr>
        <w:keepNext/>
        <w:keepLines w:val="0"/>
        <w:spacing w:before="80" w:after="20" w:line="240" w:lineRule="auto"/>
      </w:pPr>
      <w:r>
        <w:rPr>
          <w:rFonts w:ascii="Noto Sans" w:hAnsi="Noto Sans" w:eastAsia="Noto Sans"/>
          <w:b/>
          <w:caps/>
          <w:color w:val="0A7A78"/>
          <w:sz w:val="14"/>
        </w:rPr>
        <w:t>DECISIÓN Y EVALUACIÓN</w:t>
      </w:r>
    </w:p>
    <w:p>
      <w:pPr>
        <w:keepNext/>
        <w:keepLines w:val="0"/>
        <w:spacing w:before="0" w:after="60" w:line="235" w:lineRule="auto"/>
      </w:pPr>
      <w:r>
        <w:rPr>
          <w:rFonts w:ascii="Noto Sans" w:hAnsi="Noto Sans" w:eastAsia="Noto Sans"/>
          <w:b/>
          <w:color w:val="18324B"/>
          <w:sz w:val="38"/>
        </w:rPr>
        <w:t>Exigir un sistema pedagógico auditable, no una demostración impresionante</w:t>
      </w:r>
    </w:p>
    <w:p>
      <w:pPr>
        <w:pStyle w:val="Deck"/>
        <w:keepNext/>
        <w:keepLines w:val="0"/>
        <w:spacing w:before="0" w:after="100" w:line="259" w:lineRule="auto"/>
      </w:pPr>
      <w:r>
        <w:t>La compra o el diseño debe comenzar con el resultado de aprendizaje y el papel del docente; después se elige el modelo y la interfaz.</w:t>
      </w:r>
    </w:p>
    <w:p>
      <w:pPr>
        <w:keepNext w:val="0"/>
        <w:keepLines w:val="0"/>
        <w:spacing w:before="0" w:after="40" w:line="259" w:lineRule="auto"/>
      </w:pPr>
      <w:r>
        <w:rPr>
          <w:rFonts w:ascii="Noto Sans" w:hAnsi="Noto Sans" w:eastAsia="Noto Sans"/>
          <w:b/>
          <w:color w:val="0A7A78"/>
          <w:sz w:val="14"/>
        </w:rPr>
        <w:t>DIEZ REQUISITOS NO NEGOCIABLES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572"/>
      </w:tblGrid>
      <w:tr>
        <w:trPr>
          <w:tblHeader w:val="true"/>
        </w:trPr>
        <w:tc>
          <w:tcPr>
            <w:tcW w:type="dxa" w:w="567"/>
            <w:shd w:fill="0A7A78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#</w:t>
            </w:r>
          </w:p>
        </w:tc>
        <w:tc>
          <w:tcPr>
            <w:tcW w:type="dxa" w:w="2324"/>
            <w:shd w:fill="0A7A78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Requisito</w:t>
            </w:r>
          </w:p>
        </w:tc>
        <w:tc>
          <w:tcPr>
            <w:tcW w:type="dxa" w:w="7767"/>
            <w:shd w:fill="0A7A78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Prueba que debe mostrar el proveedor/equipo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1</w:t>
            </w:r>
          </w:p>
        </w:tc>
        <w:tc>
          <w:tcPr>
            <w:tcW w:type="dxa" w:w="232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Currículo trazable</w:t>
            </w:r>
          </w:p>
        </w:tc>
        <w:tc>
          <w:tcPr>
            <w:tcW w:type="dxa" w:w="776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Fuentes autorizadas, objetivos, prerrequisitos y ejemplos resueltos.</w:t>
            </w:r>
          </w:p>
        </w:tc>
      </w:tr>
      <w:tr>
        <w:trPr>
          <w:cantSplit/>
        </w:trPr>
        <w:tc>
          <w:tcPr>
            <w:tcW w:type="dxa" w:w="56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2</w:t>
            </w:r>
          </w:p>
        </w:tc>
        <w:tc>
          <w:tcPr>
            <w:tcW w:type="dxa" w:w="232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Estado del alumno</w:t>
            </w:r>
          </w:p>
        </w:tc>
        <w:tc>
          <w:tcPr>
            <w:tcW w:type="dxa" w:w="776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Historial estructurado, mastery y errores; opción de corregir el diagnóstico.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3</w:t>
            </w:r>
          </w:p>
        </w:tc>
        <w:tc>
          <w:tcPr>
            <w:tcW w:type="dxa" w:w="232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Política explícita</w:t>
            </w:r>
          </w:p>
        </w:tc>
        <w:tc>
          <w:tcPr>
            <w:tcW w:type="dxa" w:w="776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Cuándo pregunta, da pista, explica, practica, escala o retira ayuda.</w:t>
            </w:r>
          </w:p>
        </w:tc>
      </w:tr>
      <w:tr>
        <w:trPr>
          <w:cantSplit/>
        </w:trPr>
        <w:tc>
          <w:tcPr>
            <w:tcW w:type="dxa" w:w="56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4</w:t>
            </w:r>
          </w:p>
        </w:tc>
        <w:tc>
          <w:tcPr>
            <w:tcW w:type="dxa" w:w="232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Herramientas y verificación</w:t>
            </w:r>
          </w:p>
        </w:tc>
        <w:tc>
          <w:tcPr>
            <w:tcW w:type="dxa" w:w="776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Cálculo, código, citas, validación factual y manejo visible de incertidumbre.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5</w:t>
            </w:r>
          </w:p>
        </w:tc>
        <w:tc>
          <w:tcPr>
            <w:tcW w:type="dxa" w:w="232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Fricción productiva</w:t>
            </w:r>
          </w:p>
        </w:tc>
        <w:tc>
          <w:tcPr>
            <w:tcW w:type="dxa" w:w="776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Intento previo, pistas graduadas, no entregar respuestas y fading.</w:t>
            </w:r>
          </w:p>
        </w:tc>
      </w:tr>
      <w:tr>
        <w:trPr>
          <w:cantSplit/>
        </w:trPr>
        <w:tc>
          <w:tcPr>
            <w:tcW w:type="dxa" w:w="56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6</w:t>
            </w:r>
          </w:p>
        </w:tc>
        <w:tc>
          <w:tcPr>
            <w:tcW w:type="dxa" w:w="232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Control docente</w:t>
            </w:r>
          </w:p>
        </w:tc>
        <w:tc>
          <w:tcPr>
            <w:tcW w:type="dxa" w:w="776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Asignación, visibilidad, alertas, límites, override y escalamiento humano.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7</w:t>
            </w:r>
          </w:p>
        </w:tc>
        <w:tc>
          <w:tcPr>
            <w:tcW w:type="dxa" w:w="232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Privacidad mínima</w:t>
            </w:r>
          </w:p>
        </w:tc>
        <w:tc>
          <w:tcPr>
            <w:tcW w:type="dxa" w:w="776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Retención, uso para entrenamiento, acceso, borrado y protección de menores.</w:t>
            </w:r>
          </w:p>
        </w:tc>
      </w:tr>
      <w:tr>
        <w:trPr>
          <w:cantSplit/>
        </w:trPr>
        <w:tc>
          <w:tcPr>
            <w:tcW w:type="dxa" w:w="56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8</w:t>
            </w:r>
          </w:p>
        </w:tc>
        <w:tc>
          <w:tcPr>
            <w:tcW w:type="dxa" w:w="232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Auditoría</w:t>
            </w:r>
          </w:p>
        </w:tc>
        <w:tc>
          <w:tcPr>
            <w:tcW w:type="dxa" w:w="776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Logs exportables, versiones de modelo/prompts, incidentes y métricas por subgrupo.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9</w:t>
            </w:r>
          </w:p>
        </w:tc>
        <w:tc>
          <w:tcPr>
            <w:tcW w:type="dxa" w:w="2324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Interoperabilidad</w:t>
            </w:r>
          </w:p>
        </w:tc>
        <w:tc>
          <w:tcPr>
            <w:tcW w:type="dxa" w:w="7767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LMS, estándares, identidad, contenido y portabilidad del learner model.</w:t>
            </w:r>
          </w:p>
        </w:tc>
      </w:tr>
      <w:tr>
        <w:trPr>
          <w:cantSplit/>
        </w:trPr>
        <w:tc>
          <w:tcPr>
            <w:tcW w:type="dxa" w:w="56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10</w:t>
            </w:r>
          </w:p>
        </w:tc>
        <w:tc>
          <w:tcPr>
            <w:tcW w:type="dxa" w:w="2324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Evidencia relevante</w:t>
            </w:r>
          </w:p>
        </w:tc>
        <w:tc>
          <w:tcPr>
            <w:tcW w:type="dxa" w:w="7767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RCT o comparación creíble con examen sin ayuda, dosificación y costo total.</w:t>
            </w:r>
          </w:p>
        </w:tc>
      </w:tr>
    </w:tbl>
    <w:p>
      <w:pPr>
        <w:keepNext w:val="0"/>
        <w:keepLines w:val="0"/>
        <w:spacing w:before="80" w:after="40" w:line="259" w:lineRule="auto"/>
      </w:pPr>
      <w:r>
        <w:rPr>
          <w:rFonts w:ascii="Noto Sans" w:hAnsi="Noto Sans" w:eastAsia="Noto Sans"/>
          <w:b/>
          <w:color w:val="0A7A78"/>
          <w:sz w:val="14"/>
        </w:rPr>
        <w:t>DISEÑO MÍNIMO DE UNA EVALUACIÓN SERIA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tblHeader w:val="true"/>
        </w:trPr>
        <w:tc>
          <w:tcPr>
            <w:tcW w:type="dxa" w:w="2268"/>
            <w:shd w:fill="18324B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8391"/>
            <w:shd w:fill="18324B" w:val="clear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FFFFFF"/>
                <w:sz w:val="13"/>
              </w:rPr>
              <w:t>Estándar mínimo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Comparador</w:t>
            </w:r>
          </w:p>
        </w:tc>
        <w:tc>
          <w:tcPr>
            <w:tcW w:type="dxa" w:w="8391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Control activo con igual tiempo, contenido y atención; distinguir “IA” de tiempo adicional o tutor humano.</w:t>
            </w:r>
          </w:p>
        </w:tc>
      </w:tr>
      <w:tr>
        <w:trPr>
          <w:cantSplit/>
        </w:trPr>
        <w:tc>
          <w:tcPr>
            <w:tcW w:type="dxa" w:w="2268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Duración</w:t>
            </w:r>
          </w:p>
        </w:tc>
        <w:tc>
          <w:tcPr>
            <w:tcW w:type="dxa" w:w="8391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Idealmente 8–16+ semanas, medición de uso real y seguimiento demorado.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Outcome primario</w:t>
            </w:r>
          </w:p>
        </w:tc>
        <w:tc>
          <w:tcPr>
            <w:tcW w:type="dxa" w:w="8391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Prueba independiente sin asistencia; preregistrada; correctores ciegos cuando sea posible.</w:t>
            </w:r>
          </w:p>
        </w:tc>
      </w:tr>
      <w:tr>
        <w:trPr>
          <w:cantSplit/>
        </w:trPr>
        <w:tc>
          <w:tcPr>
            <w:tcW w:type="dxa" w:w="2268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Mecanismos</w:t>
            </w:r>
          </w:p>
        </w:tc>
        <w:tc>
          <w:tcPr>
            <w:tcW w:type="dxa" w:w="8391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Intentos, pistas, direct-answer rate, corrección de errores, self-explanation, persistencia y secuencia.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Heterogeneidad</w:t>
            </w:r>
          </w:p>
        </w:tc>
        <w:tc>
          <w:tcPr>
            <w:tcW w:type="dxa" w:w="8391"/>
            <w:shd w:fill="FFFFFF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Nivel inicial, género, lengua, SES, discapacidad, alfabetización digital y calidad docente.</w:t>
            </w:r>
          </w:p>
        </w:tc>
      </w:tr>
      <w:tr>
        <w:trPr>
          <w:cantSplit/>
        </w:trPr>
        <w:tc>
          <w:tcPr>
            <w:tcW w:type="dxa" w:w="2268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Economía</w:t>
            </w:r>
          </w:p>
        </w:tc>
        <w:tc>
          <w:tcPr>
            <w:tcW w:type="dxa" w:w="8391"/>
            <w:shd w:fill="F5F7F8" w:val="clear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tcBorders>
              <w:top w:val="single" w:sz="4" w:color="CCD5DA"/>
              <w:left w:val="single" w:sz="4" w:color="CCD5DA"/>
              <w:bottom w:val="single" w:sz="4" w:color="CCD5DA"/>
              <w:right w:val="single" w:sz="4" w:color="CCD5DA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Noto Sans" w:hAnsi="Noto Sans" w:eastAsia="Noto Sans"/>
                <w:color w:val="263238"/>
                <w:sz w:val="13"/>
              </w:rPr>
              <w:t>Costo total por alumno y por 0.1 DE, incluyendo dispositivo, conectividad, capacitación, supervisión y soporte.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cantSplit/>
        </w:trPr>
        <w:tc>
          <w:tcPr>
            <w:tcW w:type="dxa" w:w="170"/>
            <w:tcBorders>
              <w:top w:val="nil"/>
              <w:left w:val="nil"/>
              <w:bottom w:val="nil"/>
              <w:right w:val="nil"/>
            </w:tcBorders>
            <w:shd w:fill="0A7A78" w:val="clear"/>
            <w:tcMar>
              <w:top w:w="40" w:type="dxa"/>
              <w:start w:w="15" w:type="dxa"/>
              <w:bottom w:w="40" w:type="dxa"/>
              <w:end w:w="15" w:type="dxa"/>
            </w:tcMar>
          </w:tcPr>
          <w:p/>
        </w:tc>
        <w:tc>
          <w:tcPr>
            <w:tcW w:type="dxa" w:w="10148"/>
            <w:tcBorders>
              <w:top w:val="nil"/>
              <w:left w:val="nil"/>
              <w:bottom w:val="nil"/>
              <w:right w:val="nil"/>
            </w:tcBorders>
            <w:shd w:fill="DCEFED" w:val="clea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18324B"/>
                <w:sz w:val="15"/>
              </w:rPr>
              <w:t>Conclusión operativa.</w:t>
            </w:r>
            <w:r>
              <w:t xml:space="preserve">  </w:t>
            </w:r>
            <w:r>
              <w:rPr>
                <w:rFonts w:ascii="Noto Sans" w:hAnsi="Noto Sans" w:eastAsia="Noto Sans"/>
                <w:color w:val="263238"/>
                <w:sz w:val="15"/>
              </w:rPr>
              <w:t>En 2026 la estrategia dominante debería ser “IA bajo protocolo pedagógico y liderazgo humano”. Es razonable escalar pilotos bien instrumentados; no es razonable comprar “personalización” sin acceso al learner model, sin evaluación autónoma y sin datos de uso.</w:t>
            </w:r>
          </w:p>
        </w:tc>
      </w:tr>
    </w:tbl>
    <w:p>
      <w:pPr>
        <w:keepNext w:val="0"/>
        <w:keepLines w:val="0"/>
        <w:spacing w:before="80" w:after="20" w:line="259" w:lineRule="auto"/>
      </w:pPr>
      <w:r>
        <w:rPr>
          <w:rFonts w:ascii="Noto Sans" w:hAnsi="Noto Sans" w:eastAsia="Noto Sans"/>
          <w:b/>
          <w:color w:val="0A7A78"/>
          <w:sz w:val="14"/>
        </w:rPr>
        <w:t>FUENTES ESENCIALES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c>
          <w:tcPr>
            <w:tcW w:type="dxa" w:w="5329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40" w:type="dxa"/>
              <w:bottom w:w="20" w:type="dxa"/>
              <w:end w:w="70" w:type="dxa"/>
            </w:tcMar>
          </w:tcPr>
          <w:p/>
          <w:p>
            <w:pPr>
              <w:spacing w:after="12" w:line="235" w:lineRule="auto"/>
            </w:pPr>
            <w:r>
              <w:rPr>
                <w:rFonts w:ascii="Noto Sans" w:hAnsi="Noto Sans" w:eastAsia="Noto Sans"/>
                <w:color w:val="4F5B62"/>
                <w:sz w:val="11"/>
              </w:rPr>
              <w:t xml:space="preserve">[1] Burneo, A., Dinarte-Diaz, L., Lopez, C. y Molina, E. (2026). Can EdTech Close Learning Gaps? Global Evidence from Digital Interventions. Banco Mund. </w:t>
            </w:r>
            <w:hyperlink r:id="rId11">
              <w:r>
                <w:rPr>
                  <w:color w:val="2E6F9E"/>
                  <w:rFonts w:ascii="Noto Sans" w:hAnsi="Noto Sans"/>
                </w:rPr>
                <w:t>↗</w:t>
              </w:r>
            </w:hyperlink>
          </w:p>
          <w:p>
            <w:pPr>
              <w:spacing w:after="12" w:line="235" w:lineRule="auto"/>
            </w:pPr>
            <w:r>
              <w:rPr>
                <w:rFonts w:ascii="Noto Sans" w:hAnsi="Noto Sans" w:eastAsia="Noto Sans"/>
                <w:color w:val="4F5B62"/>
                <w:sz w:val="11"/>
              </w:rPr>
              <w:t xml:space="preserve">[2] Kestin, G. et al. (2025). AI tutoring outperforms in-class active learning: an RCT introducing a novel research-based design in an authentic educat. </w:t>
            </w:r>
            <w:hyperlink r:id="rId12">
              <w:r>
                <w:rPr>
                  <w:color w:val="2E6F9E"/>
                  <w:rFonts w:ascii="Noto Sans" w:hAnsi="Noto Sans"/>
                </w:rPr>
                <w:t>↗</w:t>
              </w:r>
            </w:hyperlink>
          </w:p>
          <w:p>
            <w:pPr>
              <w:spacing w:after="12" w:line="235" w:lineRule="auto"/>
            </w:pPr>
            <w:r>
              <w:rPr>
                <w:rFonts w:ascii="Noto Sans" w:hAnsi="Noto Sans" w:eastAsia="Noto Sans"/>
                <w:color w:val="4F5B62"/>
                <w:sz w:val="11"/>
              </w:rPr>
              <w:t xml:space="preserve">[3] Bastani, H., Bastani, O., Sungu, A., Ge, H., Kabakci, O. y Mariman, R. (2025). Generative AI without guardrails can harm learning: Evidence from hi. </w:t>
            </w:r>
            <w:hyperlink r:id="rId13">
              <w:r>
                <w:rPr>
                  <w:color w:val="2E6F9E"/>
                  <w:rFonts w:ascii="Noto Sans" w:hAnsi="Noto Sans"/>
                </w:rPr>
                <w:t>↗</w:t>
              </w:r>
            </w:hyperlink>
          </w:p>
          <w:p>
            <w:pPr>
              <w:spacing w:after="12" w:line="235" w:lineRule="auto"/>
            </w:pPr>
            <w:r>
              <w:rPr>
                <w:rFonts w:ascii="Noto Sans" w:hAnsi="Noto Sans" w:eastAsia="Noto Sans"/>
                <w:color w:val="4F5B62"/>
                <w:sz w:val="11"/>
              </w:rPr>
              <w:t xml:space="preserve">[4] De Simone, M. E. et al. (2025). From Chalkboards to Chatbots: Evaluating the Impact of Generative AI on Learning Outcomes in Nigeria. World Bank Po. </w:t>
            </w:r>
            <w:hyperlink r:id="rId14">
              <w:r>
                <w:rPr>
                  <w:color w:val="2E6F9E"/>
                  <w:rFonts w:ascii="Noto Sans" w:hAnsi="Noto Sans"/>
                </w:rPr>
                <w:t>↗</w:t>
              </w:r>
            </w:hyperlink>
          </w:p>
          <w:p>
            <w:pPr>
              <w:spacing w:after="12" w:line="235" w:lineRule="auto"/>
            </w:pPr>
            <w:r>
              <w:rPr>
                <w:rFonts w:ascii="Noto Sans" w:hAnsi="Noto Sans" w:eastAsia="Noto Sans"/>
                <w:color w:val="4F5B62"/>
                <w:sz w:val="11"/>
              </w:rPr>
              <w:t xml:space="preserve">[5] LearnLM Team, Google DeepMind y Fab AI (2026). Teaching with Gemini: Measuring the impact of Guided Learning on student mathematics progress in Sie. </w:t>
            </w:r>
            <w:hyperlink r:id="rId15">
              <w:r>
                <w:rPr>
                  <w:color w:val="2E6F9E"/>
                  <w:rFonts w:ascii="Noto Sans" w:hAnsi="Noto Sans"/>
                </w:rPr>
                <w:t>↗</w:t>
              </w:r>
            </w:hyperlink>
          </w:p>
          <w:p>
            <w:pPr>
              <w:spacing w:after="12" w:line="235" w:lineRule="auto"/>
            </w:pPr>
            <w:r>
              <w:rPr>
                <w:rFonts w:ascii="Noto Sans" w:hAnsi="Noto Sans" w:eastAsia="Noto Sans"/>
                <w:color w:val="4F5B62"/>
                <w:sz w:val="11"/>
              </w:rPr>
              <w:t xml:space="preserve">[6] Wang, R. E., Ribeiro, A. T., Robinson, C. D., Loeb, S. y Demszky, D. (2024). Tutor CoPilot: A Human-AI Approach for Scaling Real-Time Expertise. </w:t>
            </w:r>
            <w:hyperlink r:id="rId16">
              <w:r>
                <w:rPr>
                  <w:color w:val="2E6F9E"/>
                  <w:rFonts w:ascii="Noto Sans" w:hAnsi="Noto Sans"/>
                </w:rPr>
                <w:t>↗</w:t>
              </w:r>
            </w:hyperlink>
          </w:p>
          <w:p>
            <w:pPr>
              <w:spacing w:after="12" w:line="235" w:lineRule="auto"/>
            </w:pPr>
            <w:r>
              <w:rPr>
                <w:rFonts w:ascii="Noto Sans" w:hAnsi="Noto Sans" w:eastAsia="Noto Sans"/>
                <w:color w:val="4F5B62"/>
                <w:sz w:val="11"/>
              </w:rPr>
              <w:t xml:space="preserve">[7] LearnLM Team y Eedi (2025). AI tutoring can safely and effectively support students: An exploratory RCT in UK classrooms. </w:t>
            </w:r>
            <w:hyperlink r:id="rId17">
              <w:r>
                <w:rPr>
                  <w:color w:val="2E6F9E"/>
                  <w:rFonts w:ascii="Noto Sans" w:hAnsi="Noto Sans"/>
                </w:rPr>
                <w:t>↗</w:t>
              </w:r>
            </w:hyperlink>
          </w:p>
        </w:tc>
        <w:tc>
          <w:tcPr>
            <w:tcW w:type="dxa" w:w="5329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40" w:type="dxa"/>
              <w:bottom w:w="20" w:type="dxa"/>
              <w:end w:w="70" w:type="dxa"/>
            </w:tcMar>
          </w:tcPr>
          <w:p/>
          <w:p>
            <w:pPr>
              <w:spacing w:after="12" w:line="235" w:lineRule="auto"/>
            </w:pPr>
            <w:r>
              <w:rPr>
                <w:rFonts w:ascii="Noto Sans" w:hAnsi="Noto Sans" w:eastAsia="Noto Sans"/>
                <w:color w:val="4F5B62"/>
                <w:sz w:val="11"/>
              </w:rPr>
              <w:t xml:space="preserve">[8] Robinson, C. D., Gormley, D., Ribeiro, A. T. y Loeb, S. (2026). Access is Not Enough: Human Support Improves Engagement with AI Tutoring. </w:t>
            </w:r>
            <w:hyperlink r:id="rId18">
              <w:r>
                <w:rPr>
                  <w:color w:val="2E6F9E"/>
                  <w:rFonts w:ascii="Noto Sans" w:hAnsi="Noto Sans"/>
                </w:rPr>
                <w:t>↗</w:t>
              </w:r>
            </w:hyperlink>
          </w:p>
          <w:p>
            <w:pPr>
              <w:spacing w:after="12" w:line="235" w:lineRule="auto"/>
            </w:pPr>
            <w:r>
              <w:rPr>
                <w:rFonts w:ascii="Noto Sans" w:hAnsi="Noto Sans" w:eastAsia="Noto Sans"/>
                <w:color w:val="4F5B62"/>
                <w:sz w:val="11"/>
              </w:rPr>
              <w:t xml:space="preserve">[10] Muralidharan, K., Singh, A. y Ganimian, A. J. (2019). Disrupting Education? Experimental Evidence on Technology-Aided Instruction in India. America. </w:t>
            </w:r>
            <w:hyperlink r:id="rId19">
              <w:r>
                <w:rPr>
                  <w:color w:val="2E6F9E"/>
                  <w:rFonts w:ascii="Noto Sans" w:hAnsi="Noto Sans"/>
                </w:rPr>
                <w:t>↗</w:t>
              </w:r>
            </w:hyperlink>
          </w:p>
          <w:p>
            <w:pPr>
              <w:spacing w:after="12" w:line="235" w:lineRule="auto"/>
            </w:pPr>
            <w:r>
              <w:rPr>
                <w:rFonts w:ascii="Noto Sans" w:hAnsi="Noto Sans" w:eastAsia="Noto Sans"/>
                <w:color w:val="4F5B62"/>
                <w:sz w:val="11"/>
              </w:rPr>
              <w:t xml:space="preserve">[11] Roschelle, J., Feng, M., Murphy, R. F. y Mason, C. A. (2016). Online Mathematics Homework Increases Student Achievement. AERA Open. </w:t>
            </w:r>
            <w:hyperlink r:id="rId20">
              <w:r>
                <w:rPr>
                  <w:color w:val="2E6F9E"/>
                  <w:rFonts w:ascii="Noto Sans" w:hAnsi="Noto Sans"/>
                </w:rPr>
                <w:t>↗</w:t>
              </w:r>
            </w:hyperlink>
          </w:p>
          <w:p>
            <w:pPr>
              <w:spacing w:after="12" w:line="235" w:lineRule="auto"/>
            </w:pPr>
            <w:r>
              <w:rPr>
                <w:rFonts w:ascii="Noto Sans" w:hAnsi="Noto Sans" w:eastAsia="Noto Sans"/>
                <w:color w:val="4F5B62"/>
                <w:sz w:val="11"/>
              </w:rPr>
              <w:t xml:space="preserve">[12] Nickow, A., Oreopoulos, P. y Quan, V. (2024). The Promise of Tutoring for PreK-12 Learning: A Systematic Review and Meta-Analysis of the Experiment. </w:t>
            </w:r>
            <w:hyperlink r:id="rId21">
              <w:r>
                <w:rPr>
                  <w:color w:val="2E6F9E"/>
                  <w:rFonts w:ascii="Noto Sans" w:hAnsi="Noto Sans"/>
                </w:rPr>
                <w:t>↗</w:t>
              </w:r>
            </w:hyperlink>
          </w:p>
          <w:p>
            <w:pPr>
              <w:spacing w:after="12" w:line="235" w:lineRule="auto"/>
            </w:pPr>
            <w:r>
              <w:rPr>
                <w:rFonts w:ascii="Noto Sans" w:hAnsi="Noto Sans" w:eastAsia="Noto Sans"/>
                <w:color w:val="4F5B62"/>
                <w:sz w:val="11"/>
              </w:rPr>
              <w:t xml:space="preserve">[13] Khan Academy (2026). How Khan Academy Is Building a Better AI Tutor: Our Most Recent Learnings. </w:t>
            </w:r>
            <w:hyperlink r:id="rId22">
              <w:r>
                <w:rPr>
                  <w:color w:val="2E6F9E"/>
                  <w:rFonts w:ascii="Noto Sans" w:hAnsi="Noto Sans"/>
                </w:rPr>
                <w:t>↗</w:t>
              </w:r>
            </w:hyperlink>
          </w:p>
          <w:p>
            <w:pPr>
              <w:spacing w:after="12" w:line="235" w:lineRule="auto"/>
            </w:pPr>
            <w:r>
              <w:rPr>
                <w:rFonts w:ascii="Noto Sans" w:hAnsi="Noto Sans" w:eastAsia="Noto Sans"/>
                <w:color w:val="4F5B62"/>
                <w:sz w:val="11"/>
              </w:rPr>
              <w:t xml:space="preserve">[14] OpenAI (2026). New tools for understanding AI and learning outcomes. </w:t>
            </w:r>
            <w:hyperlink r:id="rId23">
              <w:r>
                <w:rPr>
                  <w:color w:val="2E6F9E"/>
                  <w:rFonts w:ascii="Noto Sans" w:hAnsi="Noto Sans"/>
                </w:rPr>
                <w:t>↗</w:t>
              </w:r>
            </w:hyperlink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39" w:right="595" w:bottom="539" w:left="595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"/>
        <w:color w:val="738087"/>
        <w:sz w:val="13"/>
      </w:rPr>
      <w:t xml:space="preserve">Corte de evidencia: 10 de agosto de 2026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40" w:lineRule="auto"/>
      <w:pBdr>
        <w:bottom w:val="single" w:sz="4" w:space="2" w:color="CCD5DA"/>
      </w:pBdr>
    </w:pPr>
    <w:r>
      <w:rPr>
        <w:rFonts w:ascii="Noto Sans" w:hAnsi="Noto Sans" w:eastAsia="Noto Sans"/>
        <w:b/>
        <w:caps/>
        <w:color w:val="738087"/>
        <w:sz w:val="13"/>
      </w:rPr>
      <w:t>IA GENERATIVA PARA APRENDER Y ENSEÑAR MEJOR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54" w:lineRule="auto"/>
    </w:pPr>
    <w:rPr>
      <w:rFonts w:ascii="Noto Sans" w:hAnsi="Noto Sans" w:eastAsia="Noto Sans"/>
      <w:color w:val="263238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40" w:lineRule="auto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1832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240" w:lineRule="auto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0A7A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244B6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1832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 w:line="240" w:lineRule="auto"/>
    </w:pPr>
    <w:rPr>
      <w:rFonts w:asciiTheme="majorHAnsi" w:eastAsiaTheme="majorEastAsia" w:hAnsiTheme="majorHAnsi" w:cstheme="majorBidi" w:ascii="Noto Sans" w:hAnsi="Noto Sans" w:eastAsia="Noto Sans"/>
      <w:b/>
      <w:i/>
      <w:iCs/>
      <w:color w:val="4F5B62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k">
    <w:name w:val="Deck"/>
    <w:pPr>
      <w:spacing w:after="40" w:line="245" w:lineRule="auto"/>
    </w:pPr>
    <w:rPr>
      <w:rFonts w:ascii="Noto Sans" w:hAnsi="Noto Sans" w:eastAsia="Noto Sans"/>
      <w:b w:val="0"/>
      <w:color w:val="4F5B62"/>
      <w:sz w:val="21"/>
    </w:rPr>
  </w:style>
  <w:style w:type="paragraph" w:customStyle="1" w:styleId="Small">
    <w:name w:val="Small"/>
    <w:pPr>
      <w:spacing w:after="40" w:line="245" w:lineRule="auto"/>
    </w:pPr>
    <w:rPr>
      <w:rFonts w:ascii="Noto Sans" w:hAnsi="Noto Sans" w:eastAsia="Noto Sans"/>
      <w:b w:val="0"/>
      <w:color w:val="4F5B62"/>
      <w:sz w:val="14"/>
    </w:rPr>
  </w:style>
  <w:style w:type="paragraph" w:customStyle="1" w:styleId="Tiny">
    <w:name w:val="Tiny"/>
    <w:pPr>
      <w:spacing w:after="40" w:line="245" w:lineRule="auto"/>
    </w:pPr>
    <w:rPr>
      <w:rFonts w:ascii="Noto Sans" w:hAnsi="Noto Sans" w:eastAsia="Noto Sans"/>
      <w:b w:val="0"/>
      <w:color w:val="4F5B62"/>
      <w:sz w:val="13"/>
    </w:rPr>
  </w:style>
  <w:style w:type="paragraph" w:customStyle="1" w:styleId="Callout">
    <w:name w:val="Callout"/>
    <w:pPr>
      <w:spacing w:after="40" w:line="245" w:lineRule="auto"/>
    </w:pPr>
    <w:rPr>
      <w:rFonts w:ascii="Noto Sans" w:hAnsi="Noto Sans" w:eastAsia="Noto Sans"/>
      <w:b w:val="0"/>
      <w:color w:val="263238"/>
      <w:sz w:val="16"/>
    </w:rPr>
  </w:style>
  <w:style w:type="paragraph" w:customStyle="1" w:styleId="TableText">
    <w:name w:val="Table Text"/>
    <w:pPr>
      <w:spacing w:after="40" w:line="245" w:lineRule="auto"/>
    </w:pPr>
    <w:rPr>
      <w:rFonts w:ascii="Noto Sans" w:hAnsi="Noto Sans" w:eastAsia="Noto Sans"/>
      <w:b w:val="0"/>
      <w:color w:val="263238"/>
      <w:sz w:val="13"/>
    </w:rPr>
  </w:style>
  <w:style w:type="paragraph" w:customStyle="1" w:styleId="TableHeader">
    <w:name w:val="Table Header"/>
    <w:pPr>
      <w:spacing w:after="40" w:line="245" w:lineRule="auto"/>
    </w:pPr>
    <w:rPr>
      <w:rFonts w:ascii="Noto Sans" w:hAnsi="Noto Sans" w:eastAsia="Noto Sans"/>
      <w:b/>
      <w:color w:val="FFFFFF"/>
      <w:sz w:val="14"/>
    </w:rPr>
  </w:style>
  <w:style w:type="paragraph" w:customStyle="1" w:styleId="Source">
    <w:name w:val="Source"/>
    <w:pPr>
      <w:spacing w:after="40" w:line="245" w:lineRule="auto"/>
    </w:pPr>
    <w:rPr>
      <w:rFonts w:ascii="Noto Sans" w:hAnsi="Noto Sans" w:eastAsia="Noto Sans"/>
      <w:b w:val="0"/>
      <w:color w:val="738087"/>
      <w:sz w:val="13"/>
    </w:rPr>
  </w:style>
  <w:style w:type="paragraph" w:customStyle="1" w:styleId="KeyNumber">
    <w:name w:val="Key Number"/>
    <w:pPr>
      <w:spacing w:after="40" w:line="245" w:lineRule="auto"/>
    </w:pPr>
    <w:rPr>
      <w:rFonts w:ascii="Noto Sans" w:hAnsi="Noto Sans" w:eastAsia="Noto Sans"/>
      <w:b/>
      <w:color w:val="0A7A78"/>
      <w:sz w:val="3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hedocs.worldbank.org/en/doc/2fba81cd6cd60d2f54532fc7062395fb-0050062026/original/Can-EdTech-Close-Learning-Gaps.pdf" TargetMode="External"/><Relationship Id="rId12" Type="http://schemas.openxmlformats.org/officeDocument/2006/relationships/hyperlink" Target="https://doi.org/10.1038/s41598-025-97652-6" TargetMode="External"/><Relationship Id="rId13" Type="http://schemas.openxmlformats.org/officeDocument/2006/relationships/hyperlink" Target="https://doi.org/10.1073/pnas.2422633122" TargetMode="External"/><Relationship Id="rId14" Type="http://schemas.openxmlformats.org/officeDocument/2006/relationships/hyperlink" Target="https://doi.org/10.1596/1813-9450-11125" TargetMode="External"/><Relationship Id="rId15" Type="http://schemas.openxmlformats.org/officeDocument/2006/relationships/hyperlink" Target="https://storage.googleapis.com/deepmind-media/LearnLM/learnLM_sierraleone_may26.pdf" TargetMode="External"/><Relationship Id="rId16" Type="http://schemas.openxmlformats.org/officeDocument/2006/relationships/hyperlink" Target="https://arxiv.org/abs/2410.03017" TargetMode="External"/><Relationship Id="rId17" Type="http://schemas.openxmlformats.org/officeDocument/2006/relationships/hyperlink" Target="https://arxiv.org/abs/2512.23633" TargetMode="External"/><Relationship Id="rId18" Type="http://schemas.openxmlformats.org/officeDocument/2006/relationships/hyperlink" Target="https://scale.stanford.edu/publications/access-not-enough-human-support-improves-engagement-ai-tutoring" TargetMode="External"/><Relationship Id="rId19" Type="http://schemas.openxmlformats.org/officeDocument/2006/relationships/hyperlink" Target="https://doi.org/10.1257/aer.20171112" TargetMode="External"/><Relationship Id="rId20" Type="http://schemas.openxmlformats.org/officeDocument/2006/relationships/hyperlink" Target="https://doi.org/10.1177/2332858416673968" TargetMode="External"/><Relationship Id="rId21" Type="http://schemas.openxmlformats.org/officeDocument/2006/relationships/hyperlink" Target="https://doi.org/10.3102/00028312231208687" TargetMode="External"/><Relationship Id="rId22" Type="http://schemas.openxmlformats.org/officeDocument/2006/relationships/hyperlink" Target="https://blog.khanacademy.org/how-khan-academy-is-building-a-better-ai-tutor-our-most-recent-learnings/" TargetMode="External"/><Relationship Id="rId23" Type="http://schemas.openxmlformats.org/officeDocument/2006/relationships/hyperlink" Target="https://openai.com/index/understanding-ai-and-learning-outco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 generativa para aprender y enseñar mejor — resumen de 5 páginas</dc:title>
  <dc:subject>Resumen ejecutivo</dc:subject>
  <dc:creator>OpenAI</dc:creator>
  <cp:keywords>IA generativa, educación, tutoría, aprendizaje adaptativo, evidencia causal</cp:keywords>
  <dc:description>Informe preparado a partir de investigación documental con corte al 10 de agosto de 2026.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