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Официальная документация: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  <w:highlight w:val="white"/>
        </w:rPr>
      </w:pPr>
      <w:hyperlink r:id="rId5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https://docs.spring.io/spring-security/site/docs/current/reference/htmlsingle/#abstractsecuritywebapplicationinitializer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 Thymeleaf: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http://www.thymeleaf.org/doc/articles/springsecurity.html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Дополнительная библиотека для Thymeleaf: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https://github.com/thymeleaf/thymeleaf-extras-springsecurity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https://mvnrepository.com/artifact/org.thymeleaf.extras/thymeleaf-extras-springsecurity4/3.0.2.RELEASE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spring.io/spring-security/site/docs/current/reference/htmlsingle/#abstractsecuritywebapplicationinitializer" TargetMode="External"/><Relationship Id="rId6" Type="http://schemas.openxmlformats.org/officeDocument/2006/relationships/hyperlink" Target="http://www.thymeleaf.org/doc/articles/springsecurity.html" TargetMode="External"/><Relationship Id="rId7" Type="http://schemas.openxmlformats.org/officeDocument/2006/relationships/hyperlink" Target="https://github.com/thymeleaf/thymeleaf-extras-springsecurity" TargetMode="External"/><Relationship Id="rId8" Type="http://schemas.openxmlformats.org/officeDocument/2006/relationships/hyperlink" Target="https://mvnrepository.com/artifact/org.thymeleaf.extras/thymeleaf-extras-springsecurity4/3.0.2.RELEASE" TargetMode="External"/></Relationships>
</file>