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B88B1" w14:textId="77777777" w:rsidR="00B23511" w:rsidRPr="00E75E15" w:rsidRDefault="00000000">
      <w:pPr>
        <w:spacing w:after="160" w:line="480" w:lineRule="auto"/>
        <w:jc w:val="center"/>
        <w:rPr>
          <w:rFonts w:ascii="Times New Roman" w:eastAsia="Times New Roman" w:hAnsi="Times New Roman" w:cs="Times New Roman"/>
          <w:b/>
          <w:sz w:val="24"/>
          <w:szCs w:val="24"/>
        </w:rPr>
      </w:pPr>
      <w:r w:rsidRPr="00E75E15">
        <w:rPr>
          <w:rFonts w:ascii="Times New Roman" w:eastAsia="Times New Roman" w:hAnsi="Times New Roman" w:cs="Times New Roman"/>
          <w:b/>
          <w:color w:val="2E2E2E"/>
          <w:sz w:val="24"/>
          <w:szCs w:val="24"/>
        </w:rPr>
        <w:t>Stress alters hypothalamic gene expression in adolescent male hamsters</w:t>
      </w:r>
    </w:p>
    <w:p w14:paraId="2337BC14" w14:textId="77777777" w:rsidR="00B23511" w:rsidRPr="00E75E15" w:rsidRDefault="00B23511">
      <w:pPr>
        <w:spacing w:after="160" w:line="480" w:lineRule="auto"/>
        <w:jc w:val="center"/>
        <w:rPr>
          <w:rFonts w:ascii="Times New Roman" w:eastAsia="Times New Roman" w:hAnsi="Times New Roman" w:cs="Times New Roman"/>
          <w:sz w:val="24"/>
          <w:szCs w:val="24"/>
          <w:highlight w:val="yellow"/>
        </w:rPr>
      </w:pPr>
    </w:p>
    <w:p w14:paraId="2C371393" w14:textId="77777777" w:rsidR="00B23511" w:rsidRPr="00E75E15" w:rsidRDefault="00B23511">
      <w:pPr>
        <w:spacing w:after="160" w:line="480" w:lineRule="auto"/>
        <w:rPr>
          <w:rFonts w:ascii="Times New Roman" w:eastAsia="Times New Roman" w:hAnsi="Times New Roman" w:cs="Times New Roman"/>
          <w:sz w:val="24"/>
          <w:szCs w:val="24"/>
          <w:highlight w:val="yellow"/>
        </w:rPr>
      </w:pPr>
    </w:p>
    <w:p w14:paraId="57F6ACBE" w14:textId="77777777" w:rsidR="00B23511" w:rsidRPr="00E75E15" w:rsidRDefault="00000000">
      <w:pPr>
        <w:spacing w:after="160" w:line="480" w:lineRule="auto"/>
        <w:jc w:val="center"/>
        <w:rPr>
          <w:rFonts w:ascii="Times New Roman" w:eastAsia="Times New Roman" w:hAnsi="Times New Roman" w:cs="Times New Roman"/>
          <w:sz w:val="24"/>
          <w:szCs w:val="24"/>
          <w:vertAlign w:val="superscript"/>
        </w:rPr>
      </w:pPr>
      <w:r w:rsidRPr="00E75E15">
        <w:rPr>
          <w:rFonts w:ascii="Times New Roman" w:eastAsia="Times New Roman" w:hAnsi="Times New Roman" w:cs="Times New Roman"/>
          <w:sz w:val="24"/>
          <w:szCs w:val="24"/>
        </w:rPr>
        <w:t>Kevin M. Moran</w:t>
      </w:r>
      <w:r w:rsidRPr="00E75E15">
        <w:rPr>
          <w:rFonts w:ascii="Times New Roman" w:eastAsia="Times New Roman" w:hAnsi="Times New Roman" w:cs="Times New Roman"/>
          <w:sz w:val="24"/>
          <w:szCs w:val="24"/>
          <w:vertAlign w:val="superscript"/>
        </w:rPr>
        <w:t>1,2</w:t>
      </w:r>
      <w:r w:rsidRPr="00E75E15">
        <w:rPr>
          <w:rFonts w:ascii="Times New Roman" w:eastAsia="Times New Roman" w:hAnsi="Times New Roman" w:cs="Times New Roman"/>
          <w:sz w:val="24"/>
          <w:szCs w:val="24"/>
        </w:rPr>
        <w:t>, Tyler M. Milewski</w:t>
      </w:r>
      <w:r w:rsidRPr="00E75E15">
        <w:rPr>
          <w:rFonts w:ascii="Times New Roman" w:eastAsia="Times New Roman" w:hAnsi="Times New Roman" w:cs="Times New Roman"/>
          <w:sz w:val="24"/>
          <w:szCs w:val="24"/>
          <w:vertAlign w:val="superscript"/>
        </w:rPr>
        <w:t>2</w:t>
      </w:r>
      <w:r w:rsidRPr="00E75E15">
        <w:rPr>
          <w:rFonts w:ascii="Times New Roman" w:eastAsia="Times New Roman" w:hAnsi="Times New Roman" w:cs="Times New Roman"/>
          <w:sz w:val="24"/>
          <w:szCs w:val="24"/>
        </w:rPr>
        <w:t>, James P. Curley</w:t>
      </w:r>
      <w:r w:rsidRPr="00E75E15">
        <w:rPr>
          <w:rFonts w:ascii="Times New Roman" w:eastAsia="Times New Roman" w:hAnsi="Times New Roman" w:cs="Times New Roman"/>
          <w:sz w:val="24"/>
          <w:szCs w:val="24"/>
          <w:vertAlign w:val="superscript"/>
        </w:rPr>
        <w:t>2</w:t>
      </w:r>
      <w:r w:rsidRPr="00E75E15">
        <w:rPr>
          <w:rFonts w:ascii="Times New Roman" w:eastAsia="Times New Roman" w:hAnsi="Times New Roman" w:cs="Times New Roman"/>
          <w:sz w:val="24"/>
          <w:szCs w:val="24"/>
        </w:rPr>
        <w:t>, Yvon Delville</w:t>
      </w:r>
      <w:r w:rsidRPr="00E75E15">
        <w:rPr>
          <w:rFonts w:ascii="Times New Roman" w:eastAsia="Times New Roman" w:hAnsi="Times New Roman" w:cs="Times New Roman"/>
          <w:sz w:val="24"/>
          <w:szCs w:val="24"/>
          <w:vertAlign w:val="superscript"/>
        </w:rPr>
        <w:t>2</w:t>
      </w:r>
    </w:p>
    <w:p w14:paraId="2D4DD3A9" w14:textId="77777777" w:rsidR="00B23511" w:rsidRPr="00E75E15" w:rsidRDefault="00B23511">
      <w:pPr>
        <w:spacing w:after="160" w:line="480" w:lineRule="auto"/>
        <w:rPr>
          <w:rFonts w:ascii="Times New Roman" w:eastAsia="Times New Roman" w:hAnsi="Times New Roman" w:cs="Times New Roman"/>
          <w:sz w:val="24"/>
          <w:szCs w:val="24"/>
        </w:rPr>
      </w:pPr>
    </w:p>
    <w:p w14:paraId="1DBDBDAF" w14:textId="77777777" w:rsidR="00B23511" w:rsidRPr="00E75E15" w:rsidRDefault="00000000">
      <w:pPr>
        <w:spacing w:after="160" w:line="480" w:lineRule="auto"/>
        <w:jc w:val="center"/>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vertAlign w:val="superscript"/>
        </w:rPr>
        <w:t xml:space="preserve">1 </w:t>
      </w:r>
      <w:r w:rsidRPr="00E75E15">
        <w:rPr>
          <w:rFonts w:ascii="Times New Roman" w:eastAsia="Times New Roman" w:hAnsi="Times New Roman" w:cs="Times New Roman"/>
          <w:sz w:val="24"/>
          <w:szCs w:val="24"/>
        </w:rPr>
        <w:t>Pharmacology and Toxicology Department, Rutgers University, New Brunswick, NJ, 08901</w:t>
      </w:r>
    </w:p>
    <w:p w14:paraId="13229A66"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vertAlign w:val="superscript"/>
        </w:rPr>
        <w:t>2</w:t>
      </w:r>
      <w:r w:rsidRPr="00E75E15">
        <w:rPr>
          <w:rFonts w:ascii="Times New Roman" w:eastAsia="Times New Roman" w:hAnsi="Times New Roman" w:cs="Times New Roman"/>
          <w:sz w:val="24"/>
          <w:szCs w:val="24"/>
        </w:rPr>
        <w:t xml:space="preserve"> Psychology Department, The University of Texas at Austin, Austin, TX 78712, USA</w:t>
      </w:r>
    </w:p>
    <w:p w14:paraId="3189FAE5" w14:textId="77777777" w:rsidR="00B23511" w:rsidRPr="00E75E15" w:rsidRDefault="00B23511">
      <w:pPr>
        <w:spacing w:after="160" w:line="480" w:lineRule="auto"/>
        <w:ind w:firstLine="720"/>
        <w:jc w:val="center"/>
        <w:rPr>
          <w:rFonts w:ascii="Times New Roman" w:eastAsia="Times New Roman" w:hAnsi="Times New Roman" w:cs="Times New Roman"/>
          <w:sz w:val="24"/>
          <w:szCs w:val="24"/>
        </w:rPr>
      </w:pPr>
    </w:p>
    <w:p w14:paraId="156AF3BE" w14:textId="77777777" w:rsidR="00B23511" w:rsidRPr="00E75E15" w:rsidRDefault="00B23511">
      <w:pPr>
        <w:spacing w:after="160" w:line="480" w:lineRule="auto"/>
        <w:ind w:firstLine="720"/>
        <w:jc w:val="center"/>
        <w:rPr>
          <w:rFonts w:ascii="Times New Roman" w:eastAsia="Times New Roman" w:hAnsi="Times New Roman" w:cs="Times New Roman"/>
          <w:sz w:val="24"/>
          <w:szCs w:val="24"/>
        </w:rPr>
      </w:pPr>
    </w:p>
    <w:p w14:paraId="43157D9D"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u w:val="single"/>
        </w:rPr>
        <w:t>Running Title:</w:t>
      </w:r>
      <w:r w:rsidRPr="00E75E15">
        <w:rPr>
          <w:rFonts w:ascii="Times New Roman" w:eastAsia="Times New Roman" w:hAnsi="Times New Roman" w:cs="Times New Roman"/>
          <w:sz w:val="24"/>
          <w:szCs w:val="24"/>
        </w:rPr>
        <w:tab/>
        <w:t>Adolescent Stress and Hypothalamic Gene Expression</w:t>
      </w:r>
    </w:p>
    <w:p w14:paraId="2A80D5B7" w14:textId="77777777" w:rsidR="00B23511" w:rsidRPr="00E75E15" w:rsidRDefault="00B23511">
      <w:pPr>
        <w:spacing w:after="160" w:line="480" w:lineRule="auto"/>
        <w:ind w:firstLine="720"/>
        <w:rPr>
          <w:rFonts w:ascii="Times New Roman" w:eastAsia="Times New Roman" w:hAnsi="Times New Roman" w:cs="Times New Roman"/>
          <w:sz w:val="24"/>
          <w:szCs w:val="24"/>
        </w:rPr>
      </w:pPr>
    </w:p>
    <w:p w14:paraId="2B93939D" w14:textId="77777777" w:rsidR="00B23511" w:rsidRPr="00E75E15" w:rsidRDefault="00B23511">
      <w:pPr>
        <w:spacing w:line="480" w:lineRule="auto"/>
        <w:ind w:left="1440"/>
        <w:rPr>
          <w:rFonts w:ascii="Times New Roman" w:eastAsia="Times New Roman" w:hAnsi="Times New Roman" w:cs="Times New Roman"/>
          <w:sz w:val="24"/>
          <w:szCs w:val="24"/>
        </w:rPr>
      </w:pPr>
    </w:p>
    <w:p w14:paraId="5792C879"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u w:val="single"/>
        </w:rPr>
        <w:t>Correspondence:</w:t>
      </w:r>
      <w:r w:rsidRPr="00E75E15">
        <w:rPr>
          <w:rFonts w:ascii="Times New Roman" w:eastAsia="Times New Roman" w:hAnsi="Times New Roman" w:cs="Times New Roman"/>
          <w:sz w:val="24"/>
          <w:szCs w:val="24"/>
        </w:rPr>
        <w:tab/>
      </w:r>
    </w:p>
    <w:p w14:paraId="3521AD03"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Kevin Moran. Department of Animal Sciences, Rutgers University</w:t>
      </w:r>
    </w:p>
    <w:p w14:paraId="67F72ADF"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Bartlett Hall, Room 305, 84 Lipman Drive, New Brunswick, NJ, 08901 </w:t>
      </w:r>
    </w:p>
    <w:p w14:paraId="1034A49A"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Email: </w:t>
      </w:r>
      <w:hyperlink r:id="rId5">
        <w:r w:rsidR="00B23511" w:rsidRPr="00E75E15">
          <w:rPr>
            <w:rFonts w:ascii="Times New Roman" w:eastAsia="Times New Roman" w:hAnsi="Times New Roman" w:cs="Times New Roman"/>
            <w:color w:val="0563C1"/>
            <w:sz w:val="24"/>
            <w:szCs w:val="24"/>
            <w:u w:val="single"/>
          </w:rPr>
          <w:t>kevin.moran@utexas.edu</w:t>
        </w:r>
      </w:hyperlink>
    </w:p>
    <w:p w14:paraId="6EFC4B27" w14:textId="37CA5782" w:rsidR="00B23511" w:rsidRPr="00E425B5" w:rsidRDefault="00000000" w:rsidP="00E425B5">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Ph: (815) 216-8597</w:t>
      </w:r>
      <w:r w:rsidRPr="00E75E15">
        <w:rPr>
          <w:rFonts w:ascii="Times New Roman" w:hAnsi="Times New Roman" w:cs="Times New Roman"/>
        </w:rPr>
        <w:br w:type="page"/>
      </w:r>
    </w:p>
    <w:p w14:paraId="5FDC060F"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b/>
          <w:sz w:val="24"/>
          <w:szCs w:val="24"/>
        </w:rPr>
        <w:lastRenderedPageBreak/>
        <w:t>Abstract</w:t>
      </w:r>
    </w:p>
    <w:p w14:paraId="55C1F145" w14:textId="00241F4A" w:rsidR="00920F47" w:rsidRPr="00920F47" w:rsidRDefault="00920F47">
      <w:pPr>
        <w:spacing w:after="160" w:line="480" w:lineRule="auto"/>
        <w:ind w:firstLine="720"/>
        <w:rPr>
          <w:rFonts w:ascii="Times New Roman" w:eastAsia="Times New Roman" w:hAnsi="Times New Roman" w:cs="Times New Roman"/>
          <w:i/>
          <w:iCs/>
          <w:sz w:val="24"/>
          <w:szCs w:val="24"/>
        </w:rPr>
      </w:pPr>
      <w:r w:rsidRPr="00920F47">
        <w:rPr>
          <w:rFonts w:ascii="Times New Roman" w:eastAsia="Times New Roman" w:hAnsi="Times New Roman" w:cs="Times New Roman"/>
          <w:i/>
          <w:iCs/>
          <w:sz w:val="24"/>
          <w:szCs w:val="24"/>
        </w:rPr>
        <w:t>Background</w:t>
      </w:r>
    </w:p>
    <w:p w14:paraId="62AF9775" w14:textId="77777777" w:rsidR="00920F47"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In hamsters, a two-week exposure to chronic social stress in adolescence causes acceleration of agonistic behavior, enhanced adult aggression, impaired waiting impulsivity, and higher food intake, body fat, and long-term increased body weight. In adult rodents, stress is accompanied by widespread alterations in gene expression in the brain. </w:t>
      </w:r>
    </w:p>
    <w:p w14:paraId="3FED965A" w14:textId="79241558" w:rsidR="00920F47" w:rsidRPr="00920F47" w:rsidRDefault="00920F47">
      <w:pPr>
        <w:spacing w:after="160" w:line="480" w:lineRule="auto"/>
        <w:ind w:firstLine="72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Methods</w:t>
      </w:r>
    </w:p>
    <w:p w14:paraId="41A0A156" w14:textId="77777777" w:rsidR="00920F47"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The present research examined transcriptomic changes in the lateral, dorsomedial, and arcuate nucleus of the hypothalamus caused by adolescent stress using RNA Tag-sequencing. </w:t>
      </w:r>
    </w:p>
    <w:p w14:paraId="02564A99" w14:textId="2C933E17" w:rsidR="00920F47" w:rsidRPr="00920F47" w:rsidRDefault="00920F47">
      <w:pPr>
        <w:spacing w:after="160" w:line="480" w:lineRule="auto"/>
        <w:ind w:firstLine="72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Results</w:t>
      </w:r>
    </w:p>
    <w:p w14:paraId="4D374D0C" w14:textId="77777777" w:rsidR="00920F47"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In each region, there were approximately 250 differentially upregulated and 250 downregulated genes. Many of the most significantly affected genes have been associated with metabolism and sex hormone function. For example, in the lateral hypothalamus, melanocortin 3 receptor, growth hormone releasing factor, both involved in metabolic processes, and neuropeptide VF precursor, involved in growth hormone inhibitory hormone production, were among the most upregulated in stressed subjects. In the dorsomedial hypothalamus, neuropeptide W, involved in feeding cessation, was significantly downregulated in stressed animals. Across both regions, G-protein coupled receptor 50, involved in thermoregulation, sleep, and sex-related mood disorders, was significantly altered, but in opposite directions. In the arcuate nucleus, a number of blood brain barrier- and inflammation-related genes were altered as well. Furthermore, there were consistent patterns of genetic ensembles identified through gene ontology analysis and weighted gene correlation network analysis that were altered across each </w:t>
      </w:r>
      <w:r w:rsidRPr="00E75E15">
        <w:rPr>
          <w:rFonts w:ascii="Times New Roman" w:eastAsia="Times New Roman" w:hAnsi="Times New Roman" w:cs="Times New Roman"/>
          <w:sz w:val="24"/>
          <w:szCs w:val="24"/>
        </w:rPr>
        <w:lastRenderedPageBreak/>
        <w:t xml:space="preserve">region. Many of these involved roles in RNA processing, DNA methylation, myelination and synaptic organization. </w:t>
      </w:r>
    </w:p>
    <w:p w14:paraId="06575649" w14:textId="3C7489C1" w:rsidR="00920F47" w:rsidRPr="00920F47" w:rsidRDefault="00920F47">
      <w:pPr>
        <w:spacing w:after="160" w:line="480" w:lineRule="auto"/>
        <w:ind w:firstLine="72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Conclusion</w:t>
      </w:r>
    </w:p>
    <w:p w14:paraId="16E16710" w14:textId="5D93B36D"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These findings reinforce prior behavioral, hormonal, and metabolic changes observed in this developmental model, and help guide future directions of research related to the negative consequences of early life stress.</w:t>
      </w:r>
    </w:p>
    <w:p w14:paraId="603B7CB8"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Keywords: social stress, RNAseq, obesity, appetite, puberty, WGCNA</w:t>
      </w:r>
    </w:p>
    <w:p w14:paraId="652C899D" w14:textId="77777777" w:rsidR="00B23511" w:rsidRPr="00E75E15" w:rsidRDefault="00000000">
      <w:pPr>
        <w:spacing w:line="480" w:lineRule="auto"/>
        <w:rPr>
          <w:rFonts w:ascii="Times New Roman" w:eastAsia="Times New Roman" w:hAnsi="Times New Roman" w:cs="Times New Roman"/>
          <w:sz w:val="24"/>
          <w:szCs w:val="24"/>
        </w:rPr>
      </w:pPr>
      <w:r w:rsidRPr="00E75E15">
        <w:rPr>
          <w:rFonts w:ascii="Times New Roman" w:hAnsi="Times New Roman" w:cs="Times New Roman"/>
        </w:rPr>
        <w:br w:type="page"/>
      </w:r>
    </w:p>
    <w:p w14:paraId="78A84604" w14:textId="77777777" w:rsidR="00B23511" w:rsidRPr="00E75E15" w:rsidRDefault="00000000">
      <w:pPr>
        <w:spacing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b/>
          <w:sz w:val="24"/>
          <w:szCs w:val="24"/>
        </w:rPr>
        <w:lastRenderedPageBreak/>
        <w:t>1. Introduction</w:t>
      </w:r>
    </w:p>
    <w:p w14:paraId="6A92FC90" w14:textId="02968E8E"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Stress is an unavoidable circumstance to which species have developed various coping strategies, such as conditioned avoidance or learned helplessness </w:t>
      </w:r>
      <w:hyperlink r:id="rId6">
        <w:r w:rsidR="00B23511" w:rsidRPr="00E75E15">
          <w:rPr>
            <w:rFonts w:ascii="Times New Roman" w:eastAsia="Times New Roman" w:hAnsi="Times New Roman" w:cs="Times New Roman"/>
            <w:sz w:val="24"/>
            <w:szCs w:val="24"/>
          </w:rPr>
          <w:t>(Levine, 1956; Levine et al., 1956; Potegal et al., 1993; Seligman and Maier, 1967)</w:t>
        </w:r>
      </w:hyperlink>
      <w:r w:rsidRPr="00E75E15">
        <w:rPr>
          <w:rFonts w:ascii="Times New Roman" w:eastAsia="Times New Roman" w:hAnsi="Times New Roman" w:cs="Times New Roman"/>
          <w:sz w:val="24"/>
          <w:szCs w:val="24"/>
        </w:rPr>
        <w:t>. These behaviors are malleable and related to prior experience and time of exposure, and can be adaptive or maladaptive depending on following life circumstances.</w:t>
      </w:r>
      <w:r w:rsidR="00E07E46">
        <w:rPr>
          <w:rFonts w:ascii="Times New Roman" w:eastAsia="Times New Roman" w:hAnsi="Times New Roman" w:cs="Times New Roman"/>
          <w:sz w:val="24"/>
          <w:szCs w:val="24"/>
        </w:rPr>
        <w:t xml:space="preserve"> </w:t>
      </w:r>
      <w:r w:rsidRPr="00E75E15">
        <w:rPr>
          <w:rFonts w:ascii="Times New Roman" w:eastAsia="Times New Roman" w:hAnsi="Times New Roman" w:cs="Times New Roman"/>
          <w:sz w:val="24"/>
          <w:szCs w:val="24"/>
        </w:rPr>
        <w:t xml:space="preserve">It is well known that prior stressful experiences during childhood and adolescence increase the likelihood of adult behavior, mood, and health disorders </w:t>
      </w:r>
      <w:hyperlink r:id="rId7">
        <w:r w:rsidR="00B23511" w:rsidRPr="00E75E15">
          <w:rPr>
            <w:rFonts w:ascii="Times New Roman" w:eastAsia="Times New Roman" w:hAnsi="Times New Roman" w:cs="Times New Roman"/>
            <w:sz w:val="24"/>
            <w:szCs w:val="24"/>
          </w:rPr>
          <w:t>(Hughes et al., 2017; Lipsky et al., 2021; Mancini et al., 2023; Pervanidou and Chrousos, 2012)</w:t>
        </w:r>
      </w:hyperlink>
      <w:r w:rsidRPr="00E75E15">
        <w:rPr>
          <w:rFonts w:ascii="Times New Roman" w:eastAsia="Times New Roman" w:hAnsi="Times New Roman" w:cs="Times New Roman"/>
          <w:sz w:val="24"/>
          <w:szCs w:val="24"/>
        </w:rPr>
        <w:t xml:space="preserve">. Additionally, in many humans, chronic stress tends to cause increased consumption of high calorie foods, though in a smaller set of individuals, promotes anorexic behaviors </w:t>
      </w:r>
      <w:hyperlink r:id="rId8">
        <w:r w:rsidR="00B23511" w:rsidRPr="00E75E15">
          <w:rPr>
            <w:rFonts w:ascii="Times New Roman" w:eastAsia="Times New Roman" w:hAnsi="Times New Roman" w:cs="Times New Roman"/>
            <w:sz w:val="24"/>
            <w:szCs w:val="24"/>
          </w:rPr>
          <w:t>(Brambilla, 2001; Dallman et al., 2003; Tryon et al., 2013)</w:t>
        </w:r>
      </w:hyperlink>
      <w:r w:rsidRPr="00E75E15">
        <w:rPr>
          <w:rFonts w:ascii="Times New Roman" w:eastAsia="Times New Roman" w:hAnsi="Times New Roman" w:cs="Times New Roman"/>
          <w:sz w:val="24"/>
          <w:szCs w:val="24"/>
        </w:rPr>
        <w:t xml:space="preserve">, which is also related to fetal or childhood experiences </w:t>
      </w:r>
      <w:hyperlink r:id="rId9">
        <w:r w:rsidR="00B23511" w:rsidRPr="00E75E15">
          <w:rPr>
            <w:rFonts w:ascii="Times New Roman" w:eastAsia="Times New Roman" w:hAnsi="Times New Roman" w:cs="Times New Roman"/>
            <w:sz w:val="24"/>
            <w:szCs w:val="24"/>
          </w:rPr>
          <w:t>(Baldwin et al., 2016; Lumey et al., 2007; Noll et al., 2007; Pervanidou and Chrousos, 2012)</w:t>
        </w:r>
      </w:hyperlink>
      <w:r w:rsidRPr="00E75E15">
        <w:rPr>
          <w:rFonts w:ascii="Times New Roman" w:eastAsia="Times New Roman" w:hAnsi="Times New Roman" w:cs="Times New Roman"/>
          <w:sz w:val="24"/>
          <w:szCs w:val="24"/>
        </w:rPr>
        <w:t>.</w:t>
      </w:r>
    </w:p>
    <w:p w14:paraId="23F01CEC"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One well-characterized example of this phenomenon in an animal model is the differential response to social defeat stress in adult and adolescent hamsters. In adult hamsters, a single loss causes conditioned defeat behaviors, in which losers/subordinate individuals show reduced aggression to conspecifics and likely lose any altercations in the future </w:t>
      </w:r>
      <w:hyperlink r:id="rId10">
        <w:r w:rsidR="00B23511" w:rsidRPr="00E75E15">
          <w:rPr>
            <w:rFonts w:ascii="Times New Roman" w:eastAsia="Times New Roman" w:hAnsi="Times New Roman" w:cs="Times New Roman"/>
            <w:sz w:val="24"/>
            <w:szCs w:val="24"/>
          </w:rPr>
          <w:t>(Huhman, 2006; Potegal et al., 1993)</w:t>
        </w:r>
      </w:hyperlink>
      <w:r w:rsidRPr="00E75E15">
        <w:rPr>
          <w:rFonts w:ascii="Times New Roman" w:eastAsia="Times New Roman" w:hAnsi="Times New Roman" w:cs="Times New Roman"/>
          <w:sz w:val="24"/>
          <w:szCs w:val="24"/>
        </w:rPr>
        <w:t xml:space="preserve">. Adult social defeat causes widespread </w:t>
      </w:r>
      <w:r w:rsidRPr="00E75E15">
        <w:rPr>
          <w:rFonts w:ascii="Times New Roman" w:eastAsia="Times New Roman" w:hAnsi="Times New Roman" w:cs="Times New Roman"/>
          <w:i/>
          <w:sz w:val="24"/>
          <w:szCs w:val="24"/>
        </w:rPr>
        <w:t>c-Fos</w:t>
      </w:r>
      <w:r w:rsidRPr="00E75E15">
        <w:rPr>
          <w:rFonts w:ascii="Times New Roman" w:eastAsia="Times New Roman" w:hAnsi="Times New Roman" w:cs="Times New Roman"/>
          <w:sz w:val="24"/>
          <w:szCs w:val="24"/>
        </w:rPr>
        <w:t xml:space="preserve"> expression throughout the brain, including the hypothalamus </w:t>
      </w:r>
      <w:hyperlink r:id="rId11">
        <w:r w:rsidR="00B23511" w:rsidRPr="00E75E15">
          <w:rPr>
            <w:rFonts w:ascii="Times New Roman" w:eastAsia="Times New Roman" w:hAnsi="Times New Roman" w:cs="Times New Roman"/>
            <w:sz w:val="24"/>
            <w:szCs w:val="24"/>
          </w:rPr>
          <w:t>(Kollack-Walker et al., 1997)</w:t>
        </w:r>
      </w:hyperlink>
      <w:r w:rsidRPr="00E75E15">
        <w:rPr>
          <w:rFonts w:ascii="Times New Roman" w:eastAsia="Times New Roman" w:hAnsi="Times New Roman" w:cs="Times New Roman"/>
          <w:sz w:val="24"/>
          <w:szCs w:val="24"/>
        </w:rPr>
        <w:t xml:space="preserve">, and persists through seven days of chronic defeat </w:t>
      </w:r>
      <w:hyperlink r:id="rId12">
        <w:r w:rsidR="00B23511" w:rsidRPr="00E75E15">
          <w:rPr>
            <w:rFonts w:ascii="Times New Roman" w:eastAsia="Times New Roman" w:hAnsi="Times New Roman" w:cs="Times New Roman"/>
            <w:sz w:val="24"/>
            <w:szCs w:val="24"/>
          </w:rPr>
          <w:t>(Kollack-Walker et al., 1999)</w:t>
        </w:r>
      </w:hyperlink>
      <w:r w:rsidRPr="00E75E15">
        <w:rPr>
          <w:rFonts w:ascii="Times New Roman" w:eastAsia="Times New Roman" w:hAnsi="Times New Roman" w:cs="Times New Roman"/>
          <w:sz w:val="24"/>
          <w:szCs w:val="24"/>
        </w:rPr>
        <w:t xml:space="preserve">. In adults, a single defeat also induces differential expression of over 500 gene transcripts in the basolateral amygdala </w:t>
      </w:r>
      <w:hyperlink r:id="rId13">
        <w:r w:rsidR="00B23511" w:rsidRPr="00E75E15">
          <w:rPr>
            <w:rFonts w:ascii="Times New Roman" w:eastAsia="Times New Roman" w:hAnsi="Times New Roman" w:cs="Times New Roman"/>
            <w:sz w:val="24"/>
            <w:szCs w:val="24"/>
          </w:rPr>
          <w:t>(McCann et al., 2019)</w:t>
        </w:r>
      </w:hyperlink>
      <w:r w:rsidRPr="00E75E15">
        <w:rPr>
          <w:rFonts w:ascii="Times New Roman" w:eastAsia="Times New Roman" w:hAnsi="Times New Roman" w:cs="Times New Roman"/>
          <w:sz w:val="24"/>
          <w:szCs w:val="24"/>
        </w:rPr>
        <w:t xml:space="preserve">. Increasing the expression of genes in the medial prefrontal cortex via histone deacetylase </w:t>
      </w:r>
      <w:r w:rsidRPr="00E75E15">
        <w:rPr>
          <w:rFonts w:ascii="Times New Roman" w:eastAsia="Times New Roman" w:hAnsi="Times New Roman" w:cs="Times New Roman"/>
          <w:sz w:val="24"/>
          <w:szCs w:val="24"/>
        </w:rPr>
        <w:lastRenderedPageBreak/>
        <w:t xml:space="preserve">inhibition also enhances social defeat behaviors in adults, while inhibition of acetylation reduces them </w:t>
      </w:r>
      <w:hyperlink r:id="rId14">
        <w:r w:rsidR="00B23511" w:rsidRPr="00E75E15">
          <w:rPr>
            <w:rFonts w:ascii="Times New Roman" w:eastAsia="Times New Roman" w:hAnsi="Times New Roman" w:cs="Times New Roman"/>
            <w:sz w:val="24"/>
            <w:szCs w:val="24"/>
          </w:rPr>
          <w:t>(McCann et al., 2017)</w:t>
        </w:r>
      </w:hyperlink>
      <w:r w:rsidRPr="00E75E15">
        <w:rPr>
          <w:rFonts w:ascii="Times New Roman" w:eastAsia="Times New Roman" w:hAnsi="Times New Roman" w:cs="Times New Roman"/>
          <w:sz w:val="24"/>
          <w:szCs w:val="24"/>
        </w:rPr>
        <w:t>.</w:t>
      </w:r>
    </w:p>
    <w:p w14:paraId="4D923FD5" w14:textId="24868F8A" w:rsidR="00B23511" w:rsidRPr="00E75E15" w:rsidRDefault="00E07E46">
      <w:pP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75E15">
        <w:rPr>
          <w:rFonts w:ascii="Times New Roman" w:eastAsia="Times New Roman" w:hAnsi="Times New Roman" w:cs="Times New Roman"/>
          <w:sz w:val="24"/>
          <w:szCs w:val="24"/>
        </w:rPr>
        <w:t xml:space="preserve">Conversely, chronic exposure to social stress in adolescence leads to different behavioral outcomes </w:t>
      </w:r>
      <w:hyperlink r:id="rId15">
        <w:r w:rsidR="00B23511" w:rsidRPr="00E75E15">
          <w:rPr>
            <w:rFonts w:ascii="Times New Roman" w:eastAsia="Times New Roman" w:hAnsi="Times New Roman" w:cs="Times New Roman"/>
            <w:sz w:val="24"/>
            <w:szCs w:val="24"/>
          </w:rPr>
          <w:t>(Wommack et al., 2003)</w:t>
        </w:r>
      </w:hyperlink>
      <w:r w:rsidRPr="00E75E15">
        <w:rPr>
          <w:rFonts w:ascii="Times New Roman" w:eastAsia="Times New Roman" w:hAnsi="Times New Roman" w:cs="Times New Roman"/>
          <w:sz w:val="24"/>
          <w:szCs w:val="24"/>
        </w:rPr>
        <w:t xml:space="preserve">. Instead of presenting conditioned defeat, these individuals are more likely to attack smaller opponents once they reach adulthood </w:t>
      </w:r>
      <w:hyperlink r:id="rId16">
        <w:r w:rsidR="00B23511" w:rsidRPr="00E75E15">
          <w:rPr>
            <w:rFonts w:ascii="Times New Roman" w:eastAsia="Times New Roman" w:hAnsi="Times New Roman" w:cs="Times New Roman"/>
            <w:sz w:val="24"/>
            <w:szCs w:val="24"/>
          </w:rPr>
          <w:t>(Delville et al., 1998; Wommack et al., 2003)</w:t>
        </w:r>
      </w:hyperlink>
      <w:r w:rsidRPr="00E75E15">
        <w:rPr>
          <w:rFonts w:ascii="Times New Roman" w:eastAsia="Times New Roman" w:hAnsi="Times New Roman" w:cs="Times New Roman"/>
          <w:sz w:val="24"/>
          <w:szCs w:val="24"/>
        </w:rPr>
        <w:t xml:space="preserve">. This phenotype includes an acceleration of the maturation of agonistic behavior from play fighting to aggression </w:t>
      </w:r>
      <w:hyperlink r:id="rId17">
        <w:r w:rsidR="00B23511" w:rsidRPr="00E75E15">
          <w:rPr>
            <w:rFonts w:ascii="Times New Roman" w:eastAsia="Times New Roman" w:hAnsi="Times New Roman" w:cs="Times New Roman"/>
            <w:sz w:val="24"/>
            <w:szCs w:val="24"/>
          </w:rPr>
          <w:t>(Wommack et al., 2003)</w:t>
        </w:r>
      </w:hyperlink>
      <w:r w:rsidRPr="00E75E15">
        <w:rPr>
          <w:rFonts w:ascii="Times New Roman" w:eastAsia="Times New Roman" w:hAnsi="Times New Roman" w:cs="Times New Roman"/>
          <w:sz w:val="24"/>
          <w:szCs w:val="24"/>
        </w:rPr>
        <w:t xml:space="preserve">, selective avoidance and enhanced risk assessment behaviors </w:t>
      </w:r>
      <w:hyperlink r:id="rId18">
        <w:r w:rsidR="00B23511" w:rsidRPr="00E75E15">
          <w:rPr>
            <w:rFonts w:ascii="Times New Roman" w:eastAsia="Times New Roman" w:hAnsi="Times New Roman" w:cs="Times New Roman"/>
            <w:sz w:val="24"/>
            <w:szCs w:val="24"/>
          </w:rPr>
          <w:t>(Bastida et al., 2009)</w:t>
        </w:r>
      </w:hyperlink>
      <w:r w:rsidRPr="00E75E15">
        <w:rPr>
          <w:rFonts w:ascii="Times New Roman" w:eastAsia="Times New Roman" w:hAnsi="Times New Roman" w:cs="Times New Roman"/>
          <w:sz w:val="24"/>
          <w:szCs w:val="24"/>
        </w:rPr>
        <w:t xml:space="preserve">, altered motor impulsivity </w:t>
      </w:r>
      <w:hyperlink r:id="rId19">
        <w:r w:rsidR="00B23511" w:rsidRPr="00E75E15">
          <w:rPr>
            <w:rFonts w:ascii="Times New Roman" w:eastAsia="Times New Roman" w:hAnsi="Times New Roman" w:cs="Times New Roman"/>
            <w:sz w:val="24"/>
            <w:szCs w:val="24"/>
          </w:rPr>
          <w:t>(González Martínez et al., 2017; González-Martínez et al., 2020)</w:t>
        </w:r>
      </w:hyperlink>
      <w:r w:rsidRPr="00E75E15">
        <w:rPr>
          <w:rFonts w:ascii="Times New Roman" w:eastAsia="Times New Roman" w:hAnsi="Times New Roman" w:cs="Times New Roman"/>
          <w:sz w:val="24"/>
          <w:szCs w:val="24"/>
        </w:rPr>
        <w:t xml:space="preserve">, accelerated weight gain, higher food intake, enhanced body fat, long-term increased body weight and altered food-related preference behaviors </w:t>
      </w:r>
      <w:hyperlink r:id="rId20">
        <w:r w:rsidR="00B23511" w:rsidRPr="00E75E15">
          <w:rPr>
            <w:rFonts w:ascii="Times New Roman" w:eastAsia="Times New Roman" w:hAnsi="Times New Roman" w:cs="Times New Roman"/>
            <w:sz w:val="24"/>
            <w:szCs w:val="24"/>
          </w:rPr>
          <w:t>(Moran et al., 2025b, 2021)</w:t>
        </w:r>
      </w:hyperlink>
      <w:r w:rsidRPr="00E75E15">
        <w:rPr>
          <w:rFonts w:ascii="Times New Roman" w:eastAsia="Times New Roman" w:hAnsi="Times New Roman" w:cs="Times New Roman"/>
          <w:sz w:val="24"/>
          <w:szCs w:val="24"/>
        </w:rPr>
        <w:t xml:space="preserve">. Additionally, adolescent stress alters innervation in a variety of systems involved in these behavioral and metabolic outcomes, including vasopressin, serotonin, and orexin </w:t>
      </w:r>
      <w:hyperlink r:id="rId21">
        <w:r w:rsidR="00B23511" w:rsidRPr="00E75E15">
          <w:rPr>
            <w:rFonts w:ascii="Times New Roman" w:eastAsia="Times New Roman" w:hAnsi="Times New Roman" w:cs="Times New Roman"/>
            <w:sz w:val="24"/>
            <w:szCs w:val="24"/>
          </w:rPr>
          <w:t>(Delville et al., 1998; Moran et al., 2025a)</w:t>
        </w:r>
      </w:hyperlink>
      <w:r w:rsidRPr="00E75E15">
        <w:rPr>
          <w:rFonts w:ascii="Times New Roman" w:eastAsia="Times New Roman" w:hAnsi="Times New Roman" w:cs="Times New Roman"/>
          <w:sz w:val="24"/>
          <w:szCs w:val="24"/>
        </w:rPr>
        <w:t xml:space="preserve">. Clearly, a large number of behavioral and homeostatic-regulatory systems are impacted by adolescent stress. </w:t>
      </w:r>
    </w:p>
    <w:p w14:paraId="7EA7ADC2"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In the present study, we used a global transcriptomic approach to identify potential gene targets in the hypothalamus that may be expressed due to chronic social stress exposure in adolescent male hamsters. We focused on three hypothalamic regions for analysis: lateral hypothalamus (LH), dorsomedial hypothalamus (DMH), and arcuate nucleus of the hypothalamus (ARC). We chose these regions as they are reciprocally connected and contribute to a variety of behaviors and homeostatic mechanisms that are altered in the adolescent stressed hamster model </w:t>
      </w:r>
      <w:hyperlink r:id="rId22">
        <w:r w:rsidR="00B23511" w:rsidRPr="00E75E15">
          <w:rPr>
            <w:rFonts w:ascii="Times New Roman" w:eastAsia="Times New Roman" w:hAnsi="Times New Roman" w:cs="Times New Roman"/>
            <w:sz w:val="24"/>
            <w:szCs w:val="24"/>
          </w:rPr>
          <w:t>(Cowley et al., 2001; Elias et al., 1998)</w:t>
        </w:r>
      </w:hyperlink>
      <w:r w:rsidRPr="00E75E15">
        <w:rPr>
          <w:rFonts w:ascii="Times New Roman" w:eastAsia="Times New Roman" w:hAnsi="Times New Roman" w:cs="Times New Roman"/>
          <w:sz w:val="24"/>
          <w:szCs w:val="24"/>
        </w:rPr>
        <w:t xml:space="preserve">. The ARC and LH exert major influence over food intake and body weight, with the ARC monitoring internal energy states and sending signals to the LH, which then act downstream to influence appetitive and ingestive behaviors </w:t>
      </w:r>
      <w:hyperlink r:id="rId23">
        <w:r w:rsidR="00B23511" w:rsidRPr="00E75E15">
          <w:rPr>
            <w:rFonts w:ascii="Times New Roman" w:eastAsia="Times New Roman" w:hAnsi="Times New Roman" w:cs="Times New Roman"/>
            <w:sz w:val="24"/>
            <w:szCs w:val="24"/>
          </w:rPr>
          <w:t>(Anand and Brobeck, 1951; Keen-Rhinehart et al., 2013)</w:t>
        </w:r>
      </w:hyperlink>
      <w:r w:rsidRPr="00E75E15">
        <w:rPr>
          <w:rFonts w:ascii="Times New Roman" w:eastAsia="Times New Roman" w:hAnsi="Times New Roman" w:cs="Times New Roman"/>
          <w:sz w:val="24"/>
          <w:szCs w:val="24"/>
        </w:rPr>
        <w:t xml:space="preserve">. The DMH is also involved in appetitive and homeostatic behaviors, as well as sex hormone production </w:t>
      </w:r>
      <w:hyperlink r:id="rId24">
        <w:r w:rsidR="00B23511" w:rsidRPr="00E75E15">
          <w:rPr>
            <w:rFonts w:ascii="Times New Roman" w:eastAsia="Times New Roman" w:hAnsi="Times New Roman" w:cs="Times New Roman"/>
            <w:sz w:val="24"/>
            <w:szCs w:val="24"/>
          </w:rPr>
          <w:t>(Bernardis, 1972; Kriegsfeld et al., 2018; Qi et al., 2009)</w:t>
        </w:r>
      </w:hyperlink>
      <w:r w:rsidRPr="00E75E15">
        <w:rPr>
          <w:rFonts w:ascii="Times New Roman" w:eastAsia="Times New Roman" w:hAnsi="Times New Roman" w:cs="Times New Roman"/>
          <w:sz w:val="24"/>
          <w:szCs w:val="24"/>
        </w:rPr>
        <w:t xml:space="preserve">. </w:t>
      </w:r>
    </w:p>
    <w:p w14:paraId="01C1F473"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We predicted a number of genes or gene modules related to aggressive behavior, reward and decision making, metabolic processes, and development-related genes to be altered in stressed subjects. Specifically, given the phenotypic changes pertaining to food intake and metabolism that are observed in socially defeated adolescent hamsters, we hypothesized enhanced transcriptional changes to orexigenic processes and downregulation of anorexigenic processes. </w:t>
      </w:r>
    </w:p>
    <w:p w14:paraId="08CB94C1" w14:textId="77777777" w:rsidR="00B23511" w:rsidRPr="00E75E15" w:rsidRDefault="00000000">
      <w:pPr>
        <w:spacing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 </w:t>
      </w:r>
      <w:r w:rsidRPr="00E75E15">
        <w:rPr>
          <w:rFonts w:ascii="Times New Roman" w:eastAsia="Times New Roman" w:hAnsi="Times New Roman" w:cs="Times New Roman"/>
          <w:b/>
          <w:sz w:val="24"/>
          <w:szCs w:val="24"/>
        </w:rPr>
        <w:t>2. Methods</w:t>
      </w:r>
    </w:p>
    <w:p w14:paraId="051673B4"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i/>
          <w:sz w:val="24"/>
          <w:szCs w:val="24"/>
        </w:rPr>
        <w:t xml:space="preserve">2.1 Animals and Housing </w:t>
      </w:r>
    </w:p>
    <w:p w14:paraId="496184B7"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Golden hamsters (</w:t>
      </w:r>
      <w:r w:rsidRPr="00E75E15">
        <w:rPr>
          <w:rFonts w:ascii="Times New Roman" w:eastAsia="Times New Roman" w:hAnsi="Times New Roman" w:cs="Times New Roman"/>
          <w:i/>
          <w:sz w:val="24"/>
          <w:szCs w:val="24"/>
        </w:rPr>
        <w:t>Mesocricetus auratus</w:t>
      </w:r>
      <w:r w:rsidRPr="00E75E15">
        <w:rPr>
          <w:rFonts w:ascii="Times New Roman" w:eastAsia="Times New Roman" w:hAnsi="Times New Roman" w:cs="Times New Roman"/>
          <w:sz w:val="24"/>
          <w:szCs w:val="24"/>
        </w:rPr>
        <w:t xml:space="preserve">) were bred in the laboratory from a colony initially obtained from Harlan Sprague–Dawley (Aura strain, Indianapolis, IN) and kept at the Animal Resource Center, an AAALAC-accredited facility. All procedures were consistent with NIH guidelines and approved by the IACUC from the University of Texas at Austin. Each litter was culled to six pups, including males and females, on postnatal day 7 (P7). On P25, all animals were weaned and single-housed in Plexiglas cages (19W x 43.2D x 26.5H cm) enriched with cotton pads for nesting materials and food piles, as this species hoards food in natural and laboratory environments </w:t>
      </w:r>
      <w:hyperlink r:id="rId25">
        <w:r w:rsidR="00B23511" w:rsidRPr="00E75E15">
          <w:rPr>
            <w:rFonts w:ascii="Times New Roman" w:eastAsia="Times New Roman" w:hAnsi="Times New Roman" w:cs="Times New Roman"/>
            <w:sz w:val="24"/>
            <w:szCs w:val="24"/>
          </w:rPr>
          <w:t>(Siegel, 1985; Waddell, 1951)</w:t>
        </w:r>
      </w:hyperlink>
      <w:r w:rsidRPr="00E75E15">
        <w:rPr>
          <w:rFonts w:ascii="Times New Roman" w:eastAsia="Times New Roman" w:hAnsi="Times New Roman" w:cs="Times New Roman"/>
          <w:sz w:val="24"/>
          <w:szCs w:val="24"/>
        </w:rPr>
        <w:t xml:space="preserve">. </w:t>
      </w:r>
    </w:p>
    <w:p w14:paraId="3D2D443D"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The animals were kept in a reverse light cycle (14L-10D, lights off at 10:00 a.m.) and received food [Prolab RMH 1800 5LL2 rodent diet, Lab Supply, Dallas-Fort Worth, TX (3.15 kcal/gram; 21.2% protein, 13.7% fat, 65.1% carbohydrate)] and water </w:t>
      </w:r>
      <w:r w:rsidRPr="00E75E15">
        <w:rPr>
          <w:rFonts w:ascii="Times New Roman" w:eastAsia="Times New Roman" w:hAnsi="Times New Roman" w:cs="Times New Roman"/>
          <w:i/>
          <w:sz w:val="24"/>
          <w:szCs w:val="24"/>
        </w:rPr>
        <w:t>ad libitum</w:t>
      </w:r>
      <w:r w:rsidRPr="00E75E15">
        <w:rPr>
          <w:rFonts w:ascii="Times New Roman" w:eastAsia="Times New Roman" w:hAnsi="Times New Roman" w:cs="Times New Roman"/>
          <w:sz w:val="24"/>
          <w:szCs w:val="24"/>
        </w:rPr>
        <w:t xml:space="preserve">. For habituation </w:t>
      </w:r>
      <w:r w:rsidRPr="00E75E15">
        <w:rPr>
          <w:rFonts w:ascii="Times New Roman" w:eastAsia="Times New Roman" w:hAnsi="Times New Roman" w:cs="Times New Roman"/>
          <w:sz w:val="24"/>
          <w:szCs w:val="24"/>
        </w:rPr>
        <w:lastRenderedPageBreak/>
        <w:t>prior and during behavioral tests, diet was supplemented with banana-flavored food pellets [Dustless Precision Pellets®, 45 mg, Primate Purified Diet, Banana flavor, Bio Serv, Flemington, NJ (3.45 kcal/gram; 20.2% protein, 6.3% fat, 52% carbohydrate)] as part of conditioning protocols. All behavioral procedures occurred between 11:00 am and 3:00 p.m. during the dark/active cycle. Body weights and food intake was monitored every two days. In this experiment we focus on male hamsters, as adolescent social stress exposure in females does not chronically alter cortisol levels or accelerate the development of agonistic behavior as it does in males, suggesting adolescent females habituate to repeated social stress (Taravosh-Lahn and Delville, 2004).</w:t>
      </w:r>
    </w:p>
    <w:p w14:paraId="0C9FB05B"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i/>
          <w:sz w:val="24"/>
          <w:szCs w:val="24"/>
        </w:rPr>
        <w:t>2.2 Social Stress</w:t>
      </w:r>
    </w:p>
    <w:p w14:paraId="653D3E84" w14:textId="5CCDD724"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From P28 to P42, hamsters underwent either daily social stress or control handling procedures. This period corresponds to early puberty in this species </w:t>
      </w:r>
      <w:hyperlink r:id="rId26">
        <w:r w:rsidR="00B23511" w:rsidRPr="00E75E15">
          <w:rPr>
            <w:rFonts w:ascii="Times New Roman" w:eastAsia="Times New Roman" w:hAnsi="Times New Roman" w:cs="Times New Roman"/>
            <w:sz w:val="24"/>
            <w:szCs w:val="24"/>
          </w:rPr>
          <w:t>(Vomachka and Greenwald, 1979)</w:t>
        </w:r>
      </w:hyperlink>
      <w:r w:rsidRPr="00E75E15">
        <w:rPr>
          <w:rFonts w:ascii="Times New Roman" w:eastAsia="Times New Roman" w:hAnsi="Times New Roman" w:cs="Times New Roman"/>
          <w:sz w:val="24"/>
          <w:szCs w:val="24"/>
        </w:rPr>
        <w:t xml:space="preserve">. Experimental animals (Stressed) were placed in the home cage of an adult, experienced fighter male for 20 minutes </w:t>
      </w:r>
      <w:hyperlink r:id="rId27">
        <w:r w:rsidR="00B23511" w:rsidRPr="00E75E15">
          <w:rPr>
            <w:rFonts w:ascii="Times New Roman" w:eastAsia="Times New Roman" w:hAnsi="Times New Roman" w:cs="Times New Roman"/>
            <w:sz w:val="24"/>
            <w:szCs w:val="24"/>
          </w:rPr>
          <w:t>(Delville et al., 1998; Wommack et al., 2003)</w:t>
        </w:r>
      </w:hyperlink>
      <w:r w:rsidRPr="00E75E15">
        <w:rPr>
          <w:rFonts w:ascii="Times New Roman" w:eastAsia="Times New Roman" w:hAnsi="Times New Roman" w:cs="Times New Roman"/>
          <w:sz w:val="24"/>
          <w:szCs w:val="24"/>
        </w:rPr>
        <w:t xml:space="preserve">. To control for handling and new-cage exposure, control subjects (Control) were placed into an empty, clean cage for 20 minutes (Figure 1A). While control animals eventually habituate to this process, the subjugated animals do not and continue to show a stress response at P42 </w:t>
      </w:r>
      <w:hyperlink r:id="rId28">
        <w:r w:rsidR="00B23511" w:rsidRPr="00E75E15">
          <w:rPr>
            <w:rFonts w:ascii="Times New Roman" w:eastAsia="Times New Roman" w:hAnsi="Times New Roman" w:cs="Times New Roman"/>
            <w:sz w:val="24"/>
            <w:szCs w:val="24"/>
          </w:rPr>
          <w:t>(Wommack and Delville, 2003)</w:t>
        </w:r>
      </w:hyperlink>
      <w:r w:rsidRPr="00E75E15">
        <w:rPr>
          <w:rFonts w:ascii="Times New Roman" w:eastAsia="Times New Roman" w:hAnsi="Times New Roman" w:cs="Times New Roman"/>
          <w:sz w:val="24"/>
          <w:szCs w:val="24"/>
        </w:rPr>
        <w:t xml:space="preserve">. All animals were checked for injuries after resident-intruder interactions, though none occurred as fights between golden hamsters rarely cause injuries </w:t>
      </w:r>
      <w:hyperlink r:id="rId29">
        <w:r w:rsidR="00B23511" w:rsidRPr="00E75E15">
          <w:rPr>
            <w:rFonts w:ascii="Times New Roman" w:eastAsia="Times New Roman" w:hAnsi="Times New Roman" w:cs="Times New Roman"/>
            <w:sz w:val="24"/>
            <w:szCs w:val="24"/>
          </w:rPr>
          <w:t>(Blanchard et al., 2003)</w:t>
        </w:r>
      </w:hyperlink>
      <w:r w:rsidRPr="00E75E15">
        <w:rPr>
          <w:rFonts w:ascii="Times New Roman" w:eastAsia="Times New Roman" w:hAnsi="Times New Roman" w:cs="Times New Roman"/>
          <w:sz w:val="24"/>
          <w:szCs w:val="24"/>
        </w:rPr>
        <w:t xml:space="preserve">. </w:t>
      </w:r>
    </w:p>
    <w:p w14:paraId="79943547"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During stress, an observer recorded behaviors from the adult resident and the juvenile intruder. These recordings included the number of attacks by the resident, number of times the resident chased the intruder, number of times the intruder displayed his tail up (a mildly submissive posture), the number of time the intruder laid on his back without the resident’s </w:t>
      </w:r>
      <w:r w:rsidRPr="00E75E15">
        <w:rPr>
          <w:rFonts w:ascii="Times New Roman" w:eastAsia="Times New Roman" w:hAnsi="Times New Roman" w:cs="Times New Roman"/>
          <w:sz w:val="24"/>
          <w:szCs w:val="24"/>
        </w:rPr>
        <w:lastRenderedPageBreak/>
        <w:t xml:space="preserve">physical influence (a highly submissive posture), and the number of times the resident flank marked his home cage. </w:t>
      </w:r>
    </w:p>
    <w:p w14:paraId="45CCD124"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i/>
          <w:sz w:val="24"/>
          <w:szCs w:val="24"/>
        </w:rPr>
        <w:t>2.3 Tissue collection and RNA extraction</w:t>
      </w:r>
    </w:p>
    <w:p w14:paraId="5D801EBA" w14:textId="77777777" w:rsidR="00B23511" w:rsidRPr="00E75E15" w:rsidRDefault="00000000">
      <w:pPr>
        <w:spacing w:after="160" w:line="480" w:lineRule="auto"/>
        <w:ind w:firstLine="720"/>
        <w:rPr>
          <w:rFonts w:ascii="Times New Roman" w:eastAsia="Times New Roman" w:hAnsi="Times New Roman" w:cs="Times New Roman"/>
          <w:sz w:val="24"/>
          <w:szCs w:val="24"/>
          <w:highlight w:val="yellow"/>
        </w:rPr>
      </w:pPr>
      <w:r w:rsidRPr="00E75E15">
        <w:rPr>
          <w:rFonts w:ascii="Times New Roman" w:eastAsia="Times New Roman" w:hAnsi="Times New Roman" w:cs="Times New Roman"/>
          <w:sz w:val="24"/>
          <w:szCs w:val="24"/>
        </w:rPr>
        <w:t xml:space="preserve">20 subjects total were used in this analysis (10 Control, 10 Stressed). Subjects were rapidly decapitated 24 hours after final stress or control exposure and brains flash frozen on dry ice. Tissue was stored at -70°C until tissue punching. White adipose tissue deposits from mesenteric, epididymal, inguinal, and retroperitoneal areas were extracted and weighed, as described in previous studies </w:t>
      </w:r>
      <w:hyperlink r:id="rId30">
        <w:r w:rsidR="00B23511" w:rsidRPr="00E75E15">
          <w:rPr>
            <w:rFonts w:ascii="Times New Roman" w:eastAsia="Times New Roman" w:hAnsi="Times New Roman" w:cs="Times New Roman"/>
            <w:sz w:val="24"/>
            <w:szCs w:val="24"/>
          </w:rPr>
          <w:t>(Foster et al., 2006; Moran et al., 2021)</w:t>
        </w:r>
      </w:hyperlink>
      <w:r w:rsidRPr="00E75E15">
        <w:rPr>
          <w:rFonts w:ascii="Times New Roman" w:eastAsia="Times New Roman" w:hAnsi="Times New Roman" w:cs="Times New Roman"/>
          <w:sz w:val="24"/>
          <w:szCs w:val="24"/>
        </w:rPr>
        <w:t xml:space="preserve">. The sum total of these is reported below alongside other recorded metabolic measures. </w:t>
      </w:r>
    </w:p>
    <w:p w14:paraId="1727BECF"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Regions were identified using a Golden Hamster stereotaxic brain atlas </w:t>
      </w:r>
      <w:hyperlink r:id="rId31">
        <w:r w:rsidR="00B23511" w:rsidRPr="00E75E15">
          <w:rPr>
            <w:rFonts w:ascii="Times New Roman" w:eastAsia="Times New Roman" w:hAnsi="Times New Roman" w:cs="Times New Roman"/>
            <w:sz w:val="24"/>
            <w:szCs w:val="24"/>
          </w:rPr>
          <w:t>(Morin and Wood, 2001)</w:t>
        </w:r>
      </w:hyperlink>
      <w:r w:rsidRPr="00E75E15">
        <w:rPr>
          <w:rFonts w:ascii="Times New Roman" w:eastAsia="Times New Roman" w:hAnsi="Times New Roman" w:cs="Times New Roman"/>
          <w:sz w:val="24"/>
          <w:szCs w:val="24"/>
        </w:rPr>
        <w:t>. Tissue was extracted using Stoelting 0.75 mm tissue punch</w:t>
      </w:r>
      <w:r w:rsidRPr="00E75E15">
        <w:rPr>
          <w:rFonts w:ascii="Times New Roman" w:eastAsia="Cardo" w:hAnsi="Times New Roman" w:cs="Times New Roman"/>
          <w:sz w:val="24"/>
          <w:szCs w:val="24"/>
        </w:rPr>
        <w:t xml:space="preserve"> (Stoelting, Wood Dale, IL, Cat. No. 57401) centered on regions of interest: lateral hypothalamus (LH) (bregma -2.0 mm), dorsomedial hypothalamus (DMH) (bregma -2.3 mm), and arcuate nucleus of the hypothalamus (ARC) (bregma -2.9 mm) (Figure 1B). Samples were homogenized in 100 μl lysis buffer (Thermo Fisher Scientific, Waltham, MA; MagMax Total RNA isolation kit, Cat. No. A27828) with 0.7% beta-mercaptoethanol by vortexing at 3000 rpm speed for 15–20 s. Lysates were incubated at room temperature for 5 min and stored at − 80°C until RNA extraction. Once dissection of all individuals was completed, we proceed to RNA extraction using the KingFisher Flex (Thermo Fisher Scientific, Cat. No. 5400630l) with an </w:t>
      </w:r>
      <w:r w:rsidRPr="00E75E15">
        <w:rPr>
          <w:rFonts w:ascii="Times New Roman" w:eastAsia="Times New Roman" w:hAnsi="Times New Roman" w:cs="Times New Roman"/>
          <w:sz w:val="24"/>
          <w:szCs w:val="24"/>
        </w:rPr>
        <w:t xml:space="preserve">additional DNase step </w:t>
      </w:r>
      <w:r w:rsidRPr="00E75E15">
        <w:rPr>
          <w:rFonts w:ascii="Times New Roman" w:eastAsia="Cardo" w:hAnsi="Times New Roman" w:cs="Times New Roman"/>
          <w:sz w:val="24"/>
          <w:szCs w:val="24"/>
        </w:rPr>
        <w:t xml:space="preserve">to remove DNA contamination added according to the manufacturer's protocol. Samples from each brain region of all animals were extracted in the same batch. RNA quality was determined using RNA 6000 Nano Assay with BioAnalyzer (Agilent Technologies, Santa Clara, CA) and RNA concentration was determined with Quant-it RNA High Sensitivity assay kit (Thermo Fisher </w:t>
      </w:r>
      <w:r w:rsidRPr="00E75E15">
        <w:rPr>
          <w:rFonts w:ascii="Times New Roman" w:eastAsia="Cardo" w:hAnsi="Times New Roman" w:cs="Times New Roman"/>
          <w:sz w:val="24"/>
          <w:szCs w:val="24"/>
        </w:rPr>
        <w:lastRenderedPageBreak/>
        <w:t xml:space="preserve">Scientific, Cat. No. Q33140). RNA samples were normalized to 100 ng/μl and stored at − 80°C before sequencing. </w:t>
      </w:r>
    </w:p>
    <w:p w14:paraId="6ACFBAA0" w14:textId="77777777" w:rsidR="00B23511" w:rsidRPr="00E75E15" w:rsidRDefault="00B23511">
      <w:pPr>
        <w:spacing w:line="480" w:lineRule="auto"/>
        <w:ind w:firstLine="720"/>
        <w:rPr>
          <w:rFonts w:ascii="Times New Roman" w:eastAsia="Times New Roman" w:hAnsi="Times New Roman" w:cs="Times New Roman"/>
          <w:sz w:val="24"/>
          <w:szCs w:val="24"/>
        </w:rPr>
      </w:pPr>
    </w:p>
    <w:p w14:paraId="3E378B81" w14:textId="77777777" w:rsidR="00B23511" w:rsidRPr="00E75E15" w:rsidRDefault="00000000">
      <w:pPr>
        <w:rPr>
          <w:rFonts w:ascii="Times New Roman" w:eastAsia="Times New Roman" w:hAnsi="Times New Roman" w:cs="Times New Roman"/>
          <w:sz w:val="24"/>
          <w:szCs w:val="24"/>
        </w:rPr>
      </w:pPr>
      <w:r w:rsidRPr="00E75E15">
        <w:rPr>
          <w:rFonts w:ascii="Times New Roman" w:eastAsia="Times New Roman" w:hAnsi="Times New Roman" w:cs="Times New Roman"/>
          <w:noProof/>
        </w:rPr>
        <w:drawing>
          <wp:inline distT="114300" distB="114300" distL="114300" distR="114300" wp14:anchorId="5809E925" wp14:editId="0F420FE7">
            <wp:extent cx="5943600" cy="4038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5943600" cy="4038600"/>
                    </a:xfrm>
                    <a:prstGeom prst="rect">
                      <a:avLst/>
                    </a:prstGeom>
                    <a:ln/>
                  </pic:spPr>
                </pic:pic>
              </a:graphicData>
            </a:graphic>
          </wp:inline>
        </w:drawing>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23511" w:rsidRPr="00E75E15" w14:paraId="4BB13207" w14:textId="77777777">
        <w:tc>
          <w:tcPr>
            <w:tcW w:w="9360" w:type="dxa"/>
            <w:shd w:val="clear" w:color="auto" w:fill="auto"/>
            <w:tcMar>
              <w:top w:w="100" w:type="dxa"/>
              <w:left w:w="100" w:type="dxa"/>
              <w:bottom w:w="100" w:type="dxa"/>
              <w:right w:w="100" w:type="dxa"/>
            </w:tcMar>
          </w:tcPr>
          <w:p w14:paraId="73EFA59B" w14:textId="15D368BC" w:rsidR="00B23511" w:rsidRPr="00E75E15" w:rsidRDefault="00000000">
            <w:pPr>
              <w:widowControl w:val="0"/>
              <w:spacing w:line="240" w:lineRule="auto"/>
              <w:rPr>
                <w:rFonts w:ascii="Times New Roman" w:eastAsia="Times New Roman" w:hAnsi="Times New Roman" w:cs="Times New Roman"/>
              </w:rPr>
            </w:pPr>
            <w:r w:rsidRPr="00E75E15">
              <w:rPr>
                <w:rFonts w:ascii="Times New Roman" w:eastAsia="Times New Roman" w:hAnsi="Times New Roman" w:cs="Times New Roman"/>
              </w:rPr>
              <w:t xml:space="preserve">Figure 1. Experimental timeline and regions of interest. </w:t>
            </w:r>
            <w:r w:rsidRPr="00E75E15">
              <w:rPr>
                <w:rFonts w:ascii="Times New Roman" w:eastAsia="Times New Roman" w:hAnsi="Times New Roman" w:cs="Times New Roman"/>
                <w:b/>
              </w:rPr>
              <w:t>A.</w:t>
            </w:r>
            <w:r w:rsidRPr="00E75E15">
              <w:rPr>
                <w:rFonts w:ascii="Times New Roman" w:eastAsia="Times New Roman" w:hAnsi="Times New Roman" w:cs="Times New Roman"/>
              </w:rPr>
              <w:t xml:space="preserve"> Diagram of experimental timeline. Postnatal day 0 (P0) represents birth. Litters were culled to 6 hamsters on P7 and weaned to individual housing on P25. Social</w:t>
            </w:r>
            <w:r w:rsidR="00E17758">
              <w:rPr>
                <w:rFonts w:ascii="Times New Roman" w:eastAsia="Times New Roman" w:hAnsi="Times New Roman" w:cs="Times New Roman"/>
              </w:rPr>
              <w:t>ly</w:t>
            </w:r>
            <w:r w:rsidRPr="00E75E15">
              <w:rPr>
                <w:rFonts w:ascii="Times New Roman" w:eastAsia="Times New Roman" w:hAnsi="Times New Roman" w:cs="Times New Roman"/>
              </w:rPr>
              <w:t xml:space="preserve"> Stress</w:t>
            </w:r>
            <w:r w:rsidR="00E17758">
              <w:rPr>
                <w:rFonts w:ascii="Times New Roman" w:eastAsia="Times New Roman" w:hAnsi="Times New Roman" w:cs="Times New Roman"/>
              </w:rPr>
              <w:t>ed</w:t>
            </w:r>
            <w:r w:rsidRPr="00E75E15">
              <w:rPr>
                <w:rFonts w:ascii="Times New Roman" w:eastAsia="Times New Roman" w:hAnsi="Times New Roman" w:cs="Times New Roman"/>
              </w:rPr>
              <w:t xml:space="preserve"> or Control procedure exposure occurred from P28 to P42. Animals were sacrificed on P43. </w:t>
            </w:r>
            <w:r w:rsidRPr="00E75E15">
              <w:rPr>
                <w:rFonts w:ascii="Times New Roman" w:eastAsia="Times New Roman" w:hAnsi="Times New Roman" w:cs="Times New Roman"/>
                <w:b/>
              </w:rPr>
              <w:t>B.</w:t>
            </w:r>
            <w:r w:rsidRPr="00E75E15">
              <w:rPr>
                <w:rFonts w:ascii="Times New Roman" w:eastAsia="Times New Roman" w:hAnsi="Times New Roman" w:cs="Times New Roman"/>
              </w:rPr>
              <w:t xml:space="preserve"> Depiction of regions punched for Tag-seq. Left to right, lateral hypothalamus, dorsomedial hypothalamus, and arcuate nucleus of the hypothalamus. Punches were taken bilaterally. Brain drawings here are from the Paxinos and Watson Rat Brain Atlas </w:t>
            </w:r>
            <w:hyperlink r:id="rId33">
              <w:r w:rsidR="00B23511" w:rsidRPr="00E75E15">
                <w:rPr>
                  <w:rFonts w:ascii="Times New Roman" w:eastAsia="Times New Roman" w:hAnsi="Times New Roman" w:cs="Times New Roman"/>
                </w:rPr>
                <w:t>(Paxinos and Watson, 2007)</w:t>
              </w:r>
            </w:hyperlink>
            <w:r w:rsidRPr="00E75E15">
              <w:rPr>
                <w:rFonts w:ascii="Times New Roman" w:eastAsia="Times New Roman" w:hAnsi="Times New Roman" w:cs="Times New Roman"/>
              </w:rPr>
              <w:t xml:space="preserve">, though a hamster atlas </w:t>
            </w:r>
            <w:hyperlink r:id="rId34">
              <w:r w:rsidR="00B23511" w:rsidRPr="00E75E15">
                <w:rPr>
                  <w:rFonts w:ascii="Times New Roman" w:eastAsia="Times New Roman" w:hAnsi="Times New Roman" w:cs="Times New Roman"/>
                </w:rPr>
                <w:t>(Morin and Wood, 2001)</w:t>
              </w:r>
            </w:hyperlink>
            <w:r w:rsidRPr="00E75E15">
              <w:rPr>
                <w:rFonts w:ascii="Times New Roman" w:eastAsia="Times New Roman" w:hAnsi="Times New Roman" w:cs="Times New Roman"/>
              </w:rPr>
              <w:t xml:space="preserve"> was used to guide tissue collection. </w:t>
            </w:r>
          </w:p>
        </w:tc>
      </w:tr>
    </w:tbl>
    <w:p w14:paraId="67D92728" w14:textId="77777777" w:rsidR="00B23511" w:rsidRPr="00E75E15" w:rsidRDefault="00B23511">
      <w:pPr>
        <w:spacing w:after="160" w:line="480" w:lineRule="auto"/>
        <w:ind w:firstLine="720"/>
        <w:rPr>
          <w:rFonts w:ascii="Times New Roman" w:eastAsia="Times New Roman" w:hAnsi="Times New Roman" w:cs="Times New Roman"/>
          <w:sz w:val="24"/>
          <w:szCs w:val="24"/>
        </w:rPr>
      </w:pPr>
    </w:p>
    <w:p w14:paraId="10C029F6" w14:textId="21F4CA0F"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Samples were submitted to the Genome Sequence and Analysis Facility at the University of Texas at Austin for Tag-based RNA sequencing (Tag-seq). This method is an efficient and cost-effective approach specifically designed to measure abundances of polyadenylated transcripts yielding highly reliable data for differential gene expression analysis in well </w:t>
      </w:r>
      <w:r w:rsidRPr="00E75E15">
        <w:rPr>
          <w:rFonts w:ascii="Times New Roman" w:eastAsia="Times New Roman" w:hAnsi="Times New Roman" w:cs="Times New Roman"/>
          <w:sz w:val="24"/>
          <w:szCs w:val="24"/>
        </w:rPr>
        <w:lastRenderedPageBreak/>
        <w:t xml:space="preserve">annotated genomes </w:t>
      </w:r>
      <w:hyperlink r:id="rId35">
        <w:r w:rsidR="00B23511" w:rsidRPr="00E75E15">
          <w:rPr>
            <w:rFonts w:ascii="Times New Roman" w:eastAsia="Times New Roman" w:hAnsi="Times New Roman" w:cs="Times New Roman"/>
            <w:sz w:val="24"/>
            <w:szCs w:val="24"/>
          </w:rPr>
          <w:t>(Lohman et al., 2016; Meyer et al., 2011)</w:t>
        </w:r>
      </w:hyperlink>
      <w:r w:rsidRPr="00E75E15">
        <w:rPr>
          <w:rFonts w:ascii="Times New Roman" w:eastAsia="Times New Roman" w:hAnsi="Times New Roman" w:cs="Times New Roman"/>
          <w:sz w:val="24"/>
          <w:szCs w:val="24"/>
        </w:rPr>
        <w:t>.</w:t>
      </w:r>
      <w:r w:rsidR="00E07E46">
        <w:rPr>
          <w:rFonts w:ascii="Times New Roman" w:eastAsia="Times New Roman" w:hAnsi="Times New Roman" w:cs="Times New Roman"/>
          <w:sz w:val="24"/>
          <w:szCs w:val="24"/>
        </w:rPr>
        <w:t xml:space="preserve"> </w:t>
      </w:r>
      <w:r w:rsidRPr="00E75E15">
        <w:rPr>
          <w:rFonts w:ascii="Times New Roman" w:eastAsia="Times New Roman" w:hAnsi="Times New Roman" w:cs="Times New Roman"/>
          <w:sz w:val="24"/>
          <w:szCs w:val="24"/>
        </w:rPr>
        <w:t xml:space="preserve">It requires very few sequencing reads and is resilient to variation in sample integrity </w:t>
      </w:r>
      <w:hyperlink r:id="rId36">
        <w:r w:rsidR="00B23511" w:rsidRPr="00E75E15">
          <w:rPr>
            <w:rFonts w:ascii="Times New Roman" w:eastAsia="Times New Roman" w:hAnsi="Times New Roman" w:cs="Times New Roman"/>
            <w:sz w:val="24"/>
            <w:szCs w:val="24"/>
          </w:rPr>
          <w:t>(Stark et al., 2019)</w:t>
        </w:r>
      </w:hyperlink>
      <w:r w:rsidRPr="00E75E15">
        <w:rPr>
          <w:rFonts w:ascii="Times New Roman" w:eastAsia="Times New Roman" w:hAnsi="Times New Roman" w:cs="Times New Roman"/>
          <w:sz w:val="24"/>
          <w:szCs w:val="24"/>
        </w:rPr>
        <w:t xml:space="preserve">. While it does not yield complete RNA sequences including splice variants (i.e. coding and non-coding RNA), it is suitable for identifying coding genes that are differentially expressed. With these transcriptome profiles, we identified differentially expressed genes (DEGs) between Stressed and Control hamsters. All samples were processed in the same batch throughout the process. Libraries were constructed with a protocol modified from </w:t>
      </w:r>
      <w:hyperlink r:id="rId37">
        <w:r w:rsidR="00B23511" w:rsidRPr="00E75E15">
          <w:rPr>
            <w:rFonts w:ascii="Times New Roman" w:eastAsia="Times New Roman" w:hAnsi="Times New Roman" w:cs="Times New Roman"/>
            <w:sz w:val="24"/>
            <w:szCs w:val="24"/>
          </w:rPr>
          <w:t>(Meyer et al., 2011)</w:t>
        </w:r>
      </w:hyperlink>
      <w:r w:rsidRPr="00E75E15">
        <w:rPr>
          <w:rFonts w:ascii="Times New Roman" w:eastAsia="Times New Roman" w:hAnsi="Times New Roman" w:cs="Times New Roman"/>
          <w:sz w:val="24"/>
          <w:szCs w:val="24"/>
        </w:rPr>
        <w:t xml:space="preserve"> and </w:t>
      </w:r>
      <w:hyperlink r:id="rId38">
        <w:r w:rsidR="00B23511" w:rsidRPr="00E75E15">
          <w:rPr>
            <w:rFonts w:ascii="Times New Roman" w:eastAsia="Times New Roman" w:hAnsi="Times New Roman" w:cs="Times New Roman"/>
            <w:sz w:val="24"/>
            <w:szCs w:val="24"/>
          </w:rPr>
          <w:t>(Lohman et al., 2016)</w:t>
        </w:r>
      </w:hyperlink>
      <w:r w:rsidRPr="00E75E15">
        <w:rPr>
          <w:rFonts w:ascii="Times New Roman" w:eastAsia="Times New Roman" w:hAnsi="Times New Roman" w:cs="Times New Roman"/>
          <w:sz w:val="24"/>
          <w:szCs w:val="24"/>
        </w:rPr>
        <w:t xml:space="preserve">. Reads were sequenced on the NovaSeq 6000 SR100 with minimum reads of 4 million and the target reads per sample of 5 million. </w:t>
      </w:r>
    </w:p>
    <w:p w14:paraId="37168295" w14:textId="77777777" w:rsidR="00B23511" w:rsidRPr="00E75E15" w:rsidRDefault="00000000">
      <w:pPr>
        <w:spacing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 </w:t>
      </w:r>
      <w:r w:rsidRPr="00E75E15">
        <w:rPr>
          <w:rFonts w:ascii="Times New Roman" w:eastAsia="Times New Roman" w:hAnsi="Times New Roman" w:cs="Times New Roman"/>
          <w:i/>
          <w:sz w:val="24"/>
          <w:szCs w:val="24"/>
        </w:rPr>
        <w:t>2.4 Data analysis</w:t>
      </w:r>
    </w:p>
    <w:p w14:paraId="759C5B27"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All statistical analyses were completed using R v4.3.2 </w:t>
      </w:r>
      <w:hyperlink r:id="rId39">
        <w:r w:rsidR="00B23511" w:rsidRPr="00E75E15">
          <w:rPr>
            <w:rFonts w:ascii="Times New Roman" w:eastAsia="Times New Roman" w:hAnsi="Times New Roman" w:cs="Times New Roman"/>
            <w:sz w:val="24"/>
            <w:szCs w:val="24"/>
          </w:rPr>
          <w:t>(R Core Team, 2014; Wickham et al., 2019)</w:t>
        </w:r>
      </w:hyperlink>
      <w:r w:rsidRPr="00E75E15">
        <w:rPr>
          <w:rFonts w:ascii="Times New Roman" w:eastAsia="Times New Roman" w:hAnsi="Times New Roman" w:cs="Times New Roman"/>
          <w:sz w:val="24"/>
          <w:szCs w:val="24"/>
        </w:rPr>
        <w:t>.</w:t>
      </w:r>
    </w:p>
    <w:p w14:paraId="0A61DCE2"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i/>
          <w:sz w:val="24"/>
          <w:szCs w:val="24"/>
        </w:rPr>
        <w:t>2.4.1 Metabolic metrics analysis</w:t>
      </w:r>
    </w:p>
    <w:p w14:paraId="67638B5D"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Welch’s t-tests were used to assess pairwise mean group differences in metabolic metrics. Welch’s t-tests reported as [mean </w:t>
      </w:r>
      <w:r w:rsidRPr="00E75E15">
        <w:rPr>
          <w:rFonts w:ascii="Times New Roman" w:eastAsia="Times New Roman" w:hAnsi="Times New Roman" w:cs="Times New Roman"/>
          <w:sz w:val="24"/>
          <w:szCs w:val="24"/>
          <w:highlight w:val="white"/>
        </w:rPr>
        <w:t>±</w:t>
      </w:r>
      <w:r w:rsidRPr="00E75E15">
        <w:rPr>
          <w:rFonts w:ascii="Times New Roman" w:eastAsia="Times New Roman" w:hAnsi="Times New Roman" w:cs="Times New Roman"/>
          <w:sz w:val="24"/>
          <w:szCs w:val="24"/>
        </w:rPr>
        <w:t xml:space="preserve"> standard deviation; t(df) t value with estimated degrees of freedom; p = p value </w:t>
      </w:r>
      <w:r w:rsidRPr="00E75E15">
        <w:rPr>
          <w:rFonts w:ascii="Times New Roman" w:eastAsia="Times New Roman" w:hAnsi="Times New Roman" w:cs="Times New Roman"/>
          <w:sz w:val="24"/>
          <w:szCs w:val="24"/>
          <w:highlight w:val="white"/>
        </w:rPr>
        <w:t>with α</w:t>
      </w:r>
      <w:r w:rsidRPr="00E75E15">
        <w:rPr>
          <w:rFonts w:ascii="Times New Roman" w:eastAsia="Times New Roman" w:hAnsi="Times New Roman" w:cs="Times New Roman"/>
          <w:sz w:val="24"/>
          <w:szCs w:val="24"/>
        </w:rPr>
        <w:t xml:space="preserve"> = 0.05, two-tailed, d = effect size using Cohen’s d]. Trends (p &lt; 0.1) are also reported and discussed further below.</w:t>
      </w:r>
    </w:p>
    <w:p w14:paraId="70E650A4"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i/>
          <w:sz w:val="24"/>
          <w:szCs w:val="24"/>
        </w:rPr>
        <w:t>2.4.2 Bioinformatics analysis</w:t>
      </w:r>
    </w:p>
    <w:p w14:paraId="4EB085F5"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Raw RNA reads were processed to obtain gene count data by following the TagSeq data processing pipeline provided based on </w:t>
      </w:r>
      <w:hyperlink r:id="rId40">
        <w:r w:rsidR="00B23511" w:rsidRPr="00E75E15">
          <w:rPr>
            <w:rFonts w:ascii="Times New Roman" w:eastAsia="Times New Roman" w:hAnsi="Times New Roman" w:cs="Times New Roman"/>
            <w:sz w:val="24"/>
            <w:szCs w:val="24"/>
          </w:rPr>
          <w:t>(Meyer et al., 2011)</w:t>
        </w:r>
      </w:hyperlink>
      <w:r w:rsidRPr="00E75E15">
        <w:rPr>
          <w:rFonts w:ascii="Times New Roman" w:eastAsia="Times New Roman" w:hAnsi="Times New Roman" w:cs="Times New Roman"/>
          <w:sz w:val="24"/>
          <w:szCs w:val="24"/>
        </w:rPr>
        <w:t xml:space="preserve"> and </w:t>
      </w:r>
      <w:hyperlink r:id="rId41">
        <w:r w:rsidR="00B23511" w:rsidRPr="00E75E15">
          <w:rPr>
            <w:rFonts w:ascii="Times New Roman" w:eastAsia="Times New Roman" w:hAnsi="Times New Roman" w:cs="Times New Roman"/>
            <w:sz w:val="24"/>
            <w:szCs w:val="24"/>
          </w:rPr>
          <w:t>(Lohman et al., 2016)</w:t>
        </w:r>
      </w:hyperlink>
      <w:r w:rsidRPr="00E75E15">
        <w:rPr>
          <w:rFonts w:ascii="Times New Roman" w:eastAsia="Times New Roman" w:hAnsi="Times New Roman" w:cs="Times New Roman"/>
          <w:sz w:val="24"/>
          <w:szCs w:val="24"/>
        </w:rPr>
        <w:t xml:space="preserve">. Briefly, customized perl script utilizing FASTX-Toolkits and CUTADAPT 2.8 </w:t>
      </w:r>
      <w:hyperlink r:id="rId42">
        <w:r w:rsidR="00B23511" w:rsidRPr="00E75E15">
          <w:rPr>
            <w:rFonts w:ascii="Times New Roman" w:eastAsia="Times New Roman" w:hAnsi="Times New Roman" w:cs="Times New Roman"/>
            <w:sz w:val="24"/>
            <w:szCs w:val="24"/>
          </w:rPr>
          <w:t>(Martin, 2011)</w:t>
        </w:r>
      </w:hyperlink>
      <w:r w:rsidRPr="00E75E15">
        <w:rPr>
          <w:rFonts w:ascii="Times New Roman" w:eastAsia="Gungsuh" w:hAnsi="Times New Roman" w:cs="Times New Roman"/>
          <w:sz w:val="24"/>
          <w:szCs w:val="24"/>
        </w:rPr>
        <w:t xml:space="preserve"> was used to remove reads with a homo-polymer run of “A” ≥ 8 bases and retain reads with minimum 20 </w:t>
      </w:r>
      <w:r w:rsidRPr="00E75E15">
        <w:rPr>
          <w:rFonts w:ascii="Times New Roman" w:eastAsia="Gungsuh" w:hAnsi="Times New Roman" w:cs="Times New Roman"/>
          <w:sz w:val="24"/>
          <w:szCs w:val="24"/>
        </w:rPr>
        <w:lastRenderedPageBreak/>
        <w:t xml:space="preserve">bases and remove PCR duplicates. Processed reads were then mapped to the annotated BCM_Maur_2.0 </w:t>
      </w:r>
      <w:r w:rsidRPr="00E75E15">
        <w:rPr>
          <w:rFonts w:ascii="Times New Roman" w:eastAsia="Times New Roman" w:hAnsi="Times New Roman" w:cs="Times New Roman"/>
          <w:i/>
          <w:sz w:val="24"/>
          <w:szCs w:val="24"/>
        </w:rPr>
        <w:t>Mesocricetus auratus</w:t>
      </w:r>
      <w:r w:rsidRPr="00E75E15">
        <w:rPr>
          <w:rFonts w:ascii="Times New Roman" w:eastAsia="Times New Roman" w:hAnsi="Times New Roman" w:cs="Times New Roman"/>
          <w:sz w:val="24"/>
          <w:szCs w:val="24"/>
        </w:rPr>
        <w:t xml:space="preserve"> genome using Bowtie2 and STAR </w:t>
      </w:r>
      <w:hyperlink r:id="rId43">
        <w:r w:rsidR="00B23511" w:rsidRPr="00E75E15">
          <w:rPr>
            <w:rFonts w:ascii="Times New Roman" w:eastAsia="Times New Roman" w:hAnsi="Times New Roman" w:cs="Times New Roman"/>
            <w:sz w:val="24"/>
            <w:szCs w:val="24"/>
          </w:rPr>
          <w:t>(Dobin et al., 2013; Harris et al., 2022)</w:t>
        </w:r>
      </w:hyperlink>
      <w:r w:rsidRPr="00E75E15">
        <w:rPr>
          <w:rFonts w:ascii="Times New Roman" w:eastAsia="Times New Roman" w:hAnsi="Times New Roman" w:cs="Times New Roman"/>
          <w:sz w:val="24"/>
          <w:szCs w:val="24"/>
        </w:rPr>
        <w:t xml:space="preserve">. Differential gene expression analysis was conducted using Bioconductor package limma </w:t>
      </w:r>
      <w:hyperlink r:id="rId44">
        <w:r w:rsidR="00B23511" w:rsidRPr="00E75E15">
          <w:rPr>
            <w:rFonts w:ascii="Times New Roman" w:eastAsia="Times New Roman" w:hAnsi="Times New Roman" w:cs="Times New Roman"/>
            <w:sz w:val="24"/>
            <w:szCs w:val="24"/>
          </w:rPr>
          <w:t>(Ritchie et al., 2015)</w:t>
        </w:r>
      </w:hyperlink>
      <w:r w:rsidRPr="00E75E15">
        <w:rPr>
          <w:rFonts w:ascii="Times New Roman" w:eastAsia="Times New Roman" w:hAnsi="Times New Roman" w:cs="Times New Roman"/>
          <w:sz w:val="24"/>
          <w:szCs w:val="24"/>
        </w:rPr>
        <w:t xml:space="preserve">. For each brain region, we conducted principal component analysis filtered gene counts data (filtered out genes with less than 10 counts for each sample) to visually inspect for outliers. No outliers were detected for any regions. Filtered read counts were then normalized to account for different library sizes among samples with a voom transform. Differentially expressed genes were identified between Control and Stressed subjects. We adjusted raw p-value via empirical false discovery rate (eFDR) </w:t>
      </w:r>
      <w:hyperlink r:id="rId45">
        <w:r w:rsidR="00B23511" w:rsidRPr="00E75E15">
          <w:rPr>
            <w:rFonts w:ascii="Times New Roman" w:eastAsia="Times New Roman" w:hAnsi="Times New Roman" w:cs="Times New Roman"/>
            <w:sz w:val="24"/>
            <w:szCs w:val="24"/>
          </w:rPr>
          <w:t>(Storey and Tibshirani, 2003)</w:t>
        </w:r>
      </w:hyperlink>
      <w:r w:rsidRPr="00E75E15">
        <w:rPr>
          <w:rFonts w:ascii="Times New Roman" w:eastAsia="Times New Roman" w:hAnsi="Times New Roman" w:cs="Times New Roman"/>
          <w:sz w:val="24"/>
          <w:szCs w:val="24"/>
        </w:rPr>
        <w:t xml:space="preserve">. To estimate eFDR, we permuted sample IDs 5000 times and obtained a null distribution of p-values. The significance threshold for differentially expressed genes (DEGs) was set as 15% of change in the absolute values of log 2-fold change at the eFDR of 5%. We also performed Gene Ontology (GO) analysis to explore differences among identified DEGs within functional modules between groups using the clusterProfiler R package </w:t>
      </w:r>
      <w:hyperlink r:id="rId46">
        <w:r w:rsidR="00B23511" w:rsidRPr="00E75E15">
          <w:rPr>
            <w:rFonts w:ascii="Times New Roman" w:eastAsia="Times New Roman" w:hAnsi="Times New Roman" w:cs="Times New Roman"/>
            <w:sz w:val="24"/>
            <w:szCs w:val="24"/>
          </w:rPr>
          <w:t>(Wu et al., 2021)</w:t>
        </w:r>
      </w:hyperlink>
      <w:r w:rsidRPr="00E75E15">
        <w:rPr>
          <w:rFonts w:ascii="Times New Roman" w:eastAsia="Times New Roman" w:hAnsi="Times New Roman" w:cs="Times New Roman"/>
          <w:sz w:val="24"/>
          <w:szCs w:val="24"/>
        </w:rPr>
        <w:t xml:space="preserve">. </w:t>
      </w:r>
    </w:p>
    <w:p w14:paraId="650FF4DF"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i/>
          <w:sz w:val="24"/>
          <w:szCs w:val="24"/>
        </w:rPr>
        <w:t>2.4.3 Weighted gene co-expression network analysis (WGCNA)</w:t>
      </w:r>
    </w:p>
    <w:p w14:paraId="30320C4B"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Weighted gene co-expression network analysis (WGCNA) was performed using the WGCNA R package </w:t>
      </w:r>
      <w:hyperlink r:id="rId47">
        <w:r w:rsidR="00B23511" w:rsidRPr="00E75E15">
          <w:rPr>
            <w:rFonts w:ascii="Times New Roman" w:eastAsia="Times New Roman" w:hAnsi="Times New Roman" w:cs="Times New Roman"/>
            <w:sz w:val="24"/>
            <w:szCs w:val="24"/>
          </w:rPr>
          <w:t>(Langfelder and Horvath, 2008)</w:t>
        </w:r>
      </w:hyperlink>
      <w:r w:rsidRPr="00E75E15">
        <w:rPr>
          <w:rFonts w:ascii="Times New Roman" w:eastAsia="Times New Roman" w:hAnsi="Times New Roman" w:cs="Times New Roman"/>
          <w:sz w:val="24"/>
          <w:szCs w:val="24"/>
        </w:rPr>
        <w:t xml:space="preserve">. WGCNA constructs Pearson correlation matrices of RNA expression and clusters highly co-expressed genes into several modules. WGCNA then examines the association between given experimental factors and module eigengenes (MEs), assigned to colors, which are the first component from the principal component analysis (PCA) for each module. WGCNA further calculates module membership for each gene. Module membership (MM) is measured as the Pearson correlation between the gene expression level and the module eigengene, with an absolute value of module membership close </w:t>
      </w:r>
      <w:r w:rsidRPr="00E75E15">
        <w:rPr>
          <w:rFonts w:ascii="Times New Roman" w:eastAsia="Times New Roman" w:hAnsi="Times New Roman" w:cs="Times New Roman"/>
          <w:sz w:val="24"/>
          <w:szCs w:val="24"/>
        </w:rPr>
        <w:lastRenderedPageBreak/>
        <w:t xml:space="preserve">to 1 indicating that the gene is highly connected to other genes in the module. Gene counts were normalized with the DESeq2 package and genes that had low expression counts (&lt;15) in more than 75% of samples were filtered out prior to network construction. Each WGCNA model was constructed in signed hybrid mode. Power was selected by selecting a value with scale-free topology model fit above 0.8 with a minimal mean connectivity (12 for LH, 10 for DMH, and 6 for ARC). We tested whether each module eigengene was significantly different between groups using linear regression models, which is useful for identifying differential associations of functional modules and has been used in other WGCNA analysis </w:t>
      </w:r>
      <w:hyperlink r:id="rId48">
        <w:r w:rsidR="00B23511" w:rsidRPr="00E75E15">
          <w:rPr>
            <w:rFonts w:ascii="Times New Roman" w:eastAsia="Times New Roman" w:hAnsi="Times New Roman" w:cs="Times New Roman"/>
            <w:sz w:val="24"/>
            <w:szCs w:val="24"/>
          </w:rPr>
          <w:t>(Blighe, 2018; Lewis et al., 2019)</w:t>
        </w:r>
      </w:hyperlink>
      <w:r w:rsidRPr="00E75E15">
        <w:rPr>
          <w:rFonts w:ascii="Times New Roman" w:eastAsia="Times New Roman" w:hAnsi="Times New Roman" w:cs="Times New Roman"/>
          <w:sz w:val="24"/>
          <w:szCs w:val="24"/>
        </w:rPr>
        <w:t xml:space="preserve"> and report modules that are statistically significant between group (b = beta coefficient </w:t>
      </w:r>
      <w:r w:rsidRPr="00E75E15">
        <w:rPr>
          <w:rFonts w:ascii="Times New Roman" w:eastAsia="Times New Roman" w:hAnsi="Times New Roman" w:cs="Times New Roman"/>
          <w:sz w:val="24"/>
          <w:szCs w:val="24"/>
          <w:highlight w:val="white"/>
        </w:rPr>
        <w:t>± standard error;</w:t>
      </w:r>
      <w:r w:rsidRPr="00E75E15">
        <w:rPr>
          <w:rFonts w:ascii="Times New Roman" w:eastAsia="Times New Roman" w:hAnsi="Times New Roman" w:cs="Times New Roman"/>
          <w:i/>
          <w:sz w:val="24"/>
          <w:szCs w:val="24"/>
          <w:highlight w:val="white"/>
        </w:rPr>
        <w:t xml:space="preserve"> </w:t>
      </w:r>
      <w:r w:rsidRPr="00E75E15">
        <w:rPr>
          <w:rFonts w:ascii="Times New Roman" w:eastAsia="Times New Roman" w:hAnsi="Times New Roman" w:cs="Times New Roman"/>
          <w:sz w:val="24"/>
          <w:szCs w:val="24"/>
          <w:highlight w:val="white"/>
        </w:rPr>
        <w:t>p = p, with α</w:t>
      </w:r>
      <w:r w:rsidRPr="00E75E15">
        <w:rPr>
          <w:rFonts w:ascii="Times New Roman" w:eastAsia="Times New Roman" w:hAnsi="Times New Roman" w:cs="Times New Roman"/>
          <w:sz w:val="24"/>
          <w:szCs w:val="24"/>
        </w:rPr>
        <w:t xml:space="preserve"> = 0.05, two-tailed). We performed GO analysis on these modules to identify functions of independently clustered modules. Finally, we extracted hub genes with very high functional module membership. </w:t>
      </w:r>
    </w:p>
    <w:p w14:paraId="0B0E67B3"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 </w:t>
      </w:r>
      <w:r w:rsidRPr="00E75E15">
        <w:rPr>
          <w:rFonts w:ascii="Times New Roman" w:eastAsia="Times New Roman" w:hAnsi="Times New Roman" w:cs="Times New Roman"/>
          <w:b/>
          <w:sz w:val="24"/>
          <w:szCs w:val="24"/>
        </w:rPr>
        <w:t>3 Results</w:t>
      </w:r>
    </w:p>
    <w:p w14:paraId="42ACF852"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i/>
          <w:sz w:val="24"/>
          <w:szCs w:val="24"/>
        </w:rPr>
        <w:t>3.1 Metabolic metrics</w:t>
      </w:r>
    </w:p>
    <w:p w14:paraId="00BF47C5" w14:textId="148CE8BE"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There were no group differences in body weight at P28, and Stressed subjected trended heavier at P42 [Control: 83.8 ± 7.66; Stressed: 91.8 ± 11.9; t(15.35) = 1.78, p &lt; 0.094, d = 0.80], with Stressed subjects weighing about 10% more than controls. The rate of weight gain was significantly higher in Stressed subjects [Control: 48.89 ± 7.08; Stressed: 59.38 ± 7.01; t(18.00) = 3.33, p &lt; 0.01, d = 1.49]. Body fat total at P42 trended higher in Stressed hamsters [Control: 5.21 ± 1.13; Stressed: 6.83 ± 2.25; t(13.27) = 2.04, p = 0.062, d = .91].</w:t>
      </w:r>
      <w:r w:rsidR="00E07E46">
        <w:rPr>
          <w:rFonts w:ascii="Times New Roman" w:eastAsia="Times New Roman" w:hAnsi="Times New Roman" w:cs="Times New Roman"/>
          <w:sz w:val="24"/>
          <w:szCs w:val="24"/>
        </w:rPr>
        <w:t xml:space="preserve"> </w:t>
      </w:r>
      <w:r w:rsidRPr="00E75E15">
        <w:rPr>
          <w:rFonts w:ascii="Times New Roman" w:eastAsia="Times New Roman" w:hAnsi="Times New Roman" w:cs="Times New Roman"/>
          <w:sz w:val="24"/>
          <w:szCs w:val="24"/>
        </w:rPr>
        <w:t>Despite no group difference in total food intake, Stressed subjects had enhanced food efficiency (gaining more weight per gram of food eaten) [Control: 0.162 ± 0.025; Stressed: 0.191 ± 0.028; t(17.75) = 2.42, p &lt; 0.05, d = 1.09] (Figure 2).</w:t>
      </w:r>
    </w:p>
    <w:p w14:paraId="45310C36" w14:textId="1B78B67A" w:rsidR="00B23511" w:rsidRPr="00E75E15" w:rsidRDefault="00E07E46">
      <w:pPr>
        <w:spacing w:after="160" w:line="480" w:lineRule="auto"/>
        <w:ind w:firstLine="720"/>
        <w:rPr>
          <w:rFonts w:ascii="Times New Roman" w:eastAsia="Times New Roman" w:hAnsi="Times New Roman" w:cs="Times New Roman"/>
          <w:sz w:val="24"/>
          <w:szCs w:val="24"/>
        </w:rPr>
      </w:pPr>
      <w:r w:rsidRPr="00E07E46">
        <w:rPr>
          <w:rFonts w:ascii="Times New Roman" w:eastAsia="Times New Roman" w:hAnsi="Times New Roman" w:cs="Times New Roman"/>
          <w:noProof/>
          <w:sz w:val="24"/>
          <w:szCs w:val="24"/>
        </w:rPr>
        <w:lastRenderedPageBreak/>
        <w:drawing>
          <wp:inline distT="0" distB="0" distL="0" distR="0" wp14:anchorId="00FD2736" wp14:editId="30D1F975">
            <wp:extent cx="2844094" cy="4236720"/>
            <wp:effectExtent l="0" t="0" r="0" b="0"/>
            <wp:docPr id="909059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059424" name=""/>
                    <pic:cNvPicPr/>
                  </pic:nvPicPr>
                  <pic:blipFill>
                    <a:blip r:embed="rId49"/>
                    <a:stretch>
                      <a:fillRect/>
                    </a:stretch>
                  </pic:blipFill>
                  <pic:spPr>
                    <a:xfrm>
                      <a:off x="0" y="0"/>
                      <a:ext cx="2851985" cy="4248474"/>
                    </a:xfrm>
                    <a:prstGeom prst="rect">
                      <a:avLst/>
                    </a:prstGeom>
                  </pic:spPr>
                </pic:pic>
              </a:graphicData>
            </a:graphic>
          </wp:inline>
        </w:drawing>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23511" w:rsidRPr="00E75E15" w14:paraId="087CFA10" w14:textId="77777777">
        <w:tc>
          <w:tcPr>
            <w:tcW w:w="9360" w:type="dxa"/>
            <w:shd w:val="clear" w:color="auto" w:fill="auto"/>
            <w:tcMar>
              <w:top w:w="100" w:type="dxa"/>
              <w:left w:w="100" w:type="dxa"/>
              <w:bottom w:w="100" w:type="dxa"/>
              <w:right w:w="100" w:type="dxa"/>
            </w:tcMar>
          </w:tcPr>
          <w:p w14:paraId="05AE3D94" w14:textId="5BCD86FA" w:rsidR="00B23511" w:rsidRPr="00E75E1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Figure 2. </w:t>
            </w:r>
            <w:r w:rsidRPr="00E75E15">
              <w:rPr>
                <w:rFonts w:ascii="Times New Roman" w:eastAsia="Times New Roman" w:hAnsi="Times New Roman" w:cs="Times New Roman"/>
              </w:rPr>
              <w:t>Boxplots of significantly different metabolic measures between Stress</w:t>
            </w:r>
            <w:r w:rsidR="00E17758">
              <w:rPr>
                <w:rFonts w:ascii="Times New Roman" w:eastAsia="Times New Roman" w:hAnsi="Times New Roman" w:cs="Times New Roman"/>
              </w:rPr>
              <w:t>ed</w:t>
            </w:r>
            <w:r w:rsidRPr="00E75E15">
              <w:rPr>
                <w:rFonts w:ascii="Times New Roman" w:eastAsia="Times New Roman" w:hAnsi="Times New Roman" w:cs="Times New Roman"/>
              </w:rPr>
              <w:t xml:space="preserve"> and Control subjects. A. Body weight at P42 in grams. B. Percent of weight at P28 gained by P42. C. Total fat mass of fat pads collected in grams. D. Total food efficiency over stress period as grams of weight gained divided by grams of food eaten. Boxplots are depicted with median line and first and third quartile ranges in boxes, with 95% range as whiskers. Points represent the y-axis value of each subject. Significance results of Welch two-sample, two-tailed t-tests are reported for each measure.</w:t>
            </w:r>
          </w:p>
        </w:tc>
      </w:tr>
    </w:tbl>
    <w:p w14:paraId="3D91DA21" w14:textId="77777777" w:rsidR="00B23511" w:rsidRPr="00E75E15" w:rsidRDefault="00B23511">
      <w:pPr>
        <w:spacing w:after="160" w:line="480" w:lineRule="auto"/>
        <w:ind w:firstLine="720"/>
        <w:rPr>
          <w:rFonts w:ascii="Times New Roman" w:eastAsia="Times New Roman" w:hAnsi="Times New Roman" w:cs="Times New Roman"/>
          <w:sz w:val="24"/>
          <w:szCs w:val="24"/>
        </w:rPr>
      </w:pPr>
    </w:p>
    <w:p w14:paraId="1F6A052C" w14:textId="77777777" w:rsidR="00B23511" w:rsidRPr="00E75E15" w:rsidRDefault="00B23511">
      <w:pPr>
        <w:spacing w:after="160" w:line="480" w:lineRule="auto"/>
        <w:ind w:firstLine="720"/>
        <w:rPr>
          <w:rFonts w:ascii="Times New Roman" w:eastAsia="Times New Roman" w:hAnsi="Times New Roman" w:cs="Times New Roman"/>
          <w:sz w:val="24"/>
          <w:szCs w:val="24"/>
        </w:rPr>
      </w:pPr>
    </w:p>
    <w:p w14:paraId="41553304"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i/>
          <w:sz w:val="24"/>
          <w:szCs w:val="24"/>
        </w:rPr>
        <w:t>3.2 Stressed hamsters show differential gene expression in hypothalamic nuclei</w:t>
      </w:r>
    </w:p>
    <w:p w14:paraId="7C92E59C" w14:textId="79BD9429" w:rsidR="00B23511" w:rsidRPr="00E75E15" w:rsidRDefault="00000000">
      <w:pPr>
        <w:spacing w:after="160" w:line="480" w:lineRule="auto"/>
        <w:ind w:firstLine="720"/>
        <w:rPr>
          <w:rFonts w:ascii="Times New Roman" w:eastAsia="Times New Roman" w:hAnsi="Times New Roman" w:cs="Times New Roman"/>
          <w:sz w:val="24"/>
          <w:szCs w:val="24"/>
        </w:rPr>
        <w:sectPr w:rsidR="00B23511" w:rsidRPr="00E75E15">
          <w:pgSz w:w="12240" w:h="15840"/>
          <w:pgMar w:top="1440" w:right="1440" w:bottom="1440" w:left="1440" w:header="720" w:footer="720" w:gutter="0"/>
          <w:pgNumType w:start="1"/>
          <w:cols w:space="720"/>
        </w:sectPr>
      </w:pPr>
      <w:r w:rsidRPr="00E75E15">
        <w:rPr>
          <w:rFonts w:ascii="Times New Roman" w:eastAsia="Times New Roman" w:hAnsi="Times New Roman" w:cs="Times New Roman"/>
          <w:sz w:val="24"/>
          <w:szCs w:val="24"/>
        </w:rPr>
        <w:t xml:space="preserve">In the LH, out of 11,354 genes, 271 genes were upregulated in Stressed subjects and 254 genes were downregulated in Stressed subjects compared to Controls. In Figure 3A, volcano plots of gene expression and a selection of DEGs with the highest log 2-fold change and lowest eFDR are highlighted. Values of log2FC and eFDR for top genes across all regions are reported </w:t>
      </w:r>
      <w:r w:rsidRPr="00E75E15">
        <w:rPr>
          <w:rFonts w:ascii="Times New Roman" w:eastAsia="Times New Roman" w:hAnsi="Times New Roman" w:cs="Times New Roman"/>
          <w:sz w:val="24"/>
          <w:szCs w:val="24"/>
        </w:rPr>
        <w:lastRenderedPageBreak/>
        <w:t xml:space="preserve">in Table 1. Gene Ontology (GO) terms are also reported in Figure 3, displaying functional modules associated with clusters of highly differentially expressed genes. In the DMH, out of 11,350 genes, 309 genes were upregulated </w:t>
      </w:r>
      <w:r w:rsidR="00E17758">
        <w:rPr>
          <w:rFonts w:ascii="Times New Roman" w:eastAsia="Times New Roman" w:hAnsi="Times New Roman" w:cs="Times New Roman"/>
          <w:sz w:val="24"/>
          <w:szCs w:val="24"/>
        </w:rPr>
        <w:t>by</w:t>
      </w:r>
      <w:r w:rsidRPr="00E75E15">
        <w:rPr>
          <w:rFonts w:ascii="Times New Roman" w:eastAsia="Times New Roman" w:hAnsi="Times New Roman" w:cs="Times New Roman"/>
          <w:sz w:val="24"/>
          <w:szCs w:val="24"/>
        </w:rPr>
        <w:t xml:space="preserve"> </w:t>
      </w:r>
      <w:r w:rsidR="00E17758">
        <w:rPr>
          <w:rFonts w:ascii="Times New Roman" w:eastAsia="Times New Roman" w:hAnsi="Times New Roman" w:cs="Times New Roman"/>
          <w:sz w:val="24"/>
          <w:szCs w:val="24"/>
        </w:rPr>
        <w:t xml:space="preserve">stress </w:t>
      </w:r>
      <w:r w:rsidRPr="00E75E15">
        <w:rPr>
          <w:rFonts w:ascii="Times New Roman" w:eastAsia="Times New Roman" w:hAnsi="Times New Roman" w:cs="Times New Roman"/>
          <w:sz w:val="24"/>
          <w:szCs w:val="24"/>
        </w:rPr>
        <w:t xml:space="preserve">and 238 genes were downregulated </w:t>
      </w:r>
      <w:r w:rsidR="00E17758">
        <w:rPr>
          <w:rFonts w:ascii="Times New Roman" w:eastAsia="Times New Roman" w:hAnsi="Times New Roman" w:cs="Times New Roman"/>
          <w:sz w:val="24"/>
          <w:szCs w:val="24"/>
        </w:rPr>
        <w:t>by</w:t>
      </w:r>
      <w:r w:rsidRPr="00E75E15">
        <w:rPr>
          <w:rFonts w:ascii="Times New Roman" w:eastAsia="Times New Roman" w:hAnsi="Times New Roman" w:cs="Times New Roman"/>
          <w:sz w:val="24"/>
          <w:szCs w:val="24"/>
        </w:rPr>
        <w:t xml:space="preserve"> </w:t>
      </w:r>
      <w:r w:rsidR="00E17758">
        <w:rPr>
          <w:rFonts w:ascii="Times New Roman" w:eastAsia="Times New Roman" w:hAnsi="Times New Roman" w:cs="Times New Roman"/>
          <w:sz w:val="24"/>
          <w:szCs w:val="24"/>
        </w:rPr>
        <w:t>s</w:t>
      </w:r>
      <w:r w:rsidRPr="00E75E15">
        <w:rPr>
          <w:rFonts w:ascii="Times New Roman" w:eastAsia="Times New Roman" w:hAnsi="Times New Roman" w:cs="Times New Roman"/>
          <w:sz w:val="24"/>
          <w:szCs w:val="24"/>
        </w:rPr>
        <w:t xml:space="preserve">tress compared to Controls (Figure 3B). In the ARC, out of 11,444 genes, 216 genes were upregulated in </w:t>
      </w:r>
      <w:r w:rsidR="00E17758">
        <w:rPr>
          <w:rFonts w:ascii="Times New Roman" w:eastAsia="Times New Roman" w:hAnsi="Times New Roman" w:cs="Times New Roman"/>
          <w:sz w:val="24"/>
          <w:szCs w:val="24"/>
        </w:rPr>
        <w:t xml:space="preserve">the </w:t>
      </w:r>
      <w:r w:rsidRPr="00E75E15">
        <w:rPr>
          <w:rFonts w:ascii="Times New Roman" w:eastAsia="Times New Roman" w:hAnsi="Times New Roman" w:cs="Times New Roman"/>
          <w:sz w:val="24"/>
          <w:szCs w:val="24"/>
        </w:rPr>
        <w:t>Stress</w:t>
      </w:r>
      <w:r w:rsidR="00E17758">
        <w:rPr>
          <w:rFonts w:ascii="Times New Roman" w:eastAsia="Times New Roman" w:hAnsi="Times New Roman" w:cs="Times New Roman"/>
          <w:sz w:val="24"/>
          <w:szCs w:val="24"/>
        </w:rPr>
        <w:t>ed group</w:t>
      </w:r>
      <w:r w:rsidRPr="00E75E15">
        <w:rPr>
          <w:rFonts w:ascii="Times New Roman" w:eastAsia="Times New Roman" w:hAnsi="Times New Roman" w:cs="Times New Roman"/>
          <w:sz w:val="24"/>
          <w:szCs w:val="24"/>
        </w:rPr>
        <w:t xml:space="preserve"> and 214 genes were downregulated</w:t>
      </w:r>
      <w:r w:rsidR="00E17758">
        <w:rPr>
          <w:rFonts w:ascii="Times New Roman" w:eastAsia="Times New Roman" w:hAnsi="Times New Roman" w:cs="Times New Roman"/>
          <w:sz w:val="24"/>
          <w:szCs w:val="24"/>
        </w:rPr>
        <w:t xml:space="preserve"> </w:t>
      </w:r>
      <w:r w:rsidRPr="00E75E15">
        <w:rPr>
          <w:rFonts w:ascii="Times New Roman" w:eastAsia="Times New Roman" w:hAnsi="Times New Roman" w:cs="Times New Roman"/>
          <w:sz w:val="24"/>
          <w:szCs w:val="24"/>
        </w:rPr>
        <w:t xml:space="preserve">compared to Controls (Figure 3C). We also performed an overlap and conflict analysis on DEGs, compiling genes that were up- or downregulated in multiple regions in Table 2, and genes that showed differential up- or downregulation between multiple regions in Table 3. Only one gene, </w:t>
      </w:r>
      <w:r w:rsidRPr="00E75E15">
        <w:rPr>
          <w:rFonts w:ascii="Times New Roman" w:eastAsia="Times New Roman" w:hAnsi="Times New Roman" w:cs="Times New Roman"/>
          <w:i/>
          <w:sz w:val="24"/>
          <w:szCs w:val="24"/>
        </w:rPr>
        <w:t>Zfp36</w:t>
      </w:r>
      <w:r w:rsidRPr="00E75E15">
        <w:rPr>
          <w:rFonts w:ascii="Times New Roman" w:eastAsia="Times New Roman" w:hAnsi="Times New Roman" w:cs="Times New Roman"/>
          <w:sz w:val="24"/>
          <w:szCs w:val="24"/>
        </w:rPr>
        <w:t xml:space="preserve">, was upregulated across all 3 regions in Stressed subjects, and 33 other genes shared some overlap across multiple regions. 43 genes showed </w:t>
      </w:r>
      <w:r w:rsidR="00E75E15">
        <w:rPr>
          <w:rFonts w:ascii="Times New Roman" w:eastAsia="Times New Roman" w:hAnsi="Times New Roman" w:cs="Times New Roman"/>
          <w:sz w:val="24"/>
          <w:szCs w:val="24"/>
        </w:rPr>
        <w:t>incongruent</w:t>
      </w:r>
      <w:r w:rsidRPr="00E75E15">
        <w:rPr>
          <w:rFonts w:ascii="Times New Roman" w:eastAsia="Times New Roman" w:hAnsi="Times New Roman" w:cs="Times New Roman"/>
          <w:sz w:val="24"/>
          <w:szCs w:val="24"/>
        </w:rPr>
        <w:t xml:space="preserve"> differential expression, being upregulated in one region and downregulated in another. </w:t>
      </w:r>
    </w:p>
    <w:p w14:paraId="2A7F849D"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noProof/>
          <w:sz w:val="24"/>
          <w:szCs w:val="24"/>
        </w:rPr>
        <w:lastRenderedPageBreak/>
        <w:drawing>
          <wp:inline distT="114300" distB="114300" distL="114300" distR="114300" wp14:anchorId="0B332E38" wp14:editId="4580C43B">
            <wp:extent cx="6201899" cy="48910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0"/>
                    <a:srcRect/>
                    <a:stretch>
                      <a:fillRect/>
                    </a:stretch>
                  </pic:blipFill>
                  <pic:spPr>
                    <a:xfrm>
                      <a:off x="0" y="0"/>
                      <a:ext cx="6201899" cy="4891088"/>
                    </a:xfrm>
                    <a:prstGeom prst="rect">
                      <a:avLst/>
                    </a:prstGeom>
                    <a:ln/>
                  </pic:spPr>
                </pic:pic>
              </a:graphicData>
            </a:graphic>
          </wp:inline>
        </w:drawing>
      </w:r>
    </w:p>
    <w:tbl>
      <w:tblPr>
        <w:tblStyle w:val="a1"/>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B23511" w:rsidRPr="00E75E15" w14:paraId="5A26FED7" w14:textId="77777777">
        <w:tc>
          <w:tcPr>
            <w:tcW w:w="12960" w:type="dxa"/>
            <w:shd w:val="clear" w:color="auto" w:fill="auto"/>
            <w:tcMar>
              <w:top w:w="100" w:type="dxa"/>
              <w:left w:w="100" w:type="dxa"/>
              <w:bottom w:w="100" w:type="dxa"/>
              <w:right w:w="100" w:type="dxa"/>
            </w:tcMar>
          </w:tcPr>
          <w:p w14:paraId="790F4716" w14:textId="5B16722D" w:rsidR="00B23511" w:rsidRPr="00E75E15" w:rsidRDefault="00000000">
            <w:pPr>
              <w:widowControl w:val="0"/>
              <w:spacing w:line="240" w:lineRule="auto"/>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Figure 3. Results of differential gene expression (DEGs) in A. lateral (LH), B. dorsomedial (DMH) and C. arcuate nucleus (ARC) subregions of the hypothalamus. Genes were determined to be differentially expressed if the log2 Fold Change was</w:t>
            </w:r>
            <w:r w:rsidR="00E07E46">
              <w:rPr>
                <w:rFonts w:ascii="Times New Roman" w:eastAsia="Times New Roman" w:hAnsi="Times New Roman" w:cs="Times New Roman"/>
                <w:sz w:val="24"/>
                <w:szCs w:val="24"/>
              </w:rPr>
              <w:t xml:space="preserve"> </w:t>
            </w:r>
            <w:r w:rsidRPr="00E75E15">
              <w:rPr>
                <w:rFonts w:ascii="Times New Roman" w:eastAsia="Times New Roman" w:hAnsi="Times New Roman" w:cs="Times New Roman"/>
                <w:sz w:val="24"/>
                <w:szCs w:val="24"/>
              </w:rPr>
              <w:t>&gt;= |0.2| and the significant (eFDR) &lt; 0.05. Top genes were identified as the greatest absolute value log2FC with an eFDR &lt; 0.05. Functional modules identified by Gene Ontology enrichment analysis (GO terms) are on the right.</w:t>
            </w:r>
          </w:p>
        </w:tc>
      </w:tr>
    </w:tbl>
    <w:p w14:paraId="250B7505" w14:textId="77777777" w:rsidR="00B23511" w:rsidRPr="00E75E15" w:rsidRDefault="00B23511">
      <w:pPr>
        <w:spacing w:after="160" w:line="480" w:lineRule="auto"/>
        <w:rPr>
          <w:rFonts w:ascii="Times New Roman" w:eastAsia="Times New Roman" w:hAnsi="Times New Roman" w:cs="Times New Roman"/>
          <w:sz w:val="24"/>
          <w:szCs w:val="24"/>
        </w:rPr>
      </w:pPr>
    </w:p>
    <w:tbl>
      <w:tblPr>
        <w:tblStyle w:val="a2"/>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B23511" w:rsidRPr="00E75E15" w14:paraId="45F0C175" w14:textId="77777777">
        <w:trPr>
          <w:trHeight w:val="440"/>
        </w:trPr>
        <w:tc>
          <w:tcPr>
            <w:tcW w:w="12960" w:type="dxa"/>
            <w:gridSpan w:val="9"/>
            <w:tcBorders>
              <w:top w:val="nil"/>
              <w:left w:val="nil"/>
              <w:bottom w:val="single" w:sz="4" w:space="0" w:color="000000"/>
              <w:right w:val="nil"/>
            </w:tcBorders>
            <w:shd w:val="clear" w:color="auto" w:fill="auto"/>
            <w:tcMar>
              <w:top w:w="43" w:type="dxa"/>
              <w:left w:w="43" w:type="dxa"/>
              <w:bottom w:w="43" w:type="dxa"/>
              <w:right w:w="43" w:type="dxa"/>
            </w:tcMar>
            <w:vAlign w:val="center"/>
          </w:tcPr>
          <w:p w14:paraId="4394FE68" w14:textId="77777777" w:rsidR="00B23511" w:rsidRPr="00E75E15" w:rsidRDefault="00000000">
            <w:pPr>
              <w:widowControl w:val="0"/>
              <w:spacing w:line="240" w:lineRule="auto"/>
              <w:rPr>
                <w:rFonts w:ascii="Times New Roman" w:eastAsia="Times New Roman" w:hAnsi="Times New Roman" w:cs="Times New Roman"/>
                <w:b/>
                <w:sz w:val="24"/>
                <w:szCs w:val="24"/>
              </w:rPr>
            </w:pPr>
            <w:r w:rsidRPr="00E75E15">
              <w:rPr>
                <w:rFonts w:ascii="Times New Roman" w:eastAsia="Times New Roman" w:hAnsi="Times New Roman" w:cs="Times New Roman"/>
                <w:b/>
                <w:sz w:val="24"/>
                <w:szCs w:val="24"/>
              </w:rPr>
              <w:lastRenderedPageBreak/>
              <w:t>Table 1. Summary of Top Differentially Expressed Genes</w:t>
            </w:r>
          </w:p>
        </w:tc>
      </w:tr>
      <w:tr w:rsidR="00B23511" w:rsidRPr="00E75E15" w14:paraId="15907AD0" w14:textId="77777777">
        <w:trPr>
          <w:trHeight w:val="440"/>
        </w:trPr>
        <w:tc>
          <w:tcPr>
            <w:tcW w:w="4320" w:type="dxa"/>
            <w:gridSpan w:val="3"/>
            <w:tcBorders>
              <w:top w:val="single" w:sz="4" w:space="0" w:color="000000"/>
              <w:left w:val="single" w:sz="4" w:space="0" w:color="000000"/>
              <w:bottom w:val="single" w:sz="4" w:space="0" w:color="000000"/>
              <w:right w:val="single" w:sz="4" w:space="0" w:color="000000"/>
            </w:tcBorders>
            <w:shd w:val="clear" w:color="auto" w:fill="auto"/>
            <w:tcMar>
              <w:top w:w="43" w:type="dxa"/>
              <w:left w:w="43" w:type="dxa"/>
              <w:bottom w:w="43" w:type="dxa"/>
              <w:right w:w="43" w:type="dxa"/>
            </w:tcMar>
            <w:vAlign w:val="center"/>
          </w:tcPr>
          <w:p w14:paraId="403A9200" w14:textId="77777777" w:rsidR="00B23511" w:rsidRPr="00E75E15" w:rsidRDefault="00000000">
            <w:pPr>
              <w:widowControl w:val="0"/>
              <w:spacing w:line="240" w:lineRule="auto"/>
              <w:jc w:val="center"/>
              <w:rPr>
                <w:rFonts w:ascii="Times New Roman" w:eastAsia="Times New Roman" w:hAnsi="Times New Roman" w:cs="Times New Roman"/>
                <w:b/>
              </w:rPr>
            </w:pPr>
            <w:r w:rsidRPr="00E75E15">
              <w:rPr>
                <w:rFonts w:ascii="Times New Roman" w:eastAsia="Times New Roman" w:hAnsi="Times New Roman" w:cs="Times New Roman"/>
                <w:b/>
              </w:rPr>
              <w:t>LH</w:t>
            </w:r>
          </w:p>
        </w:tc>
        <w:tc>
          <w:tcPr>
            <w:tcW w:w="4320" w:type="dxa"/>
            <w:gridSpan w:val="3"/>
            <w:tcBorders>
              <w:top w:val="single" w:sz="4" w:space="0" w:color="000000"/>
              <w:left w:val="single" w:sz="24" w:space="0" w:color="000000"/>
              <w:bottom w:val="single" w:sz="4" w:space="0" w:color="000000"/>
              <w:right w:val="single" w:sz="4" w:space="0" w:color="000000"/>
            </w:tcBorders>
            <w:shd w:val="clear" w:color="auto" w:fill="auto"/>
            <w:tcMar>
              <w:top w:w="43" w:type="dxa"/>
              <w:left w:w="43" w:type="dxa"/>
              <w:bottom w:w="43" w:type="dxa"/>
              <w:right w:w="43" w:type="dxa"/>
            </w:tcMar>
            <w:vAlign w:val="center"/>
          </w:tcPr>
          <w:p w14:paraId="21FFE471" w14:textId="77777777" w:rsidR="00B23511" w:rsidRPr="00E75E15" w:rsidRDefault="00000000">
            <w:pPr>
              <w:widowControl w:val="0"/>
              <w:spacing w:line="240" w:lineRule="auto"/>
              <w:jc w:val="center"/>
              <w:rPr>
                <w:rFonts w:ascii="Times New Roman" w:eastAsia="Times New Roman" w:hAnsi="Times New Roman" w:cs="Times New Roman"/>
                <w:b/>
              </w:rPr>
            </w:pPr>
            <w:r w:rsidRPr="00E75E15">
              <w:rPr>
                <w:rFonts w:ascii="Times New Roman" w:eastAsia="Times New Roman" w:hAnsi="Times New Roman" w:cs="Times New Roman"/>
                <w:b/>
              </w:rPr>
              <w:t>DMH</w:t>
            </w:r>
          </w:p>
        </w:tc>
        <w:tc>
          <w:tcPr>
            <w:tcW w:w="4320" w:type="dxa"/>
            <w:gridSpan w:val="3"/>
            <w:tcBorders>
              <w:top w:val="single" w:sz="4" w:space="0" w:color="000000"/>
              <w:left w:val="single" w:sz="24" w:space="0" w:color="000000"/>
              <w:bottom w:val="single" w:sz="4" w:space="0" w:color="000000"/>
              <w:right w:val="single" w:sz="4" w:space="0" w:color="000000"/>
            </w:tcBorders>
            <w:shd w:val="clear" w:color="auto" w:fill="auto"/>
            <w:tcMar>
              <w:top w:w="43" w:type="dxa"/>
              <w:left w:w="43" w:type="dxa"/>
              <w:bottom w:w="43" w:type="dxa"/>
              <w:right w:w="43" w:type="dxa"/>
            </w:tcMar>
            <w:vAlign w:val="center"/>
          </w:tcPr>
          <w:p w14:paraId="70EB7FBD" w14:textId="77777777" w:rsidR="00B23511" w:rsidRPr="00E75E15" w:rsidRDefault="00000000">
            <w:pPr>
              <w:widowControl w:val="0"/>
              <w:spacing w:line="240" w:lineRule="auto"/>
              <w:jc w:val="center"/>
              <w:rPr>
                <w:rFonts w:ascii="Times New Roman" w:eastAsia="Times New Roman" w:hAnsi="Times New Roman" w:cs="Times New Roman"/>
                <w:b/>
              </w:rPr>
            </w:pPr>
            <w:r w:rsidRPr="00E75E15">
              <w:rPr>
                <w:rFonts w:ascii="Times New Roman" w:eastAsia="Times New Roman" w:hAnsi="Times New Roman" w:cs="Times New Roman"/>
                <w:b/>
              </w:rPr>
              <w:t>ARC</w:t>
            </w:r>
          </w:p>
        </w:tc>
      </w:tr>
      <w:tr w:rsidR="00B23511" w:rsidRPr="00E75E15" w14:paraId="14287808" w14:textId="77777777">
        <w:tc>
          <w:tcPr>
            <w:tcW w:w="1440" w:type="dxa"/>
            <w:tcBorders>
              <w:top w:val="single" w:sz="4" w:space="0" w:color="000000"/>
              <w:bottom w:val="single" w:sz="4" w:space="0" w:color="000000"/>
            </w:tcBorders>
            <w:shd w:val="clear" w:color="auto" w:fill="auto"/>
            <w:tcMar>
              <w:top w:w="43" w:type="dxa"/>
              <w:left w:w="43" w:type="dxa"/>
              <w:bottom w:w="43" w:type="dxa"/>
              <w:right w:w="43" w:type="dxa"/>
            </w:tcMar>
            <w:vAlign w:val="center"/>
          </w:tcPr>
          <w:p w14:paraId="62C4287F" w14:textId="77777777" w:rsidR="00B23511" w:rsidRPr="00E75E15" w:rsidRDefault="00000000">
            <w:pPr>
              <w:widowControl w:val="0"/>
              <w:spacing w:line="240" w:lineRule="auto"/>
              <w:jc w:val="center"/>
              <w:rPr>
                <w:rFonts w:ascii="Times New Roman" w:eastAsia="Times New Roman" w:hAnsi="Times New Roman" w:cs="Times New Roman"/>
                <w:b/>
              </w:rPr>
            </w:pPr>
            <w:r w:rsidRPr="00E75E15">
              <w:rPr>
                <w:rFonts w:ascii="Times New Roman" w:eastAsia="Times New Roman" w:hAnsi="Times New Roman" w:cs="Times New Roman"/>
                <w:b/>
              </w:rPr>
              <w:t>gene</w:t>
            </w:r>
          </w:p>
        </w:tc>
        <w:tc>
          <w:tcPr>
            <w:tcW w:w="1440" w:type="dxa"/>
            <w:tcBorders>
              <w:top w:val="single" w:sz="4" w:space="0" w:color="000000"/>
              <w:bottom w:val="single" w:sz="4" w:space="0" w:color="000000"/>
            </w:tcBorders>
            <w:shd w:val="clear" w:color="auto" w:fill="auto"/>
            <w:tcMar>
              <w:top w:w="43" w:type="dxa"/>
              <w:left w:w="43" w:type="dxa"/>
              <w:bottom w:w="43" w:type="dxa"/>
              <w:right w:w="43" w:type="dxa"/>
            </w:tcMar>
            <w:vAlign w:val="center"/>
          </w:tcPr>
          <w:p w14:paraId="1A526D0D" w14:textId="77777777" w:rsidR="00B23511" w:rsidRPr="00E75E15" w:rsidRDefault="00000000">
            <w:pPr>
              <w:widowControl w:val="0"/>
              <w:spacing w:line="240" w:lineRule="auto"/>
              <w:jc w:val="center"/>
              <w:rPr>
                <w:rFonts w:ascii="Times New Roman" w:eastAsia="Times New Roman" w:hAnsi="Times New Roman" w:cs="Times New Roman"/>
                <w:b/>
              </w:rPr>
            </w:pPr>
            <w:r w:rsidRPr="00E75E15">
              <w:rPr>
                <w:rFonts w:ascii="Times New Roman" w:eastAsia="Times New Roman" w:hAnsi="Times New Roman" w:cs="Times New Roman"/>
                <w:b/>
              </w:rPr>
              <w:t>log2FC</w:t>
            </w:r>
          </w:p>
        </w:tc>
        <w:tc>
          <w:tcPr>
            <w:tcW w:w="1440" w:type="dxa"/>
            <w:tcBorders>
              <w:top w:val="single" w:sz="4" w:space="0" w:color="000000"/>
              <w:bottom w:val="single" w:sz="4" w:space="0" w:color="000000"/>
              <w:right w:val="single" w:sz="24" w:space="0" w:color="000000"/>
            </w:tcBorders>
            <w:shd w:val="clear" w:color="auto" w:fill="auto"/>
            <w:tcMar>
              <w:top w:w="43" w:type="dxa"/>
              <w:left w:w="43" w:type="dxa"/>
              <w:bottom w:w="43" w:type="dxa"/>
              <w:right w:w="43" w:type="dxa"/>
            </w:tcMar>
            <w:vAlign w:val="center"/>
          </w:tcPr>
          <w:p w14:paraId="672E4830" w14:textId="77777777" w:rsidR="00B23511" w:rsidRPr="00E75E15" w:rsidRDefault="00000000">
            <w:pPr>
              <w:widowControl w:val="0"/>
              <w:spacing w:line="240" w:lineRule="auto"/>
              <w:jc w:val="center"/>
              <w:rPr>
                <w:rFonts w:ascii="Times New Roman" w:eastAsia="Times New Roman" w:hAnsi="Times New Roman" w:cs="Times New Roman"/>
                <w:b/>
              </w:rPr>
            </w:pPr>
            <w:r w:rsidRPr="00E75E15">
              <w:rPr>
                <w:rFonts w:ascii="Times New Roman" w:eastAsia="Times New Roman" w:hAnsi="Times New Roman" w:cs="Times New Roman"/>
                <w:b/>
              </w:rPr>
              <w:t>eFDR</w:t>
            </w:r>
          </w:p>
        </w:tc>
        <w:tc>
          <w:tcPr>
            <w:tcW w:w="1440" w:type="dxa"/>
            <w:tcBorders>
              <w:top w:val="single" w:sz="4" w:space="0" w:color="000000"/>
              <w:left w:val="single" w:sz="24" w:space="0" w:color="000000"/>
              <w:bottom w:val="single" w:sz="4" w:space="0" w:color="000000"/>
            </w:tcBorders>
            <w:shd w:val="clear" w:color="auto" w:fill="auto"/>
            <w:tcMar>
              <w:top w:w="43" w:type="dxa"/>
              <w:left w:w="43" w:type="dxa"/>
              <w:bottom w:w="43" w:type="dxa"/>
              <w:right w:w="43" w:type="dxa"/>
            </w:tcMar>
            <w:vAlign w:val="center"/>
          </w:tcPr>
          <w:p w14:paraId="759449AD" w14:textId="77777777" w:rsidR="00B23511" w:rsidRPr="00E75E15" w:rsidRDefault="00000000">
            <w:pPr>
              <w:widowControl w:val="0"/>
              <w:spacing w:line="240" w:lineRule="auto"/>
              <w:jc w:val="center"/>
              <w:rPr>
                <w:rFonts w:ascii="Times New Roman" w:eastAsia="Times New Roman" w:hAnsi="Times New Roman" w:cs="Times New Roman"/>
                <w:b/>
              </w:rPr>
            </w:pPr>
            <w:r w:rsidRPr="00E75E15">
              <w:rPr>
                <w:rFonts w:ascii="Times New Roman" w:eastAsia="Times New Roman" w:hAnsi="Times New Roman" w:cs="Times New Roman"/>
                <w:b/>
              </w:rPr>
              <w:t>gene</w:t>
            </w:r>
          </w:p>
        </w:tc>
        <w:tc>
          <w:tcPr>
            <w:tcW w:w="1440" w:type="dxa"/>
            <w:tcBorders>
              <w:top w:val="single" w:sz="4" w:space="0" w:color="000000"/>
              <w:bottom w:val="single" w:sz="4" w:space="0" w:color="000000"/>
            </w:tcBorders>
            <w:shd w:val="clear" w:color="auto" w:fill="auto"/>
            <w:tcMar>
              <w:top w:w="43" w:type="dxa"/>
              <w:left w:w="43" w:type="dxa"/>
              <w:bottom w:w="43" w:type="dxa"/>
              <w:right w:w="43" w:type="dxa"/>
            </w:tcMar>
            <w:vAlign w:val="center"/>
          </w:tcPr>
          <w:p w14:paraId="54DB75CC" w14:textId="77777777" w:rsidR="00B23511" w:rsidRPr="00E75E15" w:rsidRDefault="00000000">
            <w:pPr>
              <w:widowControl w:val="0"/>
              <w:spacing w:line="240" w:lineRule="auto"/>
              <w:jc w:val="center"/>
              <w:rPr>
                <w:rFonts w:ascii="Times New Roman" w:eastAsia="Times New Roman" w:hAnsi="Times New Roman" w:cs="Times New Roman"/>
                <w:b/>
              </w:rPr>
            </w:pPr>
            <w:r w:rsidRPr="00E75E15">
              <w:rPr>
                <w:rFonts w:ascii="Times New Roman" w:eastAsia="Times New Roman" w:hAnsi="Times New Roman" w:cs="Times New Roman"/>
                <w:b/>
              </w:rPr>
              <w:t>log2FC</w:t>
            </w:r>
          </w:p>
        </w:tc>
        <w:tc>
          <w:tcPr>
            <w:tcW w:w="1440" w:type="dxa"/>
            <w:tcBorders>
              <w:top w:val="single" w:sz="4" w:space="0" w:color="000000"/>
              <w:bottom w:val="single" w:sz="4" w:space="0" w:color="000000"/>
              <w:right w:val="single" w:sz="24" w:space="0" w:color="000000"/>
            </w:tcBorders>
            <w:shd w:val="clear" w:color="auto" w:fill="auto"/>
            <w:tcMar>
              <w:top w:w="43" w:type="dxa"/>
              <w:left w:w="43" w:type="dxa"/>
              <w:bottom w:w="43" w:type="dxa"/>
              <w:right w:w="43" w:type="dxa"/>
            </w:tcMar>
            <w:vAlign w:val="center"/>
          </w:tcPr>
          <w:p w14:paraId="0242E802" w14:textId="77777777" w:rsidR="00B23511" w:rsidRPr="00E75E15" w:rsidRDefault="00000000">
            <w:pPr>
              <w:widowControl w:val="0"/>
              <w:spacing w:line="240" w:lineRule="auto"/>
              <w:jc w:val="center"/>
              <w:rPr>
                <w:rFonts w:ascii="Times New Roman" w:eastAsia="Times New Roman" w:hAnsi="Times New Roman" w:cs="Times New Roman"/>
                <w:b/>
              </w:rPr>
            </w:pPr>
            <w:r w:rsidRPr="00E75E15">
              <w:rPr>
                <w:rFonts w:ascii="Times New Roman" w:eastAsia="Times New Roman" w:hAnsi="Times New Roman" w:cs="Times New Roman"/>
                <w:b/>
              </w:rPr>
              <w:t>eFDR</w:t>
            </w:r>
          </w:p>
        </w:tc>
        <w:tc>
          <w:tcPr>
            <w:tcW w:w="1440" w:type="dxa"/>
            <w:tcBorders>
              <w:top w:val="single" w:sz="4" w:space="0" w:color="000000"/>
              <w:left w:val="single" w:sz="24" w:space="0" w:color="000000"/>
              <w:bottom w:val="single" w:sz="4" w:space="0" w:color="000000"/>
            </w:tcBorders>
            <w:shd w:val="clear" w:color="auto" w:fill="auto"/>
            <w:tcMar>
              <w:top w:w="43" w:type="dxa"/>
              <w:left w:w="43" w:type="dxa"/>
              <w:bottom w:w="43" w:type="dxa"/>
              <w:right w:w="43" w:type="dxa"/>
            </w:tcMar>
            <w:vAlign w:val="center"/>
          </w:tcPr>
          <w:p w14:paraId="5BCB407C" w14:textId="77777777" w:rsidR="00B23511" w:rsidRPr="00E75E15" w:rsidRDefault="00000000">
            <w:pPr>
              <w:widowControl w:val="0"/>
              <w:spacing w:line="240" w:lineRule="auto"/>
              <w:jc w:val="center"/>
              <w:rPr>
                <w:rFonts w:ascii="Times New Roman" w:eastAsia="Times New Roman" w:hAnsi="Times New Roman" w:cs="Times New Roman"/>
                <w:b/>
              </w:rPr>
            </w:pPr>
            <w:r w:rsidRPr="00E75E15">
              <w:rPr>
                <w:rFonts w:ascii="Times New Roman" w:eastAsia="Times New Roman" w:hAnsi="Times New Roman" w:cs="Times New Roman"/>
                <w:b/>
              </w:rPr>
              <w:t>gene</w:t>
            </w:r>
          </w:p>
        </w:tc>
        <w:tc>
          <w:tcPr>
            <w:tcW w:w="1440" w:type="dxa"/>
            <w:tcBorders>
              <w:top w:val="single" w:sz="4" w:space="0" w:color="000000"/>
              <w:bottom w:val="single" w:sz="4" w:space="0" w:color="000000"/>
            </w:tcBorders>
            <w:shd w:val="clear" w:color="auto" w:fill="auto"/>
            <w:tcMar>
              <w:top w:w="43" w:type="dxa"/>
              <w:left w:w="43" w:type="dxa"/>
              <w:bottom w:w="43" w:type="dxa"/>
              <w:right w:w="43" w:type="dxa"/>
            </w:tcMar>
            <w:vAlign w:val="center"/>
          </w:tcPr>
          <w:p w14:paraId="1F75B1E3" w14:textId="77777777" w:rsidR="00B23511" w:rsidRPr="00E75E15" w:rsidRDefault="00000000">
            <w:pPr>
              <w:widowControl w:val="0"/>
              <w:spacing w:line="240" w:lineRule="auto"/>
              <w:jc w:val="center"/>
              <w:rPr>
                <w:rFonts w:ascii="Times New Roman" w:eastAsia="Times New Roman" w:hAnsi="Times New Roman" w:cs="Times New Roman"/>
                <w:b/>
              </w:rPr>
            </w:pPr>
            <w:r w:rsidRPr="00E75E15">
              <w:rPr>
                <w:rFonts w:ascii="Times New Roman" w:eastAsia="Times New Roman" w:hAnsi="Times New Roman" w:cs="Times New Roman"/>
                <w:b/>
              </w:rPr>
              <w:t>log2FC</w:t>
            </w:r>
          </w:p>
        </w:tc>
        <w:tc>
          <w:tcPr>
            <w:tcW w:w="1440" w:type="dxa"/>
            <w:tcBorders>
              <w:top w:val="single" w:sz="4" w:space="0" w:color="000000"/>
              <w:bottom w:val="single" w:sz="4" w:space="0" w:color="000000"/>
            </w:tcBorders>
            <w:shd w:val="clear" w:color="auto" w:fill="auto"/>
            <w:tcMar>
              <w:top w:w="43" w:type="dxa"/>
              <w:left w:w="43" w:type="dxa"/>
              <w:bottom w:w="43" w:type="dxa"/>
              <w:right w:w="43" w:type="dxa"/>
            </w:tcMar>
            <w:vAlign w:val="center"/>
          </w:tcPr>
          <w:p w14:paraId="01361DF9" w14:textId="77777777" w:rsidR="00B23511" w:rsidRPr="00E75E15" w:rsidRDefault="00000000">
            <w:pPr>
              <w:widowControl w:val="0"/>
              <w:spacing w:line="240" w:lineRule="auto"/>
              <w:jc w:val="center"/>
              <w:rPr>
                <w:rFonts w:ascii="Times New Roman" w:eastAsia="Times New Roman" w:hAnsi="Times New Roman" w:cs="Times New Roman"/>
                <w:b/>
              </w:rPr>
            </w:pPr>
            <w:r w:rsidRPr="00E75E15">
              <w:rPr>
                <w:rFonts w:ascii="Times New Roman" w:eastAsia="Times New Roman" w:hAnsi="Times New Roman" w:cs="Times New Roman"/>
                <w:b/>
              </w:rPr>
              <w:t>eFDR</w:t>
            </w:r>
          </w:p>
        </w:tc>
      </w:tr>
      <w:tr w:rsidR="00B23511" w:rsidRPr="00E75E15" w14:paraId="6E399593"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F918294"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Npvf</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C4B4B88"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-2.13038</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2F9D87E2"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0.0438</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4972BD05"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Gabpb2</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1CA5370"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-2.14412</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59EFDBBC"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0.0014</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61CD9249"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Irx2</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671F64E"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1.978426</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02C481"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0.0024</w:t>
            </w:r>
          </w:p>
        </w:tc>
      </w:tr>
      <w:tr w:rsidR="00B23511" w:rsidRPr="00E75E15" w14:paraId="2E4F84DD"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22C2D67"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Hmx2</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3D68BC7"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-1.93924</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38BD3672"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0.013</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4DDE957F"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Izumo1</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F19FA0F"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-1.78528</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529AF1E2"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0.0114</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1D3E3C40"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Micall1</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79A3239"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1.660793</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1859FC7"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0.0142</w:t>
            </w:r>
          </w:p>
        </w:tc>
      </w:tr>
      <w:tr w:rsidR="00B23511" w:rsidRPr="00E75E15" w14:paraId="17EBC60B"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BA8D798"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Mc3r</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63BCBB"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-1.93781</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284C3BF5"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0.0004</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0FA500AC"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Cd68</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1771B8"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-1.76592</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46727244"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0.0004</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2F966D0D"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Aqp1</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8E2571A"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-1.65694</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E344FF1"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0.024</w:t>
            </w:r>
          </w:p>
        </w:tc>
      </w:tr>
      <w:tr w:rsidR="00B23511" w:rsidRPr="00E75E15" w14:paraId="076C651F"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B194047"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Ghrh</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2C3CB0C"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-1.93195</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4C514A60"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0.0074</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659F157F"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Npw</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3089410"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1.758465</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1B24E502"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0.037</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7172443B"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Trim10</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7B088B7"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-1.65321</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A79A2EE"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0.0056</w:t>
            </w:r>
          </w:p>
        </w:tc>
      </w:tr>
      <w:tr w:rsidR="00B23511" w:rsidRPr="00E75E15" w14:paraId="3D91B2FA"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47015E0"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Nmb</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B041462"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-1.86515</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268EBD8F"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0.0026</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4D0AD524"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Lrp2</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39F96C7"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1.668749</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0C681BD3"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0.0118</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110024BA"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Steap1</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8DBA74"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1.627907</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136C789"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0.0266</w:t>
            </w:r>
          </w:p>
        </w:tc>
      </w:tr>
      <w:tr w:rsidR="00B23511" w:rsidRPr="00E75E15" w14:paraId="68E7B857"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98C035B"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Smim32</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696811"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1.864586</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05CA1BE3"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0.0096</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359C806C"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Tagln</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FF78879"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-1.64991</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663B709B"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0.0026</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115BE4AB"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Il18r1</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D603F5A"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1.626486</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06B2142"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0.0172</w:t>
            </w:r>
          </w:p>
        </w:tc>
      </w:tr>
      <w:tr w:rsidR="00B23511" w:rsidRPr="00E75E15" w14:paraId="1818C362"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C97D9DE"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Ecm1</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88DE195"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-1.75846</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4613D2FE"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0.0008</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01922727"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Lrrc9</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EF4C494"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1.529791</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6F26518F"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0.034</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2C13C08E"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Myo3a</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CCEC6C1"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-1.54983</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3AB924F"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0.0046</w:t>
            </w:r>
          </w:p>
        </w:tc>
      </w:tr>
      <w:tr w:rsidR="00B23511" w:rsidRPr="00E75E15" w14:paraId="554F9EA3"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90C429F"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Zic4</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6649432"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-1.75188</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4B96121D"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0.0046</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5741B51B"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Cbl</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ECDAD18"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-1.51526</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037634DC"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0.0186</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68D685CE"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Fbxo43</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8D81E49"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1.53378</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60E7FF4"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0.0164</w:t>
            </w:r>
          </w:p>
        </w:tc>
      </w:tr>
      <w:tr w:rsidR="00B23511" w:rsidRPr="00E75E15" w14:paraId="632511D6"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A85BBBD"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Alkbh8</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7802A69"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-1.73714</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7AE7D56F"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0.0028</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2AF3F49E"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Arhgap28</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BFC1D73"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-1.50624</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4202ACA1"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0.0246</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7BA56D08"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Edn3</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454D63A"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-1.52287</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5AB2E8A"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0.0268</w:t>
            </w:r>
          </w:p>
        </w:tc>
      </w:tr>
      <w:tr w:rsidR="00B23511" w:rsidRPr="00E75E15" w14:paraId="7A714858"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02A374E"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Ghdc</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E9868C8"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1.679592</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07F8720A"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0.0012</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613B91A5"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Smad6</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54F40A1"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-1.48152</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0C6F4A97"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0.0044</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248D3E20"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Rgs22</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9951F1A"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1.487865</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D6FB3E"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0.0272</w:t>
            </w:r>
          </w:p>
        </w:tc>
      </w:tr>
      <w:tr w:rsidR="00B23511" w:rsidRPr="00E75E15" w14:paraId="6E0539AC"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6F15B77"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Diaph3</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44EDC0A"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-1.62275</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705C567A"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0.0168</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216E8746"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Exoc3l2</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8485323"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-1.47295</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79AA1CDC"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0.0204</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0E221824"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Ncf2</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04C610"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-1.45757</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B2F3B5D"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0.0096</w:t>
            </w:r>
          </w:p>
        </w:tc>
      </w:tr>
      <w:tr w:rsidR="00B23511" w:rsidRPr="00E75E15" w14:paraId="0B7FC303"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98261FC"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Bmp3</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F5ECF7"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1.585725</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6A90B990"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0.0018</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4D2BB0A3"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Ctxnd1</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0244990"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-1.45043</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2B26E5D1"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0.0164</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0E4B47DD"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Etfbkmt</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10A0F4"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-1.44306</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DFBAF46"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0.0066</w:t>
            </w:r>
          </w:p>
        </w:tc>
      </w:tr>
      <w:tr w:rsidR="00B23511" w:rsidRPr="00E75E15" w14:paraId="04B36416"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F68EE81"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Nmu</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792AF58"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1.575957</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115D8CB4"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0.0072</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4CEB7EAD"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Gpr50</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678FEA"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1.429156</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7D08A80C"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0.0176</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5023BC5C"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Trmt2b</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5FDFF4D"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-1.43991</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37D355"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0.0272</w:t>
            </w:r>
          </w:p>
        </w:tc>
      </w:tr>
      <w:tr w:rsidR="00B23511" w:rsidRPr="00E75E15" w14:paraId="3ABD5C7A"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1134B5F"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Acta1</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C3F823C"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-1.53146</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7B74020C"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0.044</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2C7F86CA"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Col1a1</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362B3BF"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-1.42618</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6C968159"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0.0312</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64ED20CD"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Morn5</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81040D8"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1.427706</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2949FA6"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0.027</w:t>
            </w:r>
          </w:p>
        </w:tc>
      </w:tr>
      <w:tr w:rsidR="00B23511" w:rsidRPr="00E75E15" w14:paraId="4FAA2755"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D917E81"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Gpr50</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1AEC799"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-1.51998</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492BFCEB"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0.0384</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37929006"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Evpl</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CAC090E"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-1.40366</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3EE40D84"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0.0408</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4DE759F8"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Siglec1</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F7350D7"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-1.42272</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5F12877"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0.017</w:t>
            </w:r>
          </w:p>
        </w:tc>
      </w:tr>
      <w:tr w:rsidR="00B23511" w:rsidRPr="00E75E15" w14:paraId="044AF3EF"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B3DA5E"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Clrn1</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7CD36F9"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-1.51716</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66C2945E"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0.0364</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51C2D6E7"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Gas2l2</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ABB4651"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1.403227</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3D856891"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0.045</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42096608"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Rac2</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9C1532"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-1.4084</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7E62CA0"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0.0288</w:t>
            </w:r>
          </w:p>
        </w:tc>
      </w:tr>
      <w:tr w:rsidR="00B23511" w:rsidRPr="00E75E15" w14:paraId="2EA8EF18"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A7CCA53"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Krt77</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06ABC54"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-1.46919</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09C7A4C2"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0.0246</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4B084978"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Atp7b</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7F753C4"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1.367329</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06555183"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0.0006</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1224B0C3"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Eln</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49DD5B9"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1.391259</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61CEC7A"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0.005</w:t>
            </w:r>
          </w:p>
        </w:tc>
      </w:tr>
      <w:tr w:rsidR="00B23511" w:rsidRPr="00E75E15" w14:paraId="1D73E80B"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1E93F57"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Irs4</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C2FBB5C"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-1.45883</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1E33683B"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0.0054</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35324E91"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Crtam</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5FCCDD1"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1.357569</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2E70AD28"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0.0202</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33AFB664"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Jmjd4</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6F4F284"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1.387232</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E08AA24"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0.017</w:t>
            </w:r>
          </w:p>
        </w:tc>
      </w:tr>
      <w:tr w:rsidR="00B23511" w:rsidRPr="00E75E15" w14:paraId="59E9BDAD"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299B3FC"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Isl1</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D9A70AF"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-1.43804</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08E1D4E1"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0.0234</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5AB0640C"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Krtcap3</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BFB15EC"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1.356831</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2A84D85A"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0.0018</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456CB176"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Ptgis</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5E0E19E"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-1.34655</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F3C5DDD"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0.0048</w:t>
            </w:r>
          </w:p>
        </w:tc>
      </w:tr>
      <w:tr w:rsidR="00B23511" w:rsidRPr="00E75E15" w14:paraId="6AAA8F9A"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71E803E"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Slc7a14</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82AC807"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-1.43257</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4C4897F9"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0.0136</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17FB06B9"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Dock6</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43DA3D4"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-1.35372</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1BC2AD79"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0.0148</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1685A9F1"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Atp8b1</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0D531C2"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-1.3178</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DE2A396"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0.0154</w:t>
            </w:r>
          </w:p>
        </w:tc>
      </w:tr>
    </w:tbl>
    <w:p w14:paraId="2C53E62E" w14:textId="77777777" w:rsidR="00B23511" w:rsidRPr="00E75E15" w:rsidRDefault="00B23511">
      <w:pPr>
        <w:spacing w:after="160" w:line="480" w:lineRule="auto"/>
        <w:rPr>
          <w:rFonts w:ascii="Times New Roman" w:eastAsia="Times New Roman" w:hAnsi="Times New Roman" w:cs="Times New Roman"/>
          <w:sz w:val="24"/>
          <w:szCs w:val="24"/>
        </w:rPr>
      </w:pPr>
    </w:p>
    <w:tbl>
      <w:tblPr>
        <w:tblStyle w:val="a3"/>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B23511" w:rsidRPr="00E75E15" w14:paraId="376937D2" w14:textId="77777777">
        <w:tc>
          <w:tcPr>
            <w:tcW w:w="12960" w:type="dxa"/>
            <w:shd w:val="clear" w:color="auto" w:fill="auto"/>
            <w:tcMar>
              <w:top w:w="100" w:type="dxa"/>
              <w:left w:w="100" w:type="dxa"/>
              <w:bottom w:w="100" w:type="dxa"/>
              <w:right w:w="100" w:type="dxa"/>
            </w:tcMar>
          </w:tcPr>
          <w:p w14:paraId="29B24762" w14:textId="77777777" w:rsidR="00B23511" w:rsidRPr="00E75E15" w:rsidRDefault="00000000">
            <w:pPr>
              <w:widowControl w:val="0"/>
              <w:spacing w:line="240" w:lineRule="auto"/>
              <w:rPr>
                <w:rFonts w:ascii="Times New Roman" w:eastAsia="Times New Roman" w:hAnsi="Times New Roman" w:cs="Times New Roman"/>
                <w:sz w:val="20"/>
                <w:szCs w:val="20"/>
              </w:rPr>
            </w:pPr>
            <w:r w:rsidRPr="00E75E15">
              <w:rPr>
                <w:rFonts w:ascii="Times New Roman" w:eastAsia="Times New Roman" w:hAnsi="Times New Roman" w:cs="Times New Roman"/>
                <w:sz w:val="20"/>
                <w:szCs w:val="20"/>
              </w:rPr>
              <w:t>Table 1. Summary of top highly differentially expressed genes across all regions analyzed. LH: lateral hypothalamus, DMH: dorsomedial hypothalamus, ARC: arcuate nucleus of the hypothalamus. log2FC: log2 fold change in expression between groups. Positive values indicate lower levels of transcript in Stressed subjects; negative values indicate higher levels in Stressed subjects. eFDR: enhanced false discovery rate, or permuted p-value.</w:t>
            </w:r>
          </w:p>
        </w:tc>
      </w:tr>
    </w:tbl>
    <w:p w14:paraId="5A8F3620" w14:textId="77777777" w:rsidR="00B23511" w:rsidRPr="00E75E15" w:rsidRDefault="00B23511">
      <w:pPr>
        <w:spacing w:after="160" w:line="480" w:lineRule="auto"/>
        <w:rPr>
          <w:rFonts w:ascii="Times New Roman" w:eastAsia="Times New Roman" w:hAnsi="Times New Roman" w:cs="Times New Roman"/>
          <w:sz w:val="24"/>
          <w:szCs w:val="24"/>
        </w:rPr>
        <w:sectPr w:rsidR="00B23511" w:rsidRPr="00E75E15">
          <w:pgSz w:w="15840" w:h="12240" w:orient="landscape"/>
          <w:pgMar w:top="810" w:right="1440" w:bottom="1440" w:left="1440" w:header="720" w:footer="720" w:gutter="0"/>
          <w:cols w:space="720"/>
        </w:sectPr>
      </w:pPr>
    </w:p>
    <w:p w14:paraId="431C445D" w14:textId="77777777" w:rsidR="00B23511" w:rsidRPr="00E75E15" w:rsidRDefault="00B23511">
      <w:pPr>
        <w:widowControl w:val="0"/>
        <w:spacing w:after="160" w:line="240" w:lineRule="auto"/>
        <w:rPr>
          <w:rFonts w:ascii="Times New Roman" w:eastAsia="Times New Roman" w:hAnsi="Times New Roman" w:cs="Times New Roman"/>
          <w:sz w:val="2"/>
          <w:szCs w:val="2"/>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125"/>
        <w:gridCol w:w="1590"/>
        <w:gridCol w:w="5265"/>
      </w:tblGrid>
      <w:tr w:rsidR="00B23511" w:rsidRPr="00E75E15" w14:paraId="38EA56FF" w14:textId="77777777">
        <w:trPr>
          <w:trHeight w:val="326"/>
        </w:trPr>
        <w:tc>
          <w:tcPr>
            <w:tcW w:w="9360" w:type="dxa"/>
            <w:gridSpan w:val="4"/>
            <w:tcBorders>
              <w:top w:val="nil"/>
              <w:left w:val="nil"/>
              <w:bottom w:val="single" w:sz="4" w:space="0" w:color="000000"/>
              <w:right w:val="nil"/>
            </w:tcBorders>
            <w:tcMar>
              <w:top w:w="43" w:type="dxa"/>
              <w:left w:w="43" w:type="dxa"/>
              <w:bottom w:w="43" w:type="dxa"/>
              <w:right w:w="43" w:type="dxa"/>
            </w:tcMar>
          </w:tcPr>
          <w:p w14:paraId="2E777C5A" w14:textId="77777777" w:rsidR="00B23511" w:rsidRPr="00E75E15" w:rsidRDefault="00000000">
            <w:pPr>
              <w:widowControl w:val="0"/>
              <w:spacing w:line="240" w:lineRule="auto"/>
              <w:rPr>
                <w:rFonts w:ascii="Times New Roman" w:eastAsia="Times New Roman" w:hAnsi="Times New Roman" w:cs="Times New Roman"/>
                <w:b/>
              </w:rPr>
            </w:pPr>
            <w:r w:rsidRPr="00E75E15">
              <w:rPr>
                <w:rFonts w:ascii="Times New Roman" w:eastAsia="Times New Roman" w:hAnsi="Times New Roman" w:cs="Times New Roman"/>
                <w:b/>
              </w:rPr>
              <w:t>Table 2. Differential Gene Expression Region Overlaps</w:t>
            </w:r>
          </w:p>
        </w:tc>
      </w:tr>
      <w:tr w:rsidR="00B23511" w:rsidRPr="00E75E15" w14:paraId="635549FC"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118475C" w14:textId="77777777" w:rsidR="00B23511" w:rsidRPr="00E75E15" w:rsidRDefault="00000000">
            <w:pPr>
              <w:widowControl w:val="0"/>
              <w:spacing w:line="240" w:lineRule="auto"/>
              <w:rPr>
                <w:rFonts w:ascii="Times New Roman" w:eastAsia="Times New Roman" w:hAnsi="Times New Roman" w:cs="Times New Roman"/>
                <w:b/>
              </w:rPr>
            </w:pPr>
            <w:r w:rsidRPr="00E75E15">
              <w:rPr>
                <w:rFonts w:ascii="Times New Roman" w:eastAsia="Times New Roman" w:hAnsi="Times New Roman" w:cs="Times New Roman"/>
                <w:b/>
              </w:rPr>
              <w:t>Gene</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B765C47" w14:textId="77777777" w:rsidR="00B23511" w:rsidRPr="00E75E15" w:rsidRDefault="00000000">
            <w:pPr>
              <w:widowControl w:val="0"/>
              <w:spacing w:line="240" w:lineRule="auto"/>
              <w:rPr>
                <w:rFonts w:ascii="Times New Roman" w:eastAsia="Times New Roman" w:hAnsi="Times New Roman" w:cs="Times New Roman"/>
                <w:b/>
              </w:rPr>
            </w:pPr>
            <w:r w:rsidRPr="00E75E15">
              <w:rPr>
                <w:rFonts w:ascii="Times New Roman" w:eastAsia="Times New Roman" w:hAnsi="Times New Roman" w:cs="Times New Roman"/>
                <w:b/>
              </w:rPr>
              <w:t>Direction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6BEF10D" w14:textId="77777777" w:rsidR="00B23511" w:rsidRPr="00E75E15" w:rsidRDefault="00000000">
            <w:pPr>
              <w:widowControl w:val="0"/>
              <w:spacing w:line="240" w:lineRule="auto"/>
              <w:rPr>
                <w:rFonts w:ascii="Times New Roman" w:eastAsia="Times New Roman" w:hAnsi="Times New Roman" w:cs="Times New Roman"/>
                <w:b/>
              </w:rPr>
            </w:pPr>
            <w:r w:rsidRPr="00E75E15">
              <w:rPr>
                <w:rFonts w:ascii="Times New Roman" w:eastAsia="Times New Roman" w:hAnsi="Times New Roman" w:cs="Times New Roman"/>
                <w:b/>
              </w:rPr>
              <w:t>Regions</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63250DE" w14:textId="77777777" w:rsidR="00B23511" w:rsidRPr="00E75E15" w:rsidRDefault="00000000">
            <w:pPr>
              <w:widowControl w:val="0"/>
              <w:spacing w:line="240" w:lineRule="auto"/>
              <w:rPr>
                <w:rFonts w:ascii="Times New Roman" w:eastAsia="Times New Roman" w:hAnsi="Times New Roman" w:cs="Times New Roman"/>
                <w:b/>
              </w:rPr>
            </w:pPr>
            <w:r w:rsidRPr="00E75E15">
              <w:rPr>
                <w:rFonts w:ascii="Times New Roman" w:eastAsia="Times New Roman" w:hAnsi="Times New Roman" w:cs="Times New Roman"/>
                <w:b/>
              </w:rPr>
              <w:t>Description</w:t>
            </w:r>
          </w:p>
        </w:tc>
      </w:tr>
      <w:tr w:rsidR="00B23511" w:rsidRPr="00E75E15" w14:paraId="01EE9544"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A04339E"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Zfp36</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E3D23E4"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A96C67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DMH,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5484E3F"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zinc finger protein 36</w:t>
            </w:r>
          </w:p>
        </w:tc>
      </w:tr>
      <w:tr w:rsidR="00B23511" w:rsidRPr="00E75E15" w14:paraId="570E58F2"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8E10508"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Apcdd1</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8AC7A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619D737"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DMH</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8621D64"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adenomatosis polyposis coli down-regulated 1</w:t>
            </w:r>
          </w:p>
        </w:tc>
      </w:tr>
      <w:tr w:rsidR="00B23511" w:rsidRPr="00E75E15" w14:paraId="249FF295"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773107"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Armh3</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3A0AFB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681AE9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8147A2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armadillo-like helical domain containing 3</w:t>
            </w:r>
          </w:p>
        </w:tc>
      </w:tr>
      <w:tr w:rsidR="00B23511" w:rsidRPr="00E75E15" w14:paraId="3EC048F7"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729F6A0"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Clec2l</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FE73052"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3356540"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DMH</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27A0937"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C-type lectin domain family 2, member L</w:t>
            </w:r>
          </w:p>
        </w:tc>
      </w:tr>
      <w:tr w:rsidR="00B23511" w:rsidRPr="00E75E15" w14:paraId="307CD937"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1BBF83B"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Cpne1</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32EDAB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78A15F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779A35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copine I</w:t>
            </w:r>
          </w:p>
        </w:tc>
      </w:tr>
      <w:tr w:rsidR="00B23511" w:rsidRPr="00E75E15" w14:paraId="582D9057"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0A5CFD3"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Ebpl</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422980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E2E7412"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727AD3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emopamil binding protein-like</w:t>
            </w:r>
          </w:p>
        </w:tc>
      </w:tr>
      <w:tr w:rsidR="00B23511" w:rsidRPr="00E75E15" w14:paraId="1AFF8B3C"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70746A0"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Ecpas</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D2D4CF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DEEFF64"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4C880B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Ecm29 proteasome adaptor and scaffold</w:t>
            </w:r>
          </w:p>
        </w:tc>
      </w:tr>
      <w:tr w:rsidR="00B23511" w:rsidRPr="00E75E15" w14:paraId="4C609D0B"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88D3597"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Entpd3</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C4DD5E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114801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DMH</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A821B5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ectonucleoside triphosphate diphosphohydrolase 3</w:t>
            </w:r>
          </w:p>
        </w:tc>
      </w:tr>
      <w:tr w:rsidR="00B23511" w:rsidRPr="00E75E15" w14:paraId="0F302C9D"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1759C2B"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Gpc1</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7F4EA0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9C3B2B0"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DMH</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3AAEC1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glypican 1</w:t>
            </w:r>
          </w:p>
        </w:tc>
      </w:tr>
      <w:tr w:rsidR="00B23511" w:rsidRPr="00E75E15" w14:paraId="68F747D2"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62C38FC"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Ltbr</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992ECFF"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49AB720"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E6FFAD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lymphotoxin B receptor</w:t>
            </w:r>
          </w:p>
        </w:tc>
      </w:tr>
      <w:tr w:rsidR="00B23511" w:rsidRPr="00E75E15" w14:paraId="12D5EA1D"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18B4031"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Mrpl3</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62A9024"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9E85DC4"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261F3E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mitochondrial ribosomal protein L3</w:t>
            </w:r>
          </w:p>
        </w:tc>
      </w:tr>
      <w:tr w:rsidR="00B23511" w:rsidRPr="00E75E15" w14:paraId="4E734E20"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383192D"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Mtmr10</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769A77E"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B4B65F0"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DMH</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69287DF"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myotubularin related protein 10</w:t>
            </w:r>
          </w:p>
        </w:tc>
      </w:tr>
      <w:tr w:rsidR="00B23511" w:rsidRPr="00E75E15" w14:paraId="4BBFD6D9"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88912D8"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Nek8</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A4AD8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1A2E632"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165DC4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NIMA (never in mitosis gene a)-related expressed kinase 8</w:t>
            </w:r>
          </w:p>
        </w:tc>
      </w:tr>
      <w:tr w:rsidR="00B23511" w:rsidRPr="00E75E15" w14:paraId="33A59A23"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9A21AE0"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Npr1</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AEDC742"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F021E8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DMH</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F5AA62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natriuretic peptide receptor 1</w:t>
            </w:r>
          </w:p>
        </w:tc>
      </w:tr>
      <w:tr w:rsidR="00B23511" w:rsidRPr="00E75E15" w14:paraId="76B6DD2F"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316F45F"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Sprn</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2A9E18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A3E3CE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DMH</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0B26419"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shadow of prion protein</w:t>
            </w:r>
          </w:p>
        </w:tc>
      </w:tr>
      <w:tr w:rsidR="00B23511" w:rsidRPr="00E75E15" w14:paraId="2B37D024"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0504690"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Tchh</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2AFF12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2C271A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88E03E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trichohyalin</w:t>
            </w:r>
          </w:p>
        </w:tc>
      </w:tr>
      <w:tr w:rsidR="00B23511" w:rsidRPr="00E75E15" w14:paraId="3B31B49F"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738C328"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Angptl4</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7A3935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958918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5D4AE5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angiopoietin-like 4</w:t>
            </w:r>
          </w:p>
        </w:tc>
      </w:tr>
      <w:tr w:rsidR="00B23511" w:rsidRPr="00E75E15" w14:paraId="29437EC9"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EB1040"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Aopep</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0DB54F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9569EC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B153FF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aminopeptidase O</w:t>
            </w:r>
          </w:p>
        </w:tc>
      </w:tr>
      <w:tr w:rsidR="00B23511" w:rsidRPr="00E75E15" w14:paraId="7FA3D3AE"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D63A456"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Ccdc18</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2A43D6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1D36650"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DMH</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608EE1E"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coiled-coil domain containing 18</w:t>
            </w:r>
          </w:p>
        </w:tc>
      </w:tr>
      <w:tr w:rsidR="00B23511" w:rsidRPr="00E75E15" w14:paraId="7FA865CC"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AFCB1CC"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Clk1</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3DB50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9579AA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DMH</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0D5A85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CDC-like kinase 1</w:t>
            </w:r>
          </w:p>
        </w:tc>
      </w:tr>
      <w:tr w:rsidR="00B23511" w:rsidRPr="00E75E15" w14:paraId="1C182A02"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A5652E5"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Fos</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B70AE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52A5FE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5AD8019"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FBJ osteosarcoma oncogene</w:t>
            </w:r>
          </w:p>
        </w:tc>
      </w:tr>
      <w:tr w:rsidR="00B23511" w:rsidRPr="00E75E15" w14:paraId="7014C586"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61049FE"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Hmgn5</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9F3891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EDFF05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DMH</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013BBB4"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high-mobility group nucleosome binding domain 5</w:t>
            </w:r>
          </w:p>
        </w:tc>
      </w:tr>
      <w:tr w:rsidR="00B23511" w:rsidRPr="00E75E15" w14:paraId="567D39EA"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7EA9D6A"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Icam2</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EA5CF8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A17A76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87E75E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intercellular adhesion molecule 2</w:t>
            </w:r>
          </w:p>
        </w:tc>
      </w:tr>
      <w:tr w:rsidR="00B23511" w:rsidRPr="00E75E15" w14:paraId="771CEDC5"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D23A58B"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Med9</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B928FA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09EB2F2"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343B25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mediator complex subunit 9</w:t>
            </w:r>
          </w:p>
        </w:tc>
      </w:tr>
      <w:tr w:rsidR="00B23511" w:rsidRPr="00E75E15" w14:paraId="4526BDDD"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DA93AE"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Nek3</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B60507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8FB4E9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C03497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NIMA (never in mitosis gene a)-related expressed kinase 3</w:t>
            </w:r>
          </w:p>
        </w:tc>
      </w:tr>
      <w:tr w:rsidR="00B23511" w:rsidRPr="00E75E15" w14:paraId="7CCE02C2"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A4E9A61"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Nt5c2</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48565F0"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A474D6"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DMH</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C232EF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5'-nucleotidase, cytosolic II</w:t>
            </w:r>
          </w:p>
        </w:tc>
      </w:tr>
      <w:tr w:rsidR="00B23511" w:rsidRPr="00E75E15" w14:paraId="76AD44CE"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64CD9CC"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Parp12</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4C0A66"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37DA1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EB6D24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poly (ADP-ribose) polymerase family, member 12</w:t>
            </w:r>
          </w:p>
        </w:tc>
      </w:tr>
      <w:tr w:rsidR="00B23511" w:rsidRPr="00E75E15" w14:paraId="5BB3FCCC"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0358566"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Pex12</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04B8FE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DCF99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DMH</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15F2FA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peroxisomal biogenesis factor 12</w:t>
            </w:r>
          </w:p>
        </w:tc>
      </w:tr>
      <w:tr w:rsidR="00B23511" w:rsidRPr="00E75E15" w14:paraId="7FAC44C0"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2F603DD"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Rad23a</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2FF026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C0B6649"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DMH</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5FBB9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RAD23 homolog A, nucleotide excision repair protein</w:t>
            </w:r>
          </w:p>
        </w:tc>
      </w:tr>
      <w:tr w:rsidR="00B23511" w:rsidRPr="00E75E15" w14:paraId="5A33ACEF"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ED6833F"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Rspry1</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675C75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F6D9BC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AFD8067"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ring finger and SPRY domain containing 1</w:t>
            </w:r>
          </w:p>
        </w:tc>
      </w:tr>
      <w:tr w:rsidR="00B23511" w:rsidRPr="00E75E15" w14:paraId="0CF70B7A"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B7E2B8A"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Smim15</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258F107"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9234D3F"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DMH</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A572A1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small integral membrane protein 15</w:t>
            </w:r>
          </w:p>
        </w:tc>
      </w:tr>
      <w:tr w:rsidR="00B23511" w:rsidRPr="00E75E15" w14:paraId="1031B6C2"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800D9A"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Steap1</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96B552"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BB6E5A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296045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six transmembrane epithelial antigen of the prostate 1</w:t>
            </w:r>
          </w:p>
        </w:tc>
      </w:tr>
      <w:tr w:rsidR="00B23511" w:rsidRPr="00E75E15" w14:paraId="34DA128A"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E3CDD95"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Tent5a</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00D844E"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9982C0"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39AE2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terminal nucleotidyltransferase 5A</w:t>
            </w:r>
          </w:p>
        </w:tc>
      </w:tr>
      <w:tr w:rsidR="00B23511" w:rsidRPr="00E75E15" w14:paraId="04752D3C"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D060263"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Tut1</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A966A07"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6E751E"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38FF34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terminal uridylyl transferase 1, U6 snRNA-specific</w:t>
            </w:r>
          </w:p>
        </w:tc>
      </w:tr>
    </w:tbl>
    <w:p w14:paraId="1E5517FD" w14:textId="77777777" w:rsidR="00B23511" w:rsidRPr="00E75E15" w:rsidRDefault="00B23511">
      <w:pPr>
        <w:spacing w:after="160" w:line="240" w:lineRule="auto"/>
        <w:rPr>
          <w:rFonts w:ascii="Times New Roman" w:eastAsia="Times New Roman" w:hAnsi="Times New Roman" w:cs="Times New Roman"/>
          <w:sz w:val="2"/>
          <w:szCs w:val="2"/>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23511" w:rsidRPr="00E75E15" w14:paraId="4BBEFDD3" w14:textId="77777777">
        <w:tc>
          <w:tcPr>
            <w:tcW w:w="9360" w:type="dxa"/>
            <w:shd w:val="clear" w:color="auto" w:fill="auto"/>
            <w:tcMar>
              <w:top w:w="100" w:type="dxa"/>
              <w:left w:w="100" w:type="dxa"/>
              <w:bottom w:w="100" w:type="dxa"/>
              <w:right w:w="100" w:type="dxa"/>
            </w:tcMar>
          </w:tcPr>
          <w:p w14:paraId="4185F96F" w14:textId="77777777" w:rsidR="00B23511" w:rsidRPr="00E75E1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E75E15">
              <w:rPr>
                <w:rFonts w:ascii="Times New Roman" w:eastAsia="Times New Roman" w:hAnsi="Times New Roman" w:cs="Times New Roman"/>
                <w:sz w:val="20"/>
                <w:szCs w:val="20"/>
              </w:rPr>
              <w:t xml:space="preserve">Table 2. Differential gene expression overlap analysis. Direction indicates if genes were up- or downregulated in socially stressed hamsters and in which regions. </w:t>
            </w:r>
          </w:p>
        </w:tc>
      </w:tr>
    </w:tbl>
    <w:p w14:paraId="791C7412" w14:textId="77777777" w:rsidR="00B23511" w:rsidRPr="00E75E15" w:rsidRDefault="00B23511">
      <w:pPr>
        <w:spacing w:after="160" w:line="480" w:lineRule="auto"/>
        <w:rPr>
          <w:rFonts w:ascii="Times New Roman" w:eastAsia="Times New Roman" w:hAnsi="Times New Roman" w:cs="Times New Roman"/>
          <w:sz w:val="24"/>
          <w:szCs w:val="24"/>
        </w:rPr>
      </w:pPr>
    </w:p>
    <w:tbl>
      <w:tblPr>
        <w:tblStyle w:val="a6"/>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110"/>
        <w:gridCol w:w="1425"/>
        <w:gridCol w:w="5910"/>
      </w:tblGrid>
      <w:tr w:rsidR="00B23511" w:rsidRPr="00E75E15" w14:paraId="684FB3D6" w14:textId="77777777">
        <w:trPr>
          <w:trHeight w:val="246"/>
        </w:trPr>
        <w:tc>
          <w:tcPr>
            <w:tcW w:w="9435" w:type="dxa"/>
            <w:gridSpan w:val="4"/>
            <w:tcBorders>
              <w:top w:val="nil"/>
              <w:left w:val="nil"/>
              <w:bottom w:val="single" w:sz="4" w:space="0" w:color="000000"/>
              <w:right w:val="nil"/>
            </w:tcBorders>
            <w:tcMar>
              <w:top w:w="43" w:type="dxa"/>
              <w:left w:w="43" w:type="dxa"/>
              <w:bottom w:w="43" w:type="dxa"/>
              <w:right w:w="43" w:type="dxa"/>
            </w:tcMar>
          </w:tcPr>
          <w:p w14:paraId="539DD05F" w14:textId="54B03B3F" w:rsidR="00B23511" w:rsidRPr="00E75E15" w:rsidRDefault="00000000">
            <w:pPr>
              <w:widowControl w:val="0"/>
              <w:spacing w:line="240" w:lineRule="auto"/>
              <w:rPr>
                <w:rFonts w:ascii="Times New Roman" w:eastAsia="Times New Roman" w:hAnsi="Times New Roman" w:cs="Times New Roman"/>
              </w:rPr>
            </w:pPr>
            <w:r w:rsidRPr="00E75E15">
              <w:rPr>
                <w:rFonts w:ascii="Times New Roman" w:eastAsia="Times New Roman" w:hAnsi="Times New Roman" w:cs="Times New Roman"/>
                <w:b/>
              </w:rPr>
              <w:lastRenderedPageBreak/>
              <w:t xml:space="preserve">Table 3. Differential Gene Expression Region </w:t>
            </w:r>
            <w:r w:rsidR="00E75E15">
              <w:rPr>
                <w:rFonts w:ascii="Times New Roman" w:eastAsia="Times New Roman" w:hAnsi="Times New Roman" w:cs="Times New Roman"/>
                <w:b/>
              </w:rPr>
              <w:t>Incongruence</w:t>
            </w:r>
          </w:p>
        </w:tc>
      </w:tr>
      <w:tr w:rsidR="00B23511" w:rsidRPr="00E75E15" w14:paraId="4056197C"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bottom"/>
          </w:tcPr>
          <w:p w14:paraId="54B30516" w14:textId="77777777" w:rsidR="00B23511" w:rsidRPr="00E75E15" w:rsidRDefault="00000000">
            <w:pPr>
              <w:widowControl w:val="0"/>
              <w:spacing w:line="240" w:lineRule="auto"/>
              <w:rPr>
                <w:rFonts w:ascii="Times New Roman" w:eastAsia="Times New Roman" w:hAnsi="Times New Roman" w:cs="Times New Roman"/>
                <w:b/>
              </w:rPr>
            </w:pPr>
            <w:r w:rsidRPr="00E75E15">
              <w:rPr>
                <w:rFonts w:ascii="Times New Roman" w:eastAsia="Times New Roman" w:hAnsi="Times New Roman" w:cs="Times New Roman"/>
                <w:b/>
              </w:rPr>
              <w:t>Gene</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bottom"/>
          </w:tcPr>
          <w:p w14:paraId="72D70FDB" w14:textId="77777777" w:rsidR="00B23511" w:rsidRPr="00E75E15" w:rsidRDefault="00000000">
            <w:pPr>
              <w:widowControl w:val="0"/>
              <w:spacing w:line="240" w:lineRule="auto"/>
              <w:rPr>
                <w:rFonts w:ascii="Times New Roman" w:eastAsia="Times New Roman" w:hAnsi="Times New Roman" w:cs="Times New Roman"/>
                <w:b/>
              </w:rPr>
            </w:pPr>
            <w:r w:rsidRPr="00E75E15">
              <w:rPr>
                <w:rFonts w:ascii="Times New Roman" w:eastAsia="Times New Roman" w:hAnsi="Times New Roman" w:cs="Times New Roman"/>
                <w:b/>
              </w:rPr>
              <w:t>Region Up</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bottom"/>
          </w:tcPr>
          <w:p w14:paraId="3F882FDB" w14:textId="77777777" w:rsidR="00B23511" w:rsidRPr="00E75E15" w:rsidRDefault="00000000">
            <w:pPr>
              <w:widowControl w:val="0"/>
              <w:spacing w:line="240" w:lineRule="auto"/>
              <w:rPr>
                <w:rFonts w:ascii="Times New Roman" w:eastAsia="Times New Roman" w:hAnsi="Times New Roman" w:cs="Times New Roman"/>
                <w:b/>
              </w:rPr>
            </w:pPr>
            <w:r w:rsidRPr="00E75E15">
              <w:rPr>
                <w:rFonts w:ascii="Times New Roman" w:eastAsia="Times New Roman" w:hAnsi="Times New Roman" w:cs="Times New Roman"/>
                <w:b/>
              </w:rPr>
              <w:t>Region Down</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bottom"/>
          </w:tcPr>
          <w:p w14:paraId="66A0C297" w14:textId="77777777" w:rsidR="00B23511" w:rsidRPr="00E75E15" w:rsidRDefault="00000000">
            <w:pPr>
              <w:widowControl w:val="0"/>
              <w:spacing w:line="240" w:lineRule="auto"/>
              <w:rPr>
                <w:rFonts w:ascii="Times New Roman" w:eastAsia="Times New Roman" w:hAnsi="Times New Roman" w:cs="Times New Roman"/>
                <w:b/>
              </w:rPr>
            </w:pPr>
            <w:r w:rsidRPr="00E75E15">
              <w:rPr>
                <w:rFonts w:ascii="Times New Roman" w:eastAsia="Times New Roman" w:hAnsi="Times New Roman" w:cs="Times New Roman"/>
                <w:b/>
              </w:rPr>
              <w:t>Description</w:t>
            </w:r>
          </w:p>
        </w:tc>
      </w:tr>
      <w:tr w:rsidR="00B23511" w:rsidRPr="00E75E15" w14:paraId="6BC088DB"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21C82D6"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Tchh</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AD42EF2"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ARC</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919E6A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1B1C43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trichohyalin</w:t>
            </w:r>
          </w:p>
        </w:tc>
      </w:tr>
      <w:tr w:rsidR="00B23511" w:rsidRPr="00E75E15" w14:paraId="0E5B139B"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44F1977"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Abhd14a</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90D73F"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9E971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317AD2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abhydrolase domain containing 14A</w:t>
            </w:r>
          </w:p>
        </w:tc>
      </w:tr>
      <w:tr w:rsidR="00B23511" w:rsidRPr="00E75E15" w14:paraId="32D9702C"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0BD1A3"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Btg1</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B763A1F"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A0A449"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ACB4317"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BTG anti-proliferation factor 1</w:t>
            </w:r>
          </w:p>
        </w:tc>
      </w:tr>
      <w:tr w:rsidR="00B23511" w:rsidRPr="00E75E15" w14:paraId="0CF2B535"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AB10A68"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Cckar</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4E925B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F599FA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4F656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cholecystokinin A receptor</w:t>
            </w:r>
          </w:p>
        </w:tc>
      </w:tr>
      <w:tr w:rsidR="00B23511" w:rsidRPr="00E75E15" w14:paraId="11ECDE6B"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61E6521"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Efl1</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71A89A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01F2C94"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6FDCEA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elongation factor like GTPase 1</w:t>
            </w:r>
          </w:p>
        </w:tc>
      </w:tr>
      <w:tr w:rsidR="00B23511" w:rsidRPr="00E75E15" w14:paraId="6F692C1A"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71D6E43"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Gjc1</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F1BCD7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8A53E5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6567F9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gap junction protein, gamma 1</w:t>
            </w:r>
          </w:p>
        </w:tc>
      </w:tr>
      <w:tr w:rsidR="00B23511" w:rsidRPr="00E75E15" w14:paraId="3F469C34"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0CDCB78"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Gpr50</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203955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E84B672"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45801B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G-protein-coupled receptor 50</w:t>
            </w:r>
          </w:p>
        </w:tc>
      </w:tr>
      <w:tr w:rsidR="00B23511" w:rsidRPr="00E75E15" w14:paraId="477A8BCF"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2E33EC0"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Gtf2h3</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2EB06A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6AB8EF"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245B69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general transcription factor IIH, polypeptide 3</w:t>
            </w:r>
          </w:p>
        </w:tc>
      </w:tr>
      <w:tr w:rsidR="00B23511" w:rsidRPr="00E75E15" w14:paraId="5CC94423"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3524C95"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Hdac4</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750CC7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BFDC8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87ADEF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histone deacetylase 4</w:t>
            </w:r>
          </w:p>
        </w:tc>
      </w:tr>
      <w:tr w:rsidR="00B23511" w:rsidRPr="00E75E15" w14:paraId="4856EF01"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047D459"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Htr1b</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EAA27CF"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0C602FE"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76DBF7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5-hydroxytryptamine (serotonin) receptor 1B</w:t>
            </w:r>
          </w:p>
        </w:tc>
      </w:tr>
      <w:tr w:rsidR="00B23511" w:rsidRPr="00E75E15" w14:paraId="4D276ED3"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A1BCACF"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Ift88</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740520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99870F2"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831E4E9"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intraflagellar transport 88</w:t>
            </w:r>
          </w:p>
        </w:tc>
      </w:tr>
      <w:tr w:rsidR="00B23511" w:rsidRPr="00E75E15" w14:paraId="2F7449B6"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D3669F"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Irs4</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514D706"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B89E55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430CEA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insulin receptor substrate 4</w:t>
            </w:r>
          </w:p>
        </w:tc>
      </w:tr>
      <w:tr w:rsidR="00B23511" w:rsidRPr="00E75E15" w14:paraId="6CC8F2AA"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B3CA6AF"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Med24</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0D339B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25975B9"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06110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mediator complex subunit 24</w:t>
            </w:r>
          </w:p>
        </w:tc>
      </w:tr>
      <w:tr w:rsidR="00B23511" w:rsidRPr="00E75E15" w14:paraId="4E0450E3"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1266F4"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Mustn1</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04A0F2"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99F1299"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6993147"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musculoskeletal, embryonic nuclear protein 1</w:t>
            </w:r>
          </w:p>
        </w:tc>
      </w:tr>
      <w:tr w:rsidR="00B23511" w:rsidRPr="00E75E15" w14:paraId="3AEB435B"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69FFFC4"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Nol12</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323B9E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9E9EA4"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C38D25E"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nucleolar protein 12</w:t>
            </w:r>
          </w:p>
        </w:tc>
      </w:tr>
      <w:tr w:rsidR="00B23511" w:rsidRPr="00E75E15" w14:paraId="0527EF51"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E83C06A"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Nsun7</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F7991D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5DD2F0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1625A1E"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NOL1/NOP2/Sun domain family, member 7</w:t>
            </w:r>
          </w:p>
        </w:tc>
      </w:tr>
      <w:tr w:rsidR="00B23511" w:rsidRPr="00E75E15" w14:paraId="5298C9F6"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814B5AA"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Pdyn</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8A204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7056F14"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683351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prodynorphin</w:t>
            </w:r>
          </w:p>
        </w:tc>
      </w:tr>
      <w:tr w:rsidR="00B23511" w:rsidRPr="00E75E15" w14:paraId="623C3949"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A88BFF4"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Rcc1l</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B38C87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C6F220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E78FAD9"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reculator of chromosome condensation 1 like</w:t>
            </w:r>
          </w:p>
        </w:tc>
      </w:tr>
      <w:tr w:rsidR="00B23511" w:rsidRPr="00E75E15" w14:paraId="49AB62A1"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B6E9949"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Riox1</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CFB5159"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06C9646"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0CDFE8F"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ribosomal oxygenase 1</w:t>
            </w:r>
          </w:p>
        </w:tc>
      </w:tr>
      <w:tr w:rsidR="00B23511" w:rsidRPr="00E75E15" w14:paraId="508406E7"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EF39A8C"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Slc16a11</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27CC17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7165BC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FCAC21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solute carrier family 16 (monocarboxylic acid transporters), member 11</w:t>
            </w:r>
          </w:p>
        </w:tc>
      </w:tr>
      <w:tr w:rsidR="00B23511" w:rsidRPr="00E75E15" w14:paraId="37CD6FAC"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09A827"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Slc7a14</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184D10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F5328D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52CE9E"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solute carrier family 7 (cationic amino acid transporter, y+ system), member 14</w:t>
            </w:r>
          </w:p>
        </w:tc>
      </w:tr>
      <w:tr w:rsidR="00B23511" w:rsidRPr="00E75E15" w14:paraId="45B41D34"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F41DF04"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Vps18</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158BDE"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EA3C7A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C2FED6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VPS18 CORVET/HOPS core subunit</w:t>
            </w:r>
          </w:p>
        </w:tc>
      </w:tr>
      <w:tr w:rsidR="00B23511" w:rsidRPr="00E75E15" w14:paraId="481877AD"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9D12CFB"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Desi1</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8B771E6"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09960C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7231639"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desumoylating isopeptidase 1</w:t>
            </w:r>
          </w:p>
        </w:tc>
      </w:tr>
      <w:tr w:rsidR="00B23511" w:rsidRPr="00E75E15" w14:paraId="3A621E1F"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DB4020F"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Dut</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DBFEDF7"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718E197"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09334E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deoxyuridine triphosphatase</w:t>
            </w:r>
          </w:p>
        </w:tc>
      </w:tr>
      <w:tr w:rsidR="00B23511" w:rsidRPr="00E75E15" w14:paraId="24EE52EA"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12A63AD"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Fkbp15</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23ECA9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DEE445E"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8C19142"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FK506 binding protein 15</w:t>
            </w:r>
          </w:p>
        </w:tc>
      </w:tr>
      <w:tr w:rsidR="00B23511" w:rsidRPr="00E75E15" w14:paraId="1826F557"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5EFAEDA"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Gpr146</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713C4D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C73A90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C273B9E"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G protein-coupled receptor 146</w:t>
            </w:r>
          </w:p>
        </w:tc>
      </w:tr>
      <w:tr w:rsidR="00B23511" w:rsidRPr="00E75E15" w14:paraId="4BED9499"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99ED563"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Irx2</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6CF514"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802F05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3CBC912"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Iroquois homeobox 2</w:t>
            </w:r>
          </w:p>
        </w:tc>
      </w:tr>
      <w:tr w:rsidR="00B23511" w:rsidRPr="00E75E15" w14:paraId="392A04C8"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6AA259"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Mid1ip1</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9E3185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8295336"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6A32C2"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Mid1 interacting protein 1 (gastrulation specific G12-like (zebrafish))</w:t>
            </w:r>
          </w:p>
        </w:tc>
      </w:tr>
      <w:tr w:rsidR="00B23511" w:rsidRPr="00E75E15" w14:paraId="404AF1E3"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C06515D"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Mss51</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96C150F"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270A3B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646417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MSS51 mitochondrial translational activator</w:t>
            </w:r>
          </w:p>
        </w:tc>
      </w:tr>
      <w:tr w:rsidR="00B23511" w:rsidRPr="00E75E15" w14:paraId="07203FFC"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62E7905"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Mtg2</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FE5695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F07151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C1993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mitochondrial ribosome associated GTPase 2</w:t>
            </w:r>
          </w:p>
        </w:tc>
      </w:tr>
      <w:tr w:rsidR="00B23511" w:rsidRPr="00E75E15" w14:paraId="550C22D1"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B434809"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Pex7</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F2F88E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DA363F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03F3CC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peroxisomal biogenesis factor 7</w:t>
            </w:r>
          </w:p>
        </w:tc>
      </w:tr>
      <w:tr w:rsidR="00B23511" w:rsidRPr="00E75E15" w14:paraId="0C46815B"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A09B6B"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Sidt1</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5773C80"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A58D22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C838306"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SID1 transmembrane family, member 1</w:t>
            </w:r>
          </w:p>
        </w:tc>
      </w:tr>
      <w:tr w:rsidR="00B23511" w:rsidRPr="00E75E15" w14:paraId="1679DAC7"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7DD436C"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Skida1</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E704506"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14D94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EDFB04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SKI/DACH domain containing 1</w:t>
            </w:r>
          </w:p>
        </w:tc>
      </w:tr>
      <w:tr w:rsidR="00B23511" w:rsidRPr="00E75E15" w14:paraId="730302B9"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CAAF13"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Slc9a3r2</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9AB613E"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EBE4C3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57F62EE"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solute carrier family 9 (sodium/hydrogen exchanger), member 3 regulator 2</w:t>
            </w:r>
          </w:p>
        </w:tc>
      </w:tr>
      <w:tr w:rsidR="00B23511" w:rsidRPr="00E75E15" w14:paraId="3A6E0120"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58C713C"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Smad6</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7E0F8B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B2703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88428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SMAD family member 6</w:t>
            </w:r>
          </w:p>
        </w:tc>
      </w:tr>
      <w:tr w:rsidR="00B23511" w:rsidRPr="00E75E15" w14:paraId="5E4FA8C1"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92E03AA"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Tmc7</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54F5ED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0F5F58F"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6DA432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transmembrane channel-like gene family 7</w:t>
            </w:r>
          </w:p>
        </w:tc>
      </w:tr>
      <w:tr w:rsidR="00B23511" w:rsidRPr="00E75E15" w14:paraId="4C25F863"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109CFAD"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Tph2</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070F856"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8F3E8EF"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03C1607"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tryptophan hydroxylase 2</w:t>
            </w:r>
          </w:p>
        </w:tc>
      </w:tr>
      <w:tr w:rsidR="00B23511" w:rsidRPr="00E75E15" w14:paraId="5CB0B25C"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7B6D2E4"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Bmp3</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BC5685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F41BB70"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7C070B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bone morphogenetic protein 3</w:t>
            </w:r>
          </w:p>
        </w:tc>
      </w:tr>
      <w:tr w:rsidR="00B23511" w:rsidRPr="00E75E15" w14:paraId="60F3A312"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B74EC3"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Fnbp4</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055526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447F34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74D70F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formin binding protein 4</w:t>
            </w:r>
          </w:p>
        </w:tc>
      </w:tr>
      <w:tr w:rsidR="00B23511" w:rsidRPr="00E75E15" w14:paraId="70AE3F51"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C3E697"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Iws1</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F723520"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B6CF9A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EB213C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IWS1, SUPT6 interacting protein</w:t>
            </w:r>
          </w:p>
        </w:tc>
      </w:tr>
      <w:tr w:rsidR="00B23511" w:rsidRPr="00E75E15" w14:paraId="2F2ABA7C"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7BFE7D5"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lastRenderedPageBreak/>
              <w:t>Snrpb2</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2DB550"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C919D39"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9496169"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U2 small nuclear ribonucleoprotein B</w:t>
            </w:r>
          </w:p>
        </w:tc>
      </w:tr>
      <w:tr w:rsidR="00B23511" w:rsidRPr="00E75E15" w14:paraId="639DC1C4"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540E983"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Stim2</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64AFE7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611C83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33AD8D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stromal interaction molecule 2</w:t>
            </w:r>
          </w:p>
        </w:tc>
      </w:tr>
      <w:tr w:rsidR="00B23511" w:rsidRPr="00E75E15" w14:paraId="2D99F74A"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61F5A3D"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Zcchc8</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BD5AE6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F916462"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7C50D40"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zinc finger, CCHC domain containing 8</w:t>
            </w:r>
          </w:p>
        </w:tc>
      </w:tr>
    </w:tbl>
    <w:p w14:paraId="06B09DB7" w14:textId="77777777" w:rsidR="00B23511" w:rsidRPr="00E75E15" w:rsidRDefault="00B23511">
      <w:pPr>
        <w:spacing w:after="160" w:line="480" w:lineRule="auto"/>
        <w:rPr>
          <w:rFonts w:ascii="Times New Roman" w:eastAsia="Times New Roman" w:hAnsi="Times New Roman" w:cs="Times New Roman"/>
          <w:sz w:val="24"/>
          <w:szCs w:val="24"/>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23511" w:rsidRPr="00E75E15" w14:paraId="33EA9C93" w14:textId="77777777">
        <w:tc>
          <w:tcPr>
            <w:tcW w:w="9360" w:type="dxa"/>
            <w:shd w:val="clear" w:color="auto" w:fill="auto"/>
            <w:tcMar>
              <w:top w:w="100" w:type="dxa"/>
              <w:left w:w="100" w:type="dxa"/>
              <w:bottom w:w="100" w:type="dxa"/>
              <w:right w:w="100" w:type="dxa"/>
            </w:tcMar>
          </w:tcPr>
          <w:p w14:paraId="409F2210" w14:textId="1F9C0BFF" w:rsidR="00B23511" w:rsidRPr="00E75E15" w:rsidRDefault="00000000">
            <w:pPr>
              <w:widowControl w:val="0"/>
              <w:spacing w:line="240" w:lineRule="auto"/>
              <w:rPr>
                <w:rFonts w:ascii="Times New Roman" w:eastAsia="Times New Roman" w:hAnsi="Times New Roman" w:cs="Times New Roman"/>
                <w:sz w:val="20"/>
                <w:szCs w:val="20"/>
              </w:rPr>
            </w:pPr>
            <w:r w:rsidRPr="00E75E15">
              <w:rPr>
                <w:rFonts w:ascii="Times New Roman" w:eastAsia="Times New Roman" w:hAnsi="Times New Roman" w:cs="Times New Roman"/>
                <w:sz w:val="20"/>
                <w:szCs w:val="20"/>
              </w:rPr>
              <w:t xml:space="preserve">Table 3. Differential gene expression </w:t>
            </w:r>
            <w:r w:rsidR="00E75E15">
              <w:rPr>
                <w:rFonts w:ascii="Times New Roman" w:eastAsia="Times New Roman" w:hAnsi="Times New Roman" w:cs="Times New Roman"/>
                <w:sz w:val="20"/>
                <w:szCs w:val="20"/>
              </w:rPr>
              <w:t>incongruence</w:t>
            </w:r>
            <w:r w:rsidRPr="00E75E15">
              <w:rPr>
                <w:rFonts w:ascii="Times New Roman" w:eastAsia="Times New Roman" w:hAnsi="Times New Roman" w:cs="Times New Roman"/>
                <w:sz w:val="20"/>
                <w:szCs w:val="20"/>
              </w:rPr>
              <w:t xml:space="preserve"> analysis. First organized by which regions </w:t>
            </w:r>
            <w:r w:rsidR="00150B44">
              <w:rPr>
                <w:rFonts w:ascii="Times New Roman" w:eastAsia="Times New Roman" w:hAnsi="Times New Roman" w:cs="Times New Roman"/>
                <w:sz w:val="20"/>
                <w:szCs w:val="20"/>
              </w:rPr>
              <w:t>incongruent</w:t>
            </w:r>
            <w:r w:rsidRPr="00E75E15">
              <w:rPr>
                <w:rFonts w:ascii="Times New Roman" w:eastAsia="Times New Roman" w:hAnsi="Times New Roman" w:cs="Times New Roman"/>
                <w:sz w:val="20"/>
                <w:szCs w:val="20"/>
              </w:rPr>
              <w:t xml:space="preserve"> genes were upregulated in stressed subjects, then which regions they were downregulated in.</w:t>
            </w:r>
          </w:p>
        </w:tc>
      </w:tr>
    </w:tbl>
    <w:p w14:paraId="4A85884C" w14:textId="77777777" w:rsidR="00B23511" w:rsidRPr="00E75E15" w:rsidRDefault="00000000">
      <w:pPr>
        <w:spacing w:after="160" w:line="480" w:lineRule="auto"/>
        <w:rPr>
          <w:rFonts w:ascii="Times New Roman" w:eastAsia="Times New Roman" w:hAnsi="Times New Roman" w:cs="Times New Roman"/>
          <w:i/>
          <w:sz w:val="24"/>
          <w:szCs w:val="24"/>
        </w:rPr>
      </w:pPr>
      <w:r w:rsidRPr="00E75E15">
        <w:rPr>
          <w:rFonts w:ascii="Times New Roman" w:hAnsi="Times New Roman" w:cs="Times New Roman"/>
        </w:rPr>
        <w:br w:type="page"/>
      </w:r>
    </w:p>
    <w:p w14:paraId="7FCA9DBA"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i/>
          <w:sz w:val="24"/>
          <w:szCs w:val="24"/>
        </w:rPr>
        <w:lastRenderedPageBreak/>
        <w:t>3.3 WGCNA reveals co-expressed gene modules uniquely associated with social stress</w:t>
      </w:r>
    </w:p>
    <w:p w14:paraId="1B11EBC6" w14:textId="1A0028B0"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Supplemental Figure </w:t>
      </w:r>
      <w:r w:rsidR="00E425B5">
        <w:rPr>
          <w:rFonts w:ascii="Times New Roman" w:eastAsia="Times New Roman" w:hAnsi="Times New Roman" w:cs="Times New Roman"/>
          <w:sz w:val="24"/>
          <w:szCs w:val="24"/>
        </w:rPr>
        <w:t>1</w:t>
      </w:r>
      <w:r w:rsidRPr="00E75E15">
        <w:rPr>
          <w:rFonts w:ascii="Times New Roman" w:eastAsia="Times New Roman" w:hAnsi="Times New Roman" w:cs="Times New Roman"/>
          <w:sz w:val="24"/>
          <w:szCs w:val="24"/>
        </w:rPr>
        <w:t xml:space="preserve"> summarizes all WGCNA modules identified. Modules differentially expressed between groups are highlighted in Figure 4, including the GO terms most associated with differentially expressed modules. Genes with high module membership (MM - genes that are most highly correlated with other genes in the module) are also listed. In the LH, WGCNA identified 14 modules of highly correlated genes. Two of these (yellow and magenta) exhibited significant differences in ME expression between groups (Figure 4A). The yellow module (b = -0.224 ± 0.097, p &lt; 0.05) was most strongly associated with myelination and had ME scores that were significantly downregulated in the LH. The magenta module (b = 0.212 ± 0.099, p &lt; 0.05) was also associated with myelination processes along with cell growth and organization and was upregulated in stressed individuals. </w:t>
      </w:r>
    </w:p>
    <w:p w14:paraId="198EC082"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In the DMH, WGCNA identified 31 modules. Three of these (darkred, skyblue, and darkgrey) were differentially expressed between groups (Figure 4B). The darkred module (b = -0.251 ± 0.107, p &lt; 0.05) was associated with alcohol related bioprocesses and glutamate transport and was downregulated with stress. The skyblue module (b = 0.254 ± 0.107, p &lt; 0.05) was associated with neuronal development and immune function and was upregulated in stress. The darkgrey module (b = 0.315 ± 0.095, p &lt; 0.01) was also upregulated in stress and was also associated with membrane transport and immune function. </w:t>
      </w:r>
    </w:p>
    <w:p w14:paraId="147BE9D6" w14:textId="49379362" w:rsidR="00B23511" w:rsidRPr="00E75E15" w:rsidRDefault="00000000">
      <w:pPr>
        <w:spacing w:after="160" w:line="480" w:lineRule="auto"/>
        <w:ind w:firstLine="720"/>
        <w:rPr>
          <w:rFonts w:ascii="Times New Roman" w:eastAsia="Times New Roman" w:hAnsi="Times New Roman" w:cs="Times New Roman"/>
          <w:sz w:val="24"/>
          <w:szCs w:val="24"/>
        </w:rPr>
        <w:sectPr w:rsidR="00B23511" w:rsidRPr="00E75E15">
          <w:pgSz w:w="12240" w:h="15840"/>
          <w:pgMar w:top="1440" w:right="1440" w:bottom="1440" w:left="1440" w:header="720" w:footer="720" w:gutter="0"/>
          <w:cols w:space="720"/>
        </w:sectPr>
      </w:pPr>
      <w:r w:rsidRPr="00E75E15">
        <w:rPr>
          <w:rFonts w:ascii="Times New Roman" w:eastAsia="Times New Roman" w:hAnsi="Times New Roman" w:cs="Times New Roman"/>
          <w:sz w:val="24"/>
          <w:szCs w:val="24"/>
        </w:rPr>
        <w:t>In the ARC, WGCNA identified 11 modules. Three of these (yellow, purple, and blue) were differentially expressed between groups (Figure 4C). The yellow module (b = -0.235 ± 0.110, p &lt; 0.05) was associated with synaptic function and cellular energy use and was lower in Stressed subjects. The purple module (b = -0.321± 0.095, p &lt; 0.01) was also lower with Stress</w:t>
      </w:r>
      <w:r w:rsidR="00E17758">
        <w:rPr>
          <w:rFonts w:ascii="Times New Roman" w:eastAsia="Times New Roman" w:hAnsi="Times New Roman" w:cs="Times New Roman"/>
          <w:sz w:val="24"/>
          <w:szCs w:val="24"/>
        </w:rPr>
        <w:t>ed animals</w:t>
      </w:r>
      <w:r w:rsidRPr="00E75E15">
        <w:rPr>
          <w:rFonts w:ascii="Times New Roman" w:eastAsia="Times New Roman" w:hAnsi="Times New Roman" w:cs="Times New Roman"/>
          <w:sz w:val="24"/>
          <w:szCs w:val="24"/>
        </w:rPr>
        <w:t xml:space="preserve"> and was associated with DNA processing and blood vessel function. The blue module (b </w:t>
      </w:r>
      <w:r w:rsidRPr="00E75E15">
        <w:rPr>
          <w:rFonts w:ascii="Times New Roman" w:eastAsia="Times New Roman" w:hAnsi="Times New Roman" w:cs="Times New Roman"/>
          <w:sz w:val="24"/>
          <w:szCs w:val="24"/>
        </w:rPr>
        <w:lastRenderedPageBreak/>
        <w:t xml:space="preserve">= 0.262 ± 0.106, p &lt; 0.05) was upregulated in Stressed subjects and was associated with mRNA processing and epigenetic functions. </w:t>
      </w:r>
    </w:p>
    <w:p w14:paraId="70C66977" w14:textId="77777777" w:rsidR="00B23511" w:rsidRPr="00E75E15" w:rsidRDefault="00000000">
      <w:pPr>
        <w:spacing w:after="160" w:line="480" w:lineRule="auto"/>
        <w:rPr>
          <w:rFonts w:ascii="Times New Roman" w:eastAsia="Times New Roman" w:hAnsi="Times New Roman" w:cs="Times New Roman"/>
          <w:sz w:val="24"/>
          <w:szCs w:val="24"/>
        </w:rPr>
      </w:pPr>
      <w:r w:rsidRPr="00E75E15">
        <w:rPr>
          <w:rFonts w:ascii="Times New Roman" w:eastAsia="Times New Roman" w:hAnsi="Times New Roman" w:cs="Times New Roman"/>
          <w:noProof/>
          <w:sz w:val="24"/>
          <w:szCs w:val="24"/>
        </w:rPr>
        <w:lastRenderedPageBreak/>
        <w:drawing>
          <wp:inline distT="114300" distB="114300" distL="114300" distR="114300" wp14:anchorId="77F4D383" wp14:editId="06633EC1">
            <wp:extent cx="8658225" cy="336708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1"/>
                    <a:srcRect/>
                    <a:stretch>
                      <a:fillRect/>
                    </a:stretch>
                  </pic:blipFill>
                  <pic:spPr>
                    <a:xfrm>
                      <a:off x="0" y="0"/>
                      <a:ext cx="8658225" cy="3367088"/>
                    </a:xfrm>
                    <a:prstGeom prst="rect">
                      <a:avLst/>
                    </a:prstGeom>
                    <a:ln/>
                  </pic:spPr>
                </pic:pic>
              </a:graphicData>
            </a:graphic>
          </wp:inline>
        </w:drawing>
      </w:r>
    </w:p>
    <w:tbl>
      <w:tblPr>
        <w:tblStyle w:val="a8"/>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B23511" w:rsidRPr="00E75E15" w14:paraId="671127EF" w14:textId="77777777">
        <w:tc>
          <w:tcPr>
            <w:tcW w:w="129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6C8F950" w14:textId="77777777" w:rsidR="00B23511" w:rsidRPr="00E75E15" w:rsidRDefault="00000000">
            <w:pPr>
              <w:widowControl w:val="0"/>
              <w:spacing w:line="240" w:lineRule="auto"/>
              <w:rPr>
                <w:rFonts w:ascii="Times New Roman" w:eastAsia="Times New Roman" w:hAnsi="Times New Roman" w:cs="Times New Roman"/>
                <w:sz w:val="20"/>
                <w:szCs w:val="20"/>
              </w:rPr>
            </w:pPr>
            <w:r w:rsidRPr="00E75E15">
              <w:rPr>
                <w:rFonts w:ascii="Times New Roman" w:eastAsia="Times New Roman" w:hAnsi="Times New Roman" w:cs="Times New Roman"/>
                <w:sz w:val="20"/>
                <w:szCs w:val="20"/>
              </w:rPr>
              <w:t>Figure 4. Results of weighted gene coexpression network analysis (WGCNA) in A. lateral (LH), B. dorsomedial (DMH) and C. arcuate nucleus (ARC) subregions of the hypothalamus. All noted modules are significantly differentially expressed between groups, with boxplots of module eigengene value shown per region. Below are Gene Ontology (GO) terms associated with differentially expressed modules, and hub genes with highest module membership (MM).</w:t>
            </w:r>
          </w:p>
        </w:tc>
      </w:tr>
    </w:tbl>
    <w:p w14:paraId="1835ECAB" w14:textId="77777777" w:rsidR="00B23511" w:rsidRPr="00E75E15" w:rsidRDefault="00B23511">
      <w:pPr>
        <w:spacing w:after="160" w:line="480" w:lineRule="auto"/>
        <w:rPr>
          <w:rFonts w:ascii="Times New Roman" w:eastAsia="Times New Roman" w:hAnsi="Times New Roman" w:cs="Times New Roman"/>
          <w:sz w:val="24"/>
          <w:szCs w:val="24"/>
        </w:rPr>
        <w:sectPr w:rsidR="00B23511" w:rsidRPr="00E75E15">
          <w:pgSz w:w="15840" w:h="12240" w:orient="landscape"/>
          <w:pgMar w:top="1440" w:right="1440" w:bottom="1440" w:left="1440" w:header="720" w:footer="720" w:gutter="0"/>
          <w:cols w:space="720"/>
        </w:sectPr>
      </w:pPr>
    </w:p>
    <w:p w14:paraId="67C524B9"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b/>
          <w:sz w:val="24"/>
          <w:szCs w:val="24"/>
        </w:rPr>
        <w:lastRenderedPageBreak/>
        <w:t>4. Discussion</w:t>
      </w:r>
    </w:p>
    <w:p w14:paraId="111ECDCA" w14:textId="79546B0D"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Stressed hamsters gained weight at an increased rate, had higher food efficiency, and tended to have more body fat than controls, supporting prior work in this model </w:t>
      </w:r>
      <w:hyperlink r:id="rId52">
        <w:r w:rsidR="00B23511" w:rsidRPr="00E75E15">
          <w:rPr>
            <w:rFonts w:ascii="Times New Roman" w:eastAsia="Times New Roman" w:hAnsi="Times New Roman" w:cs="Times New Roman"/>
            <w:sz w:val="24"/>
            <w:szCs w:val="24"/>
          </w:rPr>
          <w:t>(Moran et al., 2021)</w:t>
        </w:r>
      </w:hyperlink>
      <w:r w:rsidRPr="00E75E15">
        <w:rPr>
          <w:rFonts w:ascii="Times New Roman" w:eastAsia="Times New Roman" w:hAnsi="Times New Roman" w:cs="Times New Roman"/>
          <w:sz w:val="24"/>
          <w:szCs w:val="24"/>
        </w:rPr>
        <w:t>. Overall, approximately 500 genes were differentially expressed between groups in each region sampled. In the present analysis, we focused on hypothalamic regions functionally associated with appetite and other metabolic processes. We observed changes in expression of a number of orexigenic transcripts across regions. Due to prior research in the lab, we had a particular interest in LH orexin/hypocretin, expecting its expression to be elevated in stressed subjects that gain more weight than controls. Interestingly, there was only a trend that LH orexin expression (</w:t>
      </w:r>
      <w:r w:rsidRPr="00E75E15">
        <w:rPr>
          <w:rFonts w:ascii="Times New Roman" w:eastAsia="Times New Roman" w:hAnsi="Times New Roman" w:cs="Times New Roman"/>
          <w:i/>
          <w:sz w:val="24"/>
          <w:szCs w:val="24"/>
        </w:rPr>
        <w:t>hcrt</w:t>
      </w:r>
      <w:r w:rsidRPr="00E75E15">
        <w:rPr>
          <w:rFonts w:ascii="Times New Roman" w:eastAsia="Times New Roman" w:hAnsi="Times New Roman" w:cs="Times New Roman"/>
          <w:sz w:val="24"/>
          <w:szCs w:val="24"/>
        </w:rPr>
        <w:t xml:space="preserve">) was upregulated in stressed </w:t>
      </w:r>
      <w:r w:rsidR="00E17758">
        <w:rPr>
          <w:rFonts w:ascii="Times New Roman" w:eastAsia="Times New Roman" w:hAnsi="Times New Roman" w:cs="Times New Roman"/>
          <w:sz w:val="24"/>
          <w:szCs w:val="24"/>
        </w:rPr>
        <w:t>hamsters</w:t>
      </w:r>
      <w:r w:rsidRPr="00E75E15">
        <w:rPr>
          <w:rFonts w:ascii="Times New Roman" w:eastAsia="Times New Roman" w:hAnsi="Times New Roman" w:cs="Times New Roman"/>
          <w:sz w:val="24"/>
          <w:szCs w:val="24"/>
        </w:rPr>
        <w:t xml:space="preserve">. This was not necessarily surprising, given prior results from our lab that suggests stress-induced differences in orexin are not at the innervation level, but more likely caused by downstream receptor changes or other firing mechanisms </w:t>
      </w:r>
      <w:hyperlink r:id="rId53">
        <w:r w:rsidR="00B23511" w:rsidRPr="00E75E15">
          <w:rPr>
            <w:rFonts w:ascii="Times New Roman" w:eastAsia="Times New Roman" w:hAnsi="Times New Roman" w:cs="Times New Roman"/>
            <w:sz w:val="24"/>
            <w:szCs w:val="24"/>
          </w:rPr>
          <w:t>(Moran et al., 2025a)</w:t>
        </w:r>
      </w:hyperlink>
      <w:r w:rsidRPr="00E75E15">
        <w:rPr>
          <w:rFonts w:ascii="Times New Roman" w:eastAsia="Times New Roman" w:hAnsi="Times New Roman" w:cs="Times New Roman"/>
          <w:sz w:val="24"/>
          <w:szCs w:val="24"/>
        </w:rPr>
        <w:t>. However, growth hormone releasing hormone (</w:t>
      </w:r>
      <w:r w:rsidRPr="00E75E15">
        <w:rPr>
          <w:rFonts w:ascii="Times New Roman" w:eastAsia="Times New Roman" w:hAnsi="Times New Roman" w:cs="Times New Roman"/>
          <w:i/>
          <w:sz w:val="24"/>
          <w:szCs w:val="24"/>
        </w:rPr>
        <w:t>ghrh</w:t>
      </w:r>
      <w:r w:rsidRPr="00E75E15">
        <w:rPr>
          <w:rFonts w:ascii="Times New Roman" w:eastAsia="Times New Roman" w:hAnsi="Times New Roman" w:cs="Times New Roman"/>
          <w:sz w:val="24"/>
          <w:szCs w:val="24"/>
        </w:rPr>
        <w:t xml:space="preserve">) transcript was upregulated in the LH of stressed subjects. It was recently reported that activation of growth hormone receptors in LH orexin neurons promotes their cellular and related behavioral functions </w:t>
      </w:r>
      <w:hyperlink r:id="rId54">
        <w:r w:rsidR="00B23511" w:rsidRPr="00E75E15">
          <w:rPr>
            <w:rFonts w:ascii="Times New Roman" w:eastAsia="Times New Roman" w:hAnsi="Times New Roman" w:cs="Times New Roman"/>
            <w:sz w:val="24"/>
            <w:szCs w:val="24"/>
          </w:rPr>
          <w:t>(Tavares et al., 2024)</w:t>
        </w:r>
      </w:hyperlink>
      <w:r w:rsidRPr="00E75E15">
        <w:rPr>
          <w:rFonts w:ascii="Times New Roman" w:eastAsia="Times New Roman" w:hAnsi="Times New Roman" w:cs="Times New Roman"/>
          <w:sz w:val="24"/>
          <w:szCs w:val="24"/>
        </w:rPr>
        <w:t xml:space="preserve">, which could be related to a change in orexin firing, if not orexin expression or innervation. Additionally, the LH WGCNA magenta module that was upregulated in stressed subjects was also related to cellular growth. Neuromedin U was also downregulated in the LH. In rats, this neuropeptide is typically expressed in the arcuate nucleus, and has an anorexic influence </w:t>
      </w:r>
      <w:hyperlink r:id="rId55">
        <w:r w:rsidR="00B23511" w:rsidRPr="00E75E15">
          <w:rPr>
            <w:rFonts w:ascii="Times New Roman" w:eastAsia="Times New Roman" w:hAnsi="Times New Roman" w:cs="Times New Roman"/>
            <w:sz w:val="24"/>
            <w:szCs w:val="24"/>
          </w:rPr>
          <w:t>(Howard et al., 2000)</w:t>
        </w:r>
      </w:hyperlink>
      <w:r w:rsidRPr="00E75E15">
        <w:rPr>
          <w:rFonts w:ascii="Times New Roman" w:eastAsia="Times New Roman" w:hAnsi="Times New Roman" w:cs="Times New Roman"/>
          <w:sz w:val="24"/>
          <w:szCs w:val="24"/>
        </w:rPr>
        <w:t xml:space="preserve">, making its downregulation in our enhanced eaters unsurprising. NMU downregulation may be a compensatory mechanism, as NMU administration induces stress-response behaviors such as </w:t>
      </w:r>
      <w:r w:rsidR="001B7ABA" w:rsidRPr="00E75E15">
        <w:rPr>
          <w:rFonts w:ascii="Times New Roman" w:eastAsia="Times New Roman" w:hAnsi="Times New Roman" w:cs="Times New Roman"/>
          <w:sz w:val="24"/>
          <w:szCs w:val="24"/>
        </w:rPr>
        <w:t>self-grooming</w:t>
      </w:r>
      <w:r w:rsidRPr="00E75E15">
        <w:rPr>
          <w:rFonts w:ascii="Times New Roman" w:eastAsia="Times New Roman" w:hAnsi="Times New Roman" w:cs="Times New Roman"/>
          <w:sz w:val="24"/>
          <w:szCs w:val="24"/>
        </w:rPr>
        <w:t xml:space="preserve"> in rats and mice </w:t>
      </w:r>
      <w:hyperlink r:id="rId56">
        <w:r w:rsidR="00B23511" w:rsidRPr="00E75E15">
          <w:rPr>
            <w:rFonts w:ascii="Times New Roman" w:eastAsia="Times New Roman" w:hAnsi="Times New Roman" w:cs="Times New Roman"/>
            <w:sz w:val="24"/>
            <w:szCs w:val="24"/>
          </w:rPr>
          <w:t>(Hanada et al., 2001)</w:t>
        </w:r>
      </w:hyperlink>
      <w:r w:rsidRPr="00E75E15">
        <w:rPr>
          <w:rFonts w:ascii="Times New Roman" w:eastAsia="Times New Roman" w:hAnsi="Times New Roman" w:cs="Times New Roman"/>
          <w:sz w:val="24"/>
          <w:szCs w:val="24"/>
        </w:rPr>
        <w:t xml:space="preserve">. Similarly, neuropeptide W (NPW) was downregulated in the DMH. NPW activity inhibits food </w:t>
      </w:r>
      <w:r w:rsidRPr="00E75E15">
        <w:rPr>
          <w:rFonts w:ascii="Times New Roman" w:eastAsia="Times New Roman" w:hAnsi="Times New Roman" w:cs="Times New Roman"/>
          <w:sz w:val="24"/>
          <w:szCs w:val="24"/>
        </w:rPr>
        <w:lastRenderedPageBreak/>
        <w:t xml:space="preserve">intake and stimulates thermogenesis </w:t>
      </w:r>
      <w:hyperlink r:id="rId57">
        <w:r w:rsidR="00B23511" w:rsidRPr="00E75E15">
          <w:rPr>
            <w:rFonts w:ascii="Times New Roman" w:eastAsia="Times New Roman" w:hAnsi="Times New Roman" w:cs="Times New Roman"/>
            <w:sz w:val="24"/>
            <w:szCs w:val="24"/>
          </w:rPr>
          <w:t>(Mondal et al., 2003)</w:t>
        </w:r>
      </w:hyperlink>
      <w:r w:rsidRPr="00E75E15">
        <w:rPr>
          <w:rFonts w:ascii="Times New Roman" w:eastAsia="Times New Roman" w:hAnsi="Times New Roman" w:cs="Times New Roman"/>
          <w:sz w:val="24"/>
          <w:szCs w:val="24"/>
        </w:rPr>
        <w:t xml:space="preserve">. Interestingly, NPW is widely involved in other stress, growth, and sex hormone related processes, making it an excellent candidate for further study in this model </w:t>
      </w:r>
      <w:hyperlink r:id="rId58">
        <w:r w:rsidR="00B23511" w:rsidRPr="00E75E15">
          <w:rPr>
            <w:rFonts w:ascii="Times New Roman" w:eastAsia="Times New Roman" w:hAnsi="Times New Roman" w:cs="Times New Roman"/>
            <w:sz w:val="24"/>
            <w:szCs w:val="24"/>
          </w:rPr>
          <w:t>(Baker et al., 2003; Niimi and Murao, 2005)</w:t>
        </w:r>
      </w:hyperlink>
      <w:r w:rsidRPr="00E75E15">
        <w:rPr>
          <w:rFonts w:ascii="Times New Roman" w:eastAsia="Times New Roman" w:hAnsi="Times New Roman" w:cs="Times New Roman"/>
          <w:sz w:val="24"/>
          <w:szCs w:val="24"/>
        </w:rPr>
        <w:t>.</w:t>
      </w:r>
    </w:p>
    <w:p w14:paraId="65C9662B"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There was also upregulation of Neuropeptide VF precursor (</w:t>
      </w:r>
      <w:r w:rsidRPr="00E75E15">
        <w:rPr>
          <w:rFonts w:ascii="Times New Roman" w:eastAsia="Times New Roman" w:hAnsi="Times New Roman" w:cs="Times New Roman"/>
          <w:i/>
          <w:sz w:val="24"/>
          <w:szCs w:val="24"/>
        </w:rPr>
        <w:t>Npvf</w:t>
      </w:r>
      <w:r w:rsidRPr="00E75E15">
        <w:rPr>
          <w:rFonts w:ascii="Times New Roman" w:eastAsia="Times New Roman" w:hAnsi="Times New Roman" w:cs="Times New Roman"/>
          <w:sz w:val="24"/>
          <w:szCs w:val="24"/>
        </w:rPr>
        <w:t xml:space="preserve">) in the LH in stressed hamsters. </w:t>
      </w:r>
      <w:r w:rsidRPr="00E75E15">
        <w:rPr>
          <w:rFonts w:ascii="Times New Roman" w:eastAsia="Times New Roman" w:hAnsi="Times New Roman" w:cs="Times New Roman"/>
          <w:i/>
          <w:sz w:val="24"/>
          <w:szCs w:val="24"/>
        </w:rPr>
        <w:t>Npvf</w:t>
      </w:r>
      <w:r w:rsidRPr="00E75E15">
        <w:rPr>
          <w:rFonts w:ascii="Times New Roman" w:eastAsia="Times New Roman" w:hAnsi="Times New Roman" w:cs="Times New Roman"/>
          <w:sz w:val="24"/>
          <w:szCs w:val="24"/>
        </w:rPr>
        <w:t xml:space="preserve"> is a precursor peptide for RFRP-3, which makes the upregulation in the LH and absence of change in the DMH interesting. In hamsters, occurrence of RFRP-3 expressing cell bodies can extend to perifornical areas </w:t>
      </w:r>
      <w:hyperlink r:id="rId59">
        <w:r w:rsidR="00B23511" w:rsidRPr="00E75E15">
          <w:rPr>
            <w:rFonts w:ascii="Times New Roman" w:eastAsia="Times New Roman" w:hAnsi="Times New Roman" w:cs="Times New Roman"/>
            <w:sz w:val="24"/>
            <w:szCs w:val="24"/>
          </w:rPr>
          <w:t>(Kriegsfeld et al., 2010)</w:t>
        </w:r>
      </w:hyperlink>
      <w:r w:rsidRPr="00E75E15">
        <w:rPr>
          <w:rFonts w:ascii="Times New Roman" w:eastAsia="Times New Roman" w:hAnsi="Times New Roman" w:cs="Times New Roman"/>
          <w:sz w:val="24"/>
          <w:szCs w:val="24"/>
        </w:rPr>
        <w:t xml:space="preserve">. While the majority of DMH </w:t>
      </w:r>
      <w:r w:rsidRPr="00E75E15">
        <w:rPr>
          <w:rFonts w:ascii="Times New Roman" w:eastAsia="Times New Roman" w:hAnsi="Times New Roman" w:cs="Times New Roman"/>
          <w:i/>
          <w:sz w:val="24"/>
          <w:szCs w:val="24"/>
        </w:rPr>
        <w:t>Npvf</w:t>
      </w:r>
      <w:r w:rsidRPr="00E75E15">
        <w:rPr>
          <w:rFonts w:ascii="Times New Roman" w:eastAsia="Times New Roman" w:hAnsi="Times New Roman" w:cs="Times New Roman"/>
          <w:sz w:val="24"/>
          <w:szCs w:val="24"/>
        </w:rPr>
        <w:t xml:space="preserve">-expressing cells did not differ between groups, a subset of these more laterally located neurons are upregulated by stress. Nevertheless, possible upregulation of RFRP-3, the formerly-putative gonadotropin inhibitory hormone </w:t>
      </w:r>
      <w:hyperlink r:id="rId60">
        <w:r w:rsidR="00B23511" w:rsidRPr="00E75E15">
          <w:rPr>
            <w:rFonts w:ascii="Times New Roman" w:eastAsia="Times New Roman" w:hAnsi="Times New Roman" w:cs="Times New Roman"/>
            <w:sz w:val="24"/>
            <w:szCs w:val="24"/>
          </w:rPr>
          <w:t>(Kriegsfeld et al., 2018, 2010; Yano et al., 2003)</w:t>
        </w:r>
      </w:hyperlink>
      <w:r w:rsidRPr="00E75E15">
        <w:rPr>
          <w:rFonts w:ascii="Times New Roman" w:eastAsia="Times New Roman" w:hAnsi="Times New Roman" w:cs="Times New Roman"/>
          <w:sz w:val="24"/>
          <w:szCs w:val="24"/>
        </w:rPr>
        <w:t xml:space="preserve">, aligns with prior findings of short-term, 50% reductions in testosterone in stressed male hamsters </w:t>
      </w:r>
      <w:hyperlink r:id="rId61">
        <w:r w:rsidR="00B23511" w:rsidRPr="00E75E15">
          <w:rPr>
            <w:rFonts w:ascii="Times New Roman" w:eastAsia="Times New Roman" w:hAnsi="Times New Roman" w:cs="Times New Roman"/>
            <w:sz w:val="24"/>
            <w:szCs w:val="24"/>
          </w:rPr>
          <w:t>(Wommack et al., 2004)</w:t>
        </w:r>
      </w:hyperlink>
      <w:r w:rsidRPr="00E75E15">
        <w:rPr>
          <w:rFonts w:ascii="Times New Roman" w:eastAsia="Times New Roman" w:hAnsi="Times New Roman" w:cs="Times New Roman"/>
          <w:sz w:val="24"/>
          <w:szCs w:val="24"/>
        </w:rPr>
        <w:t xml:space="preserve">. Stressed adolescent male hamsters also tend to hoard more food </w:t>
      </w:r>
      <w:hyperlink r:id="rId62">
        <w:r w:rsidR="00B23511" w:rsidRPr="00E75E15">
          <w:rPr>
            <w:rFonts w:ascii="Times New Roman" w:eastAsia="Times New Roman" w:hAnsi="Times New Roman" w:cs="Times New Roman"/>
            <w:sz w:val="24"/>
            <w:szCs w:val="24"/>
          </w:rPr>
          <w:t>(Moran et al., 2025b, 2021)</w:t>
        </w:r>
      </w:hyperlink>
      <w:r w:rsidRPr="00E75E15">
        <w:rPr>
          <w:rFonts w:ascii="Times New Roman" w:eastAsia="Times New Roman" w:hAnsi="Times New Roman" w:cs="Times New Roman"/>
          <w:sz w:val="24"/>
          <w:szCs w:val="24"/>
        </w:rPr>
        <w:t xml:space="preserve">, and RFRP-3 is involved in food hoarding behavior in hamsters, though more so in low estrogen-state females </w:t>
      </w:r>
      <w:hyperlink r:id="rId63">
        <w:r w:rsidR="00B23511" w:rsidRPr="00E75E15">
          <w:rPr>
            <w:rFonts w:ascii="Times New Roman" w:eastAsia="Times New Roman" w:hAnsi="Times New Roman" w:cs="Times New Roman"/>
            <w:sz w:val="24"/>
            <w:szCs w:val="24"/>
          </w:rPr>
          <w:t>(Benton et al., 2018)</w:t>
        </w:r>
      </w:hyperlink>
      <w:r w:rsidRPr="00E75E15">
        <w:rPr>
          <w:rFonts w:ascii="Times New Roman" w:eastAsia="Times New Roman" w:hAnsi="Times New Roman" w:cs="Times New Roman"/>
          <w:sz w:val="24"/>
          <w:szCs w:val="24"/>
        </w:rPr>
        <w:t xml:space="preserve">. Additionally, in mice, whole hypothalamic </w:t>
      </w:r>
      <w:r w:rsidRPr="00E75E15">
        <w:rPr>
          <w:rFonts w:ascii="Times New Roman" w:eastAsia="Times New Roman" w:hAnsi="Times New Roman" w:cs="Times New Roman"/>
          <w:i/>
          <w:sz w:val="24"/>
          <w:szCs w:val="24"/>
        </w:rPr>
        <w:t>Npvf</w:t>
      </w:r>
      <w:r w:rsidRPr="00E75E15">
        <w:rPr>
          <w:rFonts w:ascii="Times New Roman" w:eastAsia="Times New Roman" w:hAnsi="Times New Roman" w:cs="Times New Roman"/>
          <w:sz w:val="24"/>
          <w:szCs w:val="24"/>
        </w:rPr>
        <w:t xml:space="preserve"> expression is decreased in cold temperatures alongside enhanced thermogenesis, regardless of diet, leptin, or body fat </w:t>
      </w:r>
      <w:hyperlink r:id="rId64">
        <w:r w:rsidR="00B23511" w:rsidRPr="00E75E15">
          <w:rPr>
            <w:rFonts w:ascii="Times New Roman" w:eastAsia="Times New Roman" w:hAnsi="Times New Roman" w:cs="Times New Roman"/>
            <w:sz w:val="24"/>
            <w:szCs w:val="24"/>
          </w:rPr>
          <w:t>(Jaroslawska et al., 2015)</w:t>
        </w:r>
      </w:hyperlink>
      <w:r w:rsidRPr="00E75E15">
        <w:rPr>
          <w:rFonts w:ascii="Times New Roman" w:eastAsia="Times New Roman" w:hAnsi="Times New Roman" w:cs="Times New Roman"/>
          <w:sz w:val="24"/>
          <w:szCs w:val="24"/>
        </w:rPr>
        <w:t xml:space="preserve">, suggesting it may have a metabolic role independent of RFRP-3 that yet functionally coordinates with its gonadotropin inhibitory role. </w:t>
      </w:r>
      <w:r w:rsidRPr="00E75E15">
        <w:rPr>
          <w:rFonts w:ascii="Times New Roman" w:eastAsia="Times New Roman" w:hAnsi="Times New Roman" w:cs="Times New Roman"/>
          <w:i/>
          <w:sz w:val="24"/>
          <w:szCs w:val="24"/>
        </w:rPr>
        <w:t>Npvf</w:t>
      </w:r>
      <w:r w:rsidRPr="00E75E15">
        <w:rPr>
          <w:rFonts w:ascii="Times New Roman" w:eastAsia="Times New Roman" w:hAnsi="Times New Roman" w:cs="Times New Roman"/>
          <w:sz w:val="24"/>
          <w:szCs w:val="24"/>
        </w:rPr>
        <w:t xml:space="preserve"> upregulation may also alter sleep patterns, as </w:t>
      </w:r>
      <w:r w:rsidRPr="00E75E15">
        <w:rPr>
          <w:rFonts w:ascii="Times New Roman" w:eastAsia="Times New Roman" w:hAnsi="Times New Roman" w:cs="Times New Roman"/>
          <w:i/>
          <w:sz w:val="24"/>
          <w:szCs w:val="24"/>
        </w:rPr>
        <w:t>Nvpf</w:t>
      </w:r>
      <w:r w:rsidRPr="00E75E15">
        <w:rPr>
          <w:rFonts w:ascii="Times New Roman" w:eastAsia="Times New Roman" w:hAnsi="Times New Roman" w:cs="Times New Roman"/>
          <w:sz w:val="24"/>
          <w:szCs w:val="24"/>
        </w:rPr>
        <w:t xml:space="preserve"> expression is necessary for sleep in zebrafish </w:t>
      </w:r>
      <w:hyperlink r:id="rId65">
        <w:r w:rsidR="00B23511" w:rsidRPr="00E75E15">
          <w:rPr>
            <w:rFonts w:ascii="Times New Roman" w:eastAsia="Times New Roman" w:hAnsi="Times New Roman" w:cs="Times New Roman"/>
            <w:sz w:val="24"/>
            <w:szCs w:val="24"/>
          </w:rPr>
          <w:t>(Lee et al., 2017)</w:t>
        </w:r>
      </w:hyperlink>
      <w:r w:rsidRPr="00E75E15">
        <w:rPr>
          <w:rFonts w:ascii="Times New Roman" w:eastAsia="Times New Roman" w:hAnsi="Times New Roman" w:cs="Times New Roman"/>
          <w:sz w:val="24"/>
          <w:szCs w:val="24"/>
        </w:rPr>
        <w:t xml:space="preserve">. Here, </w:t>
      </w:r>
      <w:r w:rsidRPr="00E75E15">
        <w:rPr>
          <w:rFonts w:ascii="Times New Roman" w:eastAsia="Times New Roman" w:hAnsi="Times New Roman" w:cs="Times New Roman"/>
          <w:i/>
          <w:sz w:val="24"/>
          <w:szCs w:val="24"/>
        </w:rPr>
        <w:t>Nvpf</w:t>
      </w:r>
      <w:r w:rsidRPr="00E75E15">
        <w:rPr>
          <w:rFonts w:ascii="Times New Roman" w:eastAsia="Times New Roman" w:hAnsi="Times New Roman" w:cs="Times New Roman"/>
          <w:sz w:val="24"/>
          <w:szCs w:val="24"/>
        </w:rPr>
        <w:t xml:space="preserve"> may be playing competing roles regarding metabolic processes that require further study. </w:t>
      </w:r>
    </w:p>
    <w:p w14:paraId="7A616AC4"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In the LH, the melanocortin 3 receptor was significantly upregulated in stressed subjects. </w:t>
      </w:r>
      <w:r w:rsidRPr="00E75E15">
        <w:rPr>
          <w:rFonts w:ascii="Times New Roman" w:eastAsia="Times New Roman" w:hAnsi="Times New Roman" w:cs="Times New Roman"/>
          <w:i/>
          <w:sz w:val="24"/>
          <w:szCs w:val="24"/>
        </w:rPr>
        <w:t xml:space="preserve">Mc3r </w:t>
      </w:r>
      <w:r w:rsidRPr="00E75E15">
        <w:rPr>
          <w:rFonts w:ascii="Times New Roman" w:eastAsia="Times New Roman" w:hAnsi="Times New Roman" w:cs="Times New Roman"/>
          <w:sz w:val="24"/>
          <w:szCs w:val="24"/>
        </w:rPr>
        <w:t xml:space="preserve">codes for a receptor of melanocyte-stimulating hormone, which has anorexigenic downstream effects </w:t>
      </w:r>
      <w:hyperlink r:id="rId66">
        <w:r w:rsidR="00B23511" w:rsidRPr="00E75E15">
          <w:rPr>
            <w:rFonts w:ascii="Times New Roman" w:eastAsia="Times New Roman" w:hAnsi="Times New Roman" w:cs="Times New Roman"/>
            <w:sz w:val="24"/>
            <w:szCs w:val="24"/>
          </w:rPr>
          <w:t>(Maniam and Morris, 2012; Roselli-Rehfuss et al., 1993)</w:t>
        </w:r>
      </w:hyperlink>
      <w:r w:rsidRPr="00E75E15">
        <w:rPr>
          <w:rFonts w:ascii="Times New Roman" w:eastAsia="Times New Roman" w:hAnsi="Times New Roman" w:cs="Times New Roman"/>
          <w:sz w:val="24"/>
          <w:szCs w:val="24"/>
        </w:rPr>
        <w:t xml:space="preserve">. Since the LH is </w:t>
      </w:r>
      <w:r w:rsidRPr="00E75E15">
        <w:rPr>
          <w:rFonts w:ascii="Times New Roman" w:eastAsia="Times New Roman" w:hAnsi="Times New Roman" w:cs="Times New Roman"/>
          <w:sz w:val="24"/>
          <w:szCs w:val="24"/>
        </w:rPr>
        <w:lastRenderedPageBreak/>
        <w:t xml:space="preserve">also the home of α-MSH containing neurons </w:t>
      </w:r>
      <w:hyperlink r:id="rId67">
        <w:r w:rsidR="00B23511" w:rsidRPr="00E75E15">
          <w:rPr>
            <w:rFonts w:ascii="Times New Roman" w:eastAsia="Times New Roman" w:hAnsi="Times New Roman" w:cs="Times New Roman"/>
            <w:sz w:val="24"/>
            <w:szCs w:val="24"/>
          </w:rPr>
          <w:t>(Legrand et al., 2015; Olszewski et al., 2001)</w:t>
        </w:r>
      </w:hyperlink>
      <w:r w:rsidRPr="00E75E15">
        <w:rPr>
          <w:rFonts w:ascii="Times New Roman" w:eastAsia="Times New Roman" w:hAnsi="Times New Roman" w:cs="Times New Roman"/>
          <w:sz w:val="24"/>
          <w:szCs w:val="24"/>
        </w:rPr>
        <w:t>, MC3R upregulation suggests a local action altered by stress, potentially in competing homeostatic processes.</w:t>
      </w:r>
    </w:p>
    <w:p w14:paraId="0649D7AB"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We also observed differential up- and down-regulation of the orphan receptor G protein-coupled receptor 50 (</w:t>
      </w:r>
      <w:r w:rsidRPr="00E75E15">
        <w:rPr>
          <w:rFonts w:ascii="Times New Roman" w:eastAsia="Times New Roman" w:hAnsi="Times New Roman" w:cs="Times New Roman"/>
          <w:i/>
          <w:sz w:val="24"/>
          <w:szCs w:val="24"/>
        </w:rPr>
        <w:t>Gpr50</w:t>
      </w:r>
      <w:r w:rsidRPr="00E75E15">
        <w:rPr>
          <w:rFonts w:ascii="Times New Roman" w:eastAsia="Times New Roman" w:hAnsi="Times New Roman" w:cs="Times New Roman"/>
          <w:sz w:val="24"/>
          <w:szCs w:val="24"/>
        </w:rPr>
        <w:t xml:space="preserve">) between the LH and DMH. </w:t>
      </w:r>
      <w:r w:rsidRPr="00E75E15">
        <w:rPr>
          <w:rFonts w:ascii="Times New Roman" w:eastAsia="Times New Roman" w:hAnsi="Times New Roman" w:cs="Times New Roman"/>
          <w:i/>
          <w:sz w:val="24"/>
          <w:szCs w:val="24"/>
        </w:rPr>
        <w:t>Gpr50</w:t>
      </w:r>
      <w:r w:rsidRPr="00E75E15">
        <w:rPr>
          <w:rFonts w:ascii="Times New Roman" w:eastAsia="Times New Roman" w:hAnsi="Times New Roman" w:cs="Times New Roman"/>
          <w:sz w:val="24"/>
          <w:szCs w:val="24"/>
        </w:rPr>
        <w:t xml:space="preserve"> is involved in cellular leptin sensitivity and leptin-induced thermogenesis in mice </w:t>
      </w:r>
      <w:hyperlink r:id="rId68">
        <w:r w:rsidR="00B23511" w:rsidRPr="00E75E15">
          <w:rPr>
            <w:rFonts w:ascii="Times New Roman" w:eastAsia="Times New Roman" w:hAnsi="Times New Roman" w:cs="Times New Roman"/>
            <w:sz w:val="24"/>
            <w:szCs w:val="24"/>
          </w:rPr>
          <w:t>(Bechtold et al., 2012; Khan et al., 2016; Sidibe et al., 2010)</w:t>
        </w:r>
      </w:hyperlink>
      <w:r w:rsidRPr="00E75E15">
        <w:rPr>
          <w:rFonts w:ascii="Times New Roman" w:eastAsia="Times New Roman" w:hAnsi="Times New Roman" w:cs="Times New Roman"/>
          <w:sz w:val="24"/>
          <w:szCs w:val="24"/>
        </w:rPr>
        <w:t xml:space="preserve">. These processes are likely altered by stress in hamsters, both in relation to body fat gain and a number of other differentially expressed genes. We observed no </w:t>
      </w:r>
      <w:r w:rsidRPr="00E75E15">
        <w:rPr>
          <w:rFonts w:ascii="Times New Roman" w:eastAsia="Times New Roman" w:hAnsi="Times New Roman" w:cs="Times New Roman"/>
          <w:i/>
          <w:sz w:val="24"/>
          <w:szCs w:val="24"/>
        </w:rPr>
        <w:t>Gpr50</w:t>
      </w:r>
      <w:r w:rsidRPr="00E75E15">
        <w:rPr>
          <w:rFonts w:ascii="Times New Roman" w:eastAsia="Times New Roman" w:hAnsi="Times New Roman" w:cs="Times New Roman"/>
          <w:sz w:val="24"/>
          <w:szCs w:val="24"/>
        </w:rPr>
        <w:t xml:space="preserve"> expression in the ARC (which very likely included tissue from the median eminence due to their proximity) despite consistent expression in the median eminence in other rodents and humans </w:t>
      </w:r>
      <w:hyperlink r:id="rId69">
        <w:r w:rsidR="00B23511" w:rsidRPr="00E75E15">
          <w:rPr>
            <w:rFonts w:ascii="Times New Roman" w:eastAsia="Times New Roman" w:hAnsi="Times New Roman" w:cs="Times New Roman"/>
            <w:sz w:val="24"/>
            <w:szCs w:val="24"/>
          </w:rPr>
          <w:t>(Sidibe et al., 2010)</w:t>
        </w:r>
      </w:hyperlink>
      <w:r w:rsidRPr="00E75E15">
        <w:rPr>
          <w:rFonts w:ascii="Times New Roman" w:eastAsia="Times New Roman" w:hAnsi="Times New Roman" w:cs="Times New Roman"/>
        </w:rPr>
        <w:t>.</w:t>
      </w:r>
      <w:r w:rsidRPr="00E75E15">
        <w:rPr>
          <w:rFonts w:ascii="Times New Roman" w:eastAsia="Times New Roman" w:hAnsi="Times New Roman" w:cs="Times New Roman"/>
          <w:sz w:val="24"/>
          <w:szCs w:val="24"/>
        </w:rPr>
        <w:t xml:space="preserve"> </w:t>
      </w:r>
      <w:r w:rsidRPr="00E75E15">
        <w:rPr>
          <w:rFonts w:ascii="Times New Roman" w:eastAsia="Times New Roman" w:hAnsi="Times New Roman" w:cs="Times New Roman"/>
          <w:i/>
          <w:sz w:val="24"/>
          <w:szCs w:val="24"/>
        </w:rPr>
        <w:t>Gpr50</w:t>
      </w:r>
      <w:r w:rsidRPr="00E75E15">
        <w:rPr>
          <w:rFonts w:ascii="Times New Roman" w:eastAsia="Times New Roman" w:hAnsi="Times New Roman" w:cs="Times New Roman"/>
          <w:sz w:val="24"/>
          <w:szCs w:val="24"/>
        </w:rPr>
        <w:t xml:space="preserve"> is also necessary for cellular stress-induced mitochondrial autophagy responses </w:t>
      </w:r>
      <w:hyperlink r:id="rId70">
        <w:r w:rsidR="00B23511" w:rsidRPr="00E75E15">
          <w:rPr>
            <w:rFonts w:ascii="Times New Roman" w:eastAsia="Times New Roman" w:hAnsi="Times New Roman" w:cs="Times New Roman"/>
            <w:sz w:val="24"/>
            <w:szCs w:val="24"/>
          </w:rPr>
          <w:t>(Liu et al., 2024)</w:t>
        </w:r>
      </w:hyperlink>
      <w:r w:rsidRPr="00E75E15">
        <w:rPr>
          <w:rFonts w:ascii="Times New Roman" w:eastAsia="Times New Roman" w:hAnsi="Times New Roman" w:cs="Times New Roman"/>
          <w:sz w:val="24"/>
          <w:szCs w:val="24"/>
        </w:rPr>
        <w:t xml:space="preserve">, deepening its metabolic role. Along this line, the DMH WGCNA darkred module, which is involved in cellular respiration, was also downregulated in stressed subjects. The five most central hub genes in this module have few functions classically associated with stress exposure, emphasizing the importance of analyzing transcriptomic datasets from more than just a DEG perspective, and highlighting these genes as potential focal points of future studies. Additionally, </w:t>
      </w:r>
      <w:r w:rsidRPr="00E75E15">
        <w:rPr>
          <w:rFonts w:ascii="Times New Roman" w:eastAsia="Times New Roman" w:hAnsi="Times New Roman" w:cs="Times New Roman"/>
          <w:i/>
          <w:sz w:val="24"/>
          <w:szCs w:val="24"/>
        </w:rPr>
        <w:t>selenom</w:t>
      </w:r>
      <w:r w:rsidRPr="00E75E15">
        <w:rPr>
          <w:rFonts w:ascii="Times New Roman" w:eastAsia="Times New Roman" w:hAnsi="Times New Roman" w:cs="Times New Roman"/>
          <w:sz w:val="24"/>
          <w:szCs w:val="24"/>
        </w:rPr>
        <w:t xml:space="preserve">, a hub gene in the downregulated ARC WGCNA purple module, has also been previously associated with the development of insulin resistance, obesity, and neuroinflammation when it is exogenously inhibited or knocked-out </w:t>
      </w:r>
      <w:hyperlink r:id="rId71">
        <w:r w:rsidR="00B23511" w:rsidRPr="00E75E15">
          <w:rPr>
            <w:rFonts w:ascii="Times New Roman" w:eastAsia="Times New Roman" w:hAnsi="Times New Roman" w:cs="Times New Roman"/>
            <w:sz w:val="24"/>
            <w:szCs w:val="24"/>
          </w:rPr>
          <w:t>(Cai et al., 2024; Lin et al., 2023)</w:t>
        </w:r>
      </w:hyperlink>
      <w:r w:rsidRPr="00E75E15">
        <w:rPr>
          <w:rFonts w:ascii="Times New Roman" w:eastAsia="Times New Roman" w:hAnsi="Times New Roman" w:cs="Times New Roman"/>
          <w:sz w:val="24"/>
          <w:szCs w:val="24"/>
        </w:rPr>
        <w:t xml:space="preserve">. While others have investigated its role in the hippocampus </w:t>
      </w:r>
      <w:hyperlink r:id="rId72">
        <w:r w:rsidR="00B23511" w:rsidRPr="00E75E15">
          <w:rPr>
            <w:rFonts w:ascii="Times New Roman" w:eastAsia="Times New Roman" w:hAnsi="Times New Roman" w:cs="Times New Roman"/>
            <w:sz w:val="24"/>
            <w:szCs w:val="24"/>
          </w:rPr>
          <w:t>(Lin et al., 2023)</w:t>
        </w:r>
      </w:hyperlink>
      <w:r w:rsidRPr="00E75E15">
        <w:rPr>
          <w:rFonts w:ascii="Times New Roman" w:eastAsia="Times New Roman" w:hAnsi="Times New Roman" w:cs="Times New Roman"/>
          <w:sz w:val="24"/>
          <w:szCs w:val="24"/>
        </w:rPr>
        <w:t xml:space="preserve"> and adipose tissue </w:t>
      </w:r>
      <w:hyperlink r:id="rId73">
        <w:r w:rsidR="00B23511" w:rsidRPr="00E75E15">
          <w:rPr>
            <w:rFonts w:ascii="Times New Roman" w:eastAsia="Times New Roman" w:hAnsi="Times New Roman" w:cs="Times New Roman"/>
            <w:sz w:val="24"/>
            <w:szCs w:val="24"/>
          </w:rPr>
          <w:t>(Cai et al., 2024)</w:t>
        </w:r>
      </w:hyperlink>
      <w:r w:rsidRPr="00E75E15">
        <w:rPr>
          <w:rFonts w:ascii="Times New Roman" w:eastAsia="Times New Roman" w:hAnsi="Times New Roman" w:cs="Times New Roman"/>
          <w:sz w:val="24"/>
          <w:szCs w:val="24"/>
        </w:rPr>
        <w:t xml:space="preserve">, its role in the hypothalamus is a potential target of future research. </w:t>
      </w:r>
    </w:p>
    <w:p w14:paraId="59E37557"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lastRenderedPageBreak/>
        <w:t>Other genes in the downregulated ARC WGCNA purple module and the DMH darkred module are associated with ribosomal and mitochondrial ribosomal proteins (</w:t>
      </w:r>
      <w:r w:rsidRPr="00E75E15">
        <w:rPr>
          <w:rFonts w:ascii="Times New Roman" w:eastAsia="Times New Roman" w:hAnsi="Times New Roman" w:cs="Times New Roman"/>
          <w:i/>
          <w:sz w:val="24"/>
          <w:szCs w:val="24"/>
        </w:rPr>
        <w:t>Rps</w:t>
      </w:r>
      <w:r w:rsidRPr="00E75E15">
        <w:rPr>
          <w:rFonts w:ascii="Times New Roman" w:eastAsia="Times New Roman" w:hAnsi="Times New Roman" w:cs="Times New Roman"/>
          <w:sz w:val="24"/>
          <w:szCs w:val="24"/>
        </w:rPr>
        <w:t xml:space="preserve">, </w:t>
      </w:r>
      <w:r w:rsidRPr="00E75E15">
        <w:rPr>
          <w:rFonts w:ascii="Times New Roman" w:eastAsia="Times New Roman" w:hAnsi="Times New Roman" w:cs="Times New Roman"/>
          <w:i/>
          <w:sz w:val="24"/>
          <w:szCs w:val="24"/>
        </w:rPr>
        <w:t>Rpl</w:t>
      </w:r>
      <w:r w:rsidRPr="00E75E15">
        <w:rPr>
          <w:rFonts w:ascii="Times New Roman" w:eastAsia="Times New Roman" w:hAnsi="Times New Roman" w:cs="Times New Roman"/>
          <w:sz w:val="24"/>
          <w:szCs w:val="24"/>
        </w:rPr>
        <w:t xml:space="preserve">, and </w:t>
      </w:r>
      <w:r w:rsidRPr="00E75E15">
        <w:rPr>
          <w:rFonts w:ascii="Times New Roman" w:eastAsia="Times New Roman" w:hAnsi="Times New Roman" w:cs="Times New Roman"/>
          <w:i/>
          <w:sz w:val="24"/>
          <w:szCs w:val="24"/>
        </w:rPr>
        <w:t>Mrpl</w:t>
      </w:r>
      <w:r w:rsidRPr="00E75E15">
        <w:rPr>
          <w:rFonts w:ascii="Times New Roman" w:eastAsia="Times New Roman" w:hAnsi="Times New Roman" w:cs="Times New Roman"/>
          <w:sz w:val="24"/>
          <w:szCs w:val="24"/>
        </w:rPr>
        <w:t xml:space="preserve">). However, Gene Ontology terms derived from differential gene expression suggest opposing patterns. In the ARC, one highly upregulated GO term was ribonucleoprotein complex biogenesis, while the same GO term was highly downregulated in the LH and DMH in stressed subjects. Others have found that chronic social stress upregulates many of these ribosomal genes in whole-hypothalamus RNAseq in C57BL/6J mice </w:t>
      </w:r>
      <w:hyperlink r:id="rId74">
        <w:r w:rsidR="00B23511" w:rsidRPr="00E75E15">
          <w:rPr>
            <w:rFonts w:ascii="Times New Roman" w:eastAsia="Times New Roman" w:hAnsi="Times New Roman" w:cs="Times New Roman"/>
            <w:sz w:val="24"/>
            <w:szCs w:val="24"/>
          </w:rPr>
          <w:t>(Smagin et al., 2016)</w:t>
        </w:r>
      </w:hyperlink>
      <w:r w:rsidRPr="00E75E15">
        <w:rPr>
          <w:rFonts w:ascii="Times New Roman" w:eastAsia="Times New Roman" w:hAnsi="Times New Roman" w:cs="Times New Roman"/>
          <w:sz w:val="24"/>
          <w:szCs w:val="24"/>
        </w:rPr>
        <w:t xml:space="preserve">. Our findings clearly show there is more nuance to these mechanisms, requiring further study. </w:t>
      </w:r>
    </w:p>
    <w:p w14:paraId="0619699E"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We observed a number of transcriptomic changes supporting our hypothesis that stress induces alterations to development-related gene expression. Across regions, a variety of both up- and down-regulated DEGs, GO terms, and WGCNA modules were related to RNA processing, development, neurogenesis, and maturation. As these data are from adolescent subjects, changes in development-related processes is not surprising. In fact, these changes could reflect longer-term alterations in gene expression. For example, in mice, similar developmental modules, such as those involved in multicellular organism development, nervous system development, and cell differentiation, are altered in adult animals that were exposed to early life stress, </w:t>
      </w:r>
      <w:hyperlink r:id="rId75">
        <w:r w:rsidR="00B23511" w:rsidRPr="00E75E15">
          <w:rPr>
            <w:rFonts w:ascii="Times New Roman" w:eastAsia="Times New Roman" w:hAnsi="Times New Roman" w:cs="Times New Roman"/>
            <w:sz w:val="24"/>
            <w:szCs w:val="24"/>
          </w:rPr>
          <w:t>(Peña et al., 2019)</w:t>
        </w:r>
      </w:hyperlink>
      <w:r w:rsidRPr="00E75E15">
        <w:rPr>
          <w:rFonts w:ascii="Times New Roman" w:eastAsia="Times New Roman" w:hAnsi="Times New Roman" w:cs="Times New Roman"/>
          <w:sz w:val="24"/>
          <w:szCs w:val="24"/>
        </w:rPr>
        <w:t xml:space="preserve">, suggesting that these changes can be quite long-lasting. Nevertheless, a primary GO term related to highly DEGs, mRNA processing, was downregulated in stressed hamsters in the LH and DMH, but upregulated in the ARC. This somewhat aligns with WGCNA-derived modules in these regions. The ARC WGCNA blue module was upregulated and contributes to RNA processing. Many of the hub genes in this module are directly related to chromatin remodeling, which is well known to be altered by stress </w:t>
      </w:r>
      <w:hyperlink r:id="rId76">
        <w:r w:rsidR="00B23511" w:rsidRPr="00E75E15">
          <w:rPr>
            <w:rFonts w:ascii="Times New Roman" w:eastAsia="Times New Roman" w:hAnsi="Times New Roman" w:cs="Times New Roman"/>
            <w:sz w:val="24"/>
            <w:szCs w:val="24"/>
          </w:rPr>
          <w:t>(Smith and Workman, 2012)</w:t>
        </w:r>
      </w:hyperlink>
      <w:r w:rsidRPr="00E75E15">
        <w:rPr>
          <w:rFonts w:ascii="Times New Roman" w:eastAsia="Times New Roman" w:hAnsi="Times New Roman" w:cs="Times New Roman"/>
          <w:sz w:val="24"/>
          <w:szCs w:val="24"/>
        </w:rPr>
        <w:t xml:space="preserve">, and suggests potentially long-term epigenetic changes in this model. Despite these changes, it is interesting </w:t>
      </w:r>
      <w:r w:rsidRPr="00E75E15">
        <w:rPr>
          <w:rFonts w:ascii="Times New Roman" w:eastAsia="Times New Roman" w:hAnsi="Times New Roman" w:cs="Times New Roman"/>
          <w:sz w:val="24"/>
          <w:szCs w:val="24"/>
        </w:rPr>
        <w:lastRenderedPageBreak/>
        <w:t>that we observed significant upregulation of growth hormone releasing hormone transcript (</w:t>
      </w:r>
      <w:r w:rsidRPr="00E75E15">
        <w:rPr>
          <w:rFonts w:ascii="Times New Roman" w:eastAsia="Times New Roman" w:hAnsi="Times New Roman" w:cs="Times New Roman"/>
          <w:i/>
          <w:sz w:val="24"/>
          <w:szCs w:val="24"/>
        </w:rPr>
        <w:t>ghrh</w:t>
      </w:r>
      <w:r w:rsidRPr="00E75E15">
        <w:rPr>
          <w:rFonts w:ascii="Times New Roman" w:eastAsia="Times New Roman" w:hAnsi="Times New Roman" w:cs="Times New Roman"/>
          <w:sz w:val="24"/>
          <w:szCs w:val="24"/>
        </w:rPr>
        <w:t xml:space="preserve">) in the LH, but not other hypothalamic regions. </w:t>
      </w:r>
    </w:p>
    <w:p w14:paraId="17F5922A" w14:textId="77777777" w:rsidR="00B23511" w:rsidRPr="00E75E15" w:rsidRDefault="00000000">
      <w:pPr>
        <w:spacing w:after="160" w:line="480" w:lineRule="auto"/>
        <w:ind w:firstLine="720"/>
        <w:rPr>
          <w:rFonts w:ascii="Times New Roman" w:eastAsia="Times New Roman" w:hAnsi="Times New Roman" w:cs="Times New Roman"/>
          <w:b/>
          <w:sz w:val="24"/>
          <w:szCs w:val="24"/>
        </w:rPr>
      </w:pPr>
      <w:r w:rsidRPr="00E75E15">
        <w:rPr>
          <w:rFonts w:ascii="Times New Roman" w:eastAsia="Times New Roman" w:hAnsi="Times New Roman" w:cs="Times New Roman"/>
          <w:sz w:val="24"/>
          <w:szCs w:val="24"/>
        </w:rPr>
        <w:t xml:space="preserve">WGCNA highlighted modules related to myelination both up- (LH magenta) and downregulated (LH yellow) by stress in the LH. Others have shown links between social dominance behaviors and myelination. In mice exposed to a shift in social environment that retained a prior dominant status in a previous colony, social reorganization was associated with myelination and oligodendrocyte development genes and modules in the amygdala </w:t>
      </w:r>
      <w:hyperlink r:id="rId77">
        <w:r w:rsidR="00B23511" w:rsidRPr="00E75E15">
          <w:rPr>
            <w:rFonts w:ascii="Times New Roman" w:eastAsia="Times New Roman" w:hAnsi="Times New Roman" w:cs="Times New Roman"/>
            <w:sz w:val="24"/>
            <w:szCs w:val="24"/>
          </w:rPr>
          <w:t>(Milewski et al., 2024)</w:t>
        </w:r>
      </w:hyperlink>
      <w:r w:rsidRPr="00E75E15">
        <w:rPr>
          <w:rFonts w:ascii="Times New Roman" w:eastAsia="Times New Roman" w:hAnsi="Times New Roman" w:cs="Times New Roman"/>
          <w:sz w:val="24"/>
          <w:szCs w:val="24"/>
        </w:rPr>
        <w:t xml:space="preserve">. Direct chronic social defeat in mice also induces downregulation of myelination related gene expression, followed by reduction in oligodendrocyte number and myelin protein levels and thickness in the medial prefrontal cortex, hippocampus, and nucleus accumbens </w:t>
      </w:r>
      <w:hyperlink r:id="rId78">
        <w:r w:rsidR="00B23511" w:rsidRPr="00E75E15">
          <w:rPr>
            <w:rFonts w:ascii="Times New Roman" w:eastAsia="Times New Roman" w:hAnsi="Times New Roman" w:cs="Times New Roman"/>
            <w:sz w:val="24"/>
            <w:szCs w:val="24"/>
          </w:rPr>
          <w:t>(Bonnefil et al., 2019; Lehmann et al., 2017)</w:t>
        </w:r>
      </w:hyperlink>
      <w:r w:rsidRPr="00E75E15">
        <w:rPr>
          <w:rFonts w:ascii="Times New Roman" w:eastAsia="Times New Roman" w:hAnsi="Times New Roman" w:cs="Times New Roman"/>
          <w:sz w:val="24"/>
          <w:szCs w:val="24"/>
        </w:rPr>
        <w:t xml:space="preserve">, though there is some variability in the prefrontal cortex and basolateral amygdala </w:t>
      </w:r>
      <w:hyperlink r:id="rId79">
        <w:r w:rsidR="00B23511" w:rsidRPr="00E75E15">
          <w:rPr>
            <w:rFonts w:ascii="Times New Roman" w:eastAsia="Times New Roman" w:hAnsi="Times New Roman" w:cs="Times New Roman"/>
            <w:sz w:val="24"/>
            <w:szCs w:val="24"/>
          </w:rPr>
          <w:t>(Cathomas et al., 2019; Poggi et al., 2022)</w:t>
        </w:r>
      </w:hyperlink>
      <w:r w:rsidRPr="00E75E15">
        <w:rPr>
          <w:rFonts w:ascii="Times New Roman" w:eastAsia="Times New Roman" w:hAnsi="Times New Roman" w:cs="Times New Roman"/>
          <w:sz w:val="24"/>
          <w:szCs w:val="24"/>
        </w:rPr>
        <w:t xml:space="preserve">. Our results are interesting in conjunction with the fact that adolescent-stressed hamsters become more socially aggressive, suggesting that myelinating processes may play a broader role in response to stress and social behaviors. Furthermore, rats that experienced chronic social stressors from mid- to late-adolescence have altered hippocampal white matter structure, especially paired with obesogenic dietary conditions </w:t>
      </w:r>
      <w:hyperlink r:id="rId80">
        <w:r w:rsidR="00B23511" w:rsidRPr="00E75E15">
          <w:rPr>
            <w:rFonts w:ascii="Times New Roman" w:eastAsia="Times New Roman" w:hAnsi="Times New Roman" w:cs="Times New Roman"/>
            <w:sz w:val="24"/>
            <w:szCs w:val="24"/>
          </w:rPr>
          <w:t>(Ontiveros-Ángel et al., 2024)</w:t>
        </w:r>
      </w:hyperlink>
      <w:r w:rsidRPr="00E75E15">
        <w:rPr>
          <w:rFonts w:ascii="Times New Roman" w:eastAsia="Times New Roman" w:hAnsi="Times New Roman" w:cs="Times New Roman"/>
          <w:sz w:val="24"/>
          <w:szCs w:val="24"/>
        </w:rPr>
        <w:t xml:space="preserve">. In humans that experienced early life abuse, these traits are correlated, such that in abused individuals, increased BMI is associated with decreased forebrain white matter connectivity, particularly with the lateral hypothalamus </w:t>
      </w:r>
      <w:hyperlink r:id="rId81">
        <w:r w:rsidR="00B23511" w:rsidRPr="00E75E15">
          <w:rPr>
            <w:rFonts w:ascii="Times New Roman" w:eastAsia="Times New Roman" w:hAnsi="Times New Roman" w:cs="Times New Roman"/>
            <w:sz w:val="24"/>
            <w:szCs w:val="24"/>
          </w:rPr>
          <w:t>(Luo et al., 2020)</w:t>
        </w:r>
      </w:hyperlink>
      <w:r w:rsidRPr="00E75E15">
        <w:rPr>
          <w:rFonts w:ascii="Times New Roman" w:eastAsia="Times New Roman" w:hAnsi="Times New Roman" w:cs="Times New Roman"/>
          <w:sz w:val="24"/>
          <w:szCs w:val="24"/>
        </w:rPr>
        <w:t xml:space="preserve">. Hub genes associated with these myelination-related modules included </w:t>
      </w:r>
      <w:r w:rsidRPr="00E75E15">
        <w:rPr>
          <w:rFonts w:ascii="Times New Roman" w:eastAsia="Times New Roman" w:hAnsi="Times New Roman" w:cs="Times New Roman"/>
          <w:i/>
          <w:sz w:val="24"/>
          <w:szCs w:val="24"/>
        </w:rPr>
        <w:t>mog</w:t>
      </w:r>
      <w:r w:rsidRPr="00E75E15">
        <w:rPr>
          <w:rFonts w:ascii="Times New Roman" w:eastAsia="Times New Roman" w:hAnsi="Times New Roman" w:cs="Times New Roman"/>
          <w:sz w:val="24"/>
          <w:szCs w:val="24"/>
        </w:rPr>
        <w:t xml:space="preserve">, myelin oligodendrocyte glycoprotein, and </w:t>
      </w:r>
      <w:r w:rsidRPr="00E75E15">
        <w:rPr>
          <w:rFonts w:ascii="Times New Roman" w:eastAsia="Times New Roman" w:hAnsi="Times New Roman" w:cs="Times New Roman"/>
          <w:i/>
          <w:sz w:val="24"/>
          <w:szCs w:val="24"/>
        </w:rPr>
        <w:t>cartpt</w:t>
      </w:r>
      <w:r w:rsidRPr="00E75E15">
        <w:rPr>
          <w:rFonts w:ascii="Times New Roman" w:eastAsia="Times New Roman" w:hAnsi="Times New Roman" w:cs="Times New Roman"/>
          <w:sz w:val="24"/>
          <w:szCs w:val="24"/>
        </w:rPr>
        <w:t xml:space="preserve">, cocaine and amphetamine regulated transcript (CART) preprotranscript. While the role of </w:t>
      </w:r>
      <w:r w:rsidRPr="00E75E15">
        <w:rPr>
          <w:rFonts w:ascii="Times New Roman" w:eastAsia="Times New Roman" w:hAnsi="Times New Roman" w:cs="Times New Roman"/>
          <w:i/>
          <w:sz w:val="24"/>
          <w:szCs w:val="24"/>
        </w:rPr>
        <w:t>mog</w:t>
      </w:r>
      <w:r w:rsidRPr="00E75E15">
        <w:rPr>
          <w:rFonts w:ascii="Times New Roman" w:eastAsia="Times New Roman" w:hAnsi="Times New Roman" w:cs="Times New Roman"/>
          <w:sz w:val="24"/>
          <w:szCs w:val="24"/>
        </w:rPr>
        <w:t xml:space="preserve"> in response to stress is less understood, other studies have found that </w:t>
      </w:r>
      <w:r w:rsidRPr="00E75E15">
        <w:rPr>
          <w:rFonts w:ascii="Times New Roman" w:eastAsia="Times New Roman" w:hAnsi="Times New Roman" w:cs="Times New Roman"/>
          <w:i/>
          <w:sz w:val="24"/>
          <w:szCs w:val="24"/>
        </w:rPr>
        <w:t>cartpt</w:t>
      </w:r>
      <w:r w:rsidRPr="00E75E15">
        <w:rPr>
          <w:rFonts w:ascii="Times New Roman" w:eastAsia="Times New Roman" w:hAnsi="Times New Roman" w:cs="Times New Roman"/>
          <w:sz w:val="24"/>
          <w:szCs w:val="24"/>
        </w:rPr>
        <w:t xml:space="preserve"> expression is positively correlated with stress susceptibility in the </w:t>
      </w:r>
      <w:r w:rsidRPr="00E75E15">
        <w:rPr>
          <w:rFonts w:ascii="Times New Roman" w:eastAsia="Times New Roman" w:hAnsi="Times New Roman" w:cs="Times New Roman"/>
          <w:sz w:val="24"/>
          <w:szCs w:val="24"/>
        </w:rPr>
        <w:lastRenderedPageBreak/>
        <w:t xml:space="preserve">hippocampus </w:t>
      </w:r>
      <w:hyperlink r:id="rId82">
        <w:r w:rsidR="00B23511" w:rsidRPr="00E75E15">
          <w:rPr>
            <w:rFonts w:ascii="Times New Roman" w:eastAsia="Times New Roman" w:hAnsi="Times New Roman" w:cs="Times New Roman"/>
            <w:sz w:val="24"/>
            <w:szCs w:val="24"/>
          </w:rPr>
          <w:t>(Long et al., 2023)</w:t>
        </w:r>
      </w:hyperlink>
      <w:r w:rsidRPr="00E75E15">
        <w:rPr>
          <w:rFonts w:ascii="Times New Roman" w:eastAsia="Times New Roman" w:hAnsi="Times New Roman" w:cs="Times New Roman"/>
          <w:sz w:val="24"/>
          <w:szCs w:val="24"/>
        </w:rPr>
        <w:t xml:space="preserve">, but positively associated with stress resilience in the anterior cingulate </w:t>
      </w:r>
      <w:hyperlink r:id="rId83">
        <w:r w:rsidR="00B23511" w:rsidRPr="00E75E15">
          <w:rPr>
            <w:rFonts w:ascii="Times New Roman" w:eastAsia="Times New Roman" w:hAnsi="Times New Roman" w:cs="Times New Roman"/>
            <w:sz w:val="24"/>
            <w:szCs w:val="24"/>
          </w:rPr>
          <w:t>(Funayama et al., 2023)</w:t>
        </w:r>
      </w:hyperlink>
      <w:r w:rsidRPr="00E75E15">
        <w:rPr>
          <w:rFonts w:ascii="Times New Roman" w:eastAsia="Times New Roman" w:hAnsi="Times New Roman" w:cs="Times New Roman"/>
          <w:sz w:val="24"/>
          <w:szCs w:val="24"/>
        </w:rPr>
        <w:t xml:space="preserve">. The fact that we observed no differential expression of </w:t>
      </w:r>
      <w:r w:rsidRPr="00E75E15">
        <w:rPr>
          <w:rFonts w:ascii="Times New Roman" w:eastAsia="Times New Roman" w:hAnsi="Times New Roman" w:cs="Times New Roman"/>
          <w:i/>
          <w:sz w:val="24"/>
          <w:szCs w:val="24"/>
        </w:rPr>
        <w:t>cartpt</w:t>
      </w:r>
      <w:r w:rsidRPr="00E75E15">
        <w:rPr>
          <w:rFonts w:ascii="Times New Roman" w:eastAsia="Times New Roman" w:hAnsi="Times New Roman" w:cs="Times New Roman"/>
          <w:sz w:val="24"/>
          <w:szCs w:val="24"/>
        </w:rPr>
        <w:t xml:space="preserve"> transcript despite its role in a functionally altered WGCNA module suggests increased study of CART in the LH is warranted. Thus, the effects of stress on myelinating processes and their interaction with metabolic function is important for continued research.</w:t>
      </w:r>
    </w:p>
    <w:p w14:paraId="42F51ED6"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Gene expression in our ARC samples was not as expected in some aspects. While others have found that adolescent stress in rats resulted in reduced </w:t>
      </w:r>
      <w:r w:rsidRPr="00E75E15">
        <w:rPr>
          <w:rFonts w:ascii="Times New Roman" w:eastAsia="Times New Roman" w:hAnsi="Times New Roman" w:cs="Times New Roman"/>
          <w:i/>
          <w:sz w:val="24"/>
          <w:szCs w:val="24"/>
        </w:rPr>
        <w:t>Pomc</w:t>
      </w:r>
      <w:r w:rsidRPr="00E75E15">
        <w:rPr>
          <w:rFonts w:ascii="Times New Roman" w:eastAsia="Times New Roman" w:hAnsi="Times New Roman" w:cs="Times New Roman"/>
          <w:sz w:val="24"/>
          <w:szCs w:val="24"/>
        </w:rPr>
        <w:t xml:space="preserve"> and </w:t>
      </w:r>
      <w:r w:rsidRPr="00E75E15">
        <w:rPr>
          <w:rFonts w:ascii="Times New Roman" w:eastAsia="Times New Roman" w:hAnsi="Times New Roman" w:cs="Times New Roman"/>
          <w:i/>
          <w:sz w:val="24"/>
          <w:szCs w:val="24"/>
        </w:rPr>
        <w:t>Cartpt</w:t>
      </w:r>
      <w:r w:rsidRPr="00E75E15">
        <w:rPr>
          <w:rFonts w:ascii="Times New Roman" w:eastAsia="Times New Roman" w:hAnsi="Times New Roman" w:cs="Times New Roman"/>
          <w:sz w:val="24"/>
          <w:szCs w:val="24"/>
        </w:rPr>
        <w:t xml:space="preserve"> expression in the ARC alongside reduction in body weight </w:t>
      </w:r>
      <w:hyperlink r:id="rId84">
        <w:r w:rsidR="00B23511" w:rsidRPr="00E75E15">
          <w:rPr>
            <w:rFonts w:ascii="Times New Roman" w:eastAsia="Times New Roman" w:hAnsi="Times New Roman" w:cs="Times New Roman"/>
            <w:sz w:val="24"/>
            <w:szCs w:val="24"/>
          </w:rPr>
          <w:t>(Krolick et al., 2022)</w:t>
        </w:r>
      </w:hyperlink>
      <w:r w:rsidRPr="00E75E15">
        <w:rPr>
          <w:rFonts w:ascii="Times New Roman" w:eastAsia="Times New Roman" w:hAnsi="Times New Roman" w:cs="Times New Roman"/>
          <w:sz w:val="24"/>
          <w:szCs w:val="24"/>
        </w:rPr>
        <w:t xml:space="preserve">. Though it is interesting that we observed no changes to the typical energy-sensing systems in the ARC, this species difference in gene expression may align with species typical metabolic outcomes </w:t>
      </w:r>
      <w:hyperlink r:id="rId85">
        <w:r w:rsidR="00B23511" w:rsidRPr="00E75E15">
          <w:rPr>
            <w:rFonts w:ascii="Times New Roman" w:eastAsia="Times New Roman" w:hAnsi="Times New Roman" w:cs="Times New Roman"/>
            <w:sz w:val="24"/>
            <w:szCs w:val="24"/>
          </w:rPr>
          <w:t>(Moran and Delville, 2024)</w:t>
        </w:r>
      </w:hyperlink>
      <w:r w:rsidRPr="00E75E15">
        <w:rPr>
          <w:rFonts w:ascii="Times New Roman" w:eastAsia="Times New Roman" w:hAnsi="Times New Roman" w:cs="Times New Roman"/>
          <w:sz w:val="24"/>
          <w:szCs w:val="24"/>
        </w:rPr>
        <w:t xml:space="preserve">. While we did observe differential expression in over 400 genes in the ARC, many of them, such as </w:t>
      </w:r>
      <w:r w:rsidRPr="00E75E15">
        <w:rPr>
          <w:rFonts w:ascii="Times New Roman" w:eastAsia="Times New Roman" w:hAnsi="Times New Roman" w:cs="Times New Roman"/>
          <w:i/>
          <w:sz w:val="24"/>
          <w:szCs w:val="24"/>
        </w:rPr>
        <w:t>Aqp1</w:t>
      </w:r>
      <w:r w:rsidRPr="00E75E15">
        <w:rPr>
          <w:rFonts w:ascii="Times New Roman" w:eastAsia="Times New Roman" w:hAnsi="Times New Roman" w:cs="Times New Roman"/>
          <w:sz w:val="24"/>
          <w:szCs w:val="24"/>
        </w:rPr>
        <w:t xml:space="preserve">, are involved in ventricle function </w:t>
      </w:r>
      <w:hyperlink r:id="rId86">
        <w:r w:rsidR="00B23511" w:rsidRPr="00E75E15">
          <w:rPr>
            <w:rFonts w:ascii="Times New Roman" w:eastAsia="Times New Roman" w:hAnsi="Times New Roman" w:cs="Times New Roman"/>
            <w:sz w:val="24"/>
            <w:szCs w:val="24"/>
          </w:rPr>
          <w:t>(Venero et al</w:t>
        </w:r>
      </w:hyperlink>
      <w:hyperlink r:id="rId87">
        <w:r w:rsidR="00B23511" w:rsidRPr="00E75E15">
          <w:rPr>
            <w:rFonts w:ascii="Times New Roman" w:eastAsia="Times New Roman" w:hAnsi="Times New Roman" w:cs="Times New Roman"/>
            <w:sz w:val="24"/>
            <w:szCs w:val="24"/>
          </w:rPr>
          <w:t>., 2001</w:t>
        </w:r>
      </w:hyperlink>
      <w:hyperlink r:id="rId88">
        <w:r w:rsidR="00B23511" w:rsidRPr="00E75E15">
          <w:rPr>
            <w:rFonts w:ascii="Times New Roman" w:eastAsia="Times New Roman" w:hAnsi="Times New Roman" w:cs="Times New Roman"/>
            <w:sz w:val="24"/>
            <w:szCs w:val="24"/>
          </w:rPr>
          <w:t>)</w:t>
        </w:r>
      </w:hyperlink>
      <w:r w:rsidRPr="00E75E15">
        <w:rPr>
          <w:rFonts w:ascii="Times New Roman" w:eastAsia="Times New Roman" w:hAnsi="Times New Roman" w:cs="Times New Roman"/>
          <w:sz w:val="24"/>
          <w:szCs w:val="24"/>
        </w:rPr>
        <w:t xml:space="preserve">, or immune function, such as </w:t>
      </w:r>
      <w:r w:rsidRPr="00E75E15">
        <w:rPr>
          <w:rFonts w:ascii="Times New Roman" w:eastAsia="Times New Roman" w:hAnsi="Times New Roman" w:cs="Times New Roman"/>
          <w:i/>
          <w:sz w:val="24"/>
          <w:szCs w:val="24"/>
        </w:rPr>
        <w:t>Ncf2</w:t>
      </w:r>
      <w:r w:rsidRPr="00E75E15">
        <w:rPr>
          <w:rFonts w:ascii="Times New Roman" w:eastAsia="Times New Roman" w:hAnsi="Times New Roman" w:cs="Times New Roman"/>
          <w:sz w:val="24"/>
          <w:szCs w:val="24"/>
        </w:rPr>
        <w:t xml:space="preserve"> or </w:t>
      </w:r>
      <w:r w:rsidRPr="00E75E15">
        <w:rPr>
          <w:rFonts w:ascii="Times New Roman" w:eastAsia="Times New Roman" w:hAnsi="Times New Roman" w:cs="Times New Roman"/>
          <w:i/>
          <w:sz w:val="24"/>
          <w:szCs w:val="24"/>
        </w:rPr>
        <w:t xml:space="preserve">Crlf1 </w:t>
      </w:r>
      <w:hyperlink r:id="rId89">
        <w:r w:rsidR="00B23511" w:rsidRPr="00E75E15">
          <w:rPr>
            <w:rFonts w:ascii="Times New Roman" w:eastAsia="Times New Roman" w:hAnsi="Times New Roman" w:cs="Times New Roman"/>
            <w:sz w:val="24"/>
            <w:szCs w:val="24"/>
          </w:rPr>
          <w:t>(Crisponi et al., 2022; Fernandez-Twinn et al., 2012)</w:t>
        </w:r>
      </w:hyperlink>
      <w:r w:rsidRPr="00E75E15">
        <w:rPr>
          <w:rFonts w:ascii="Times New Roman" w:eastAsia="Times New Roman" w:hAnsi="Times New Roman" w:cs="Times New Roman"/>
          <w:sz w:val="24"/>
          <w:szCs w:val="24"/>
        </w:rPr>
        <w:t xml:space="preserve">. WGCNA also highlighted the purple module in the ARC, related to blood vessel development, which was downregulated in stressed subjects. These processes may be related to stress and obesity through the neuroinflammatory effects of both of these conditions </w:t>
      </w:r>
      <w:hyperlink r:id="rId90">
        <w:r w:rsidR="00B23511" w:rsidRPr="00E75E15">
          <w:rPr>
            <w:rFonts w:ascii="Times New Roman" w:eastAsia="Times New Roman" w:hAnsi="Times New Roman" w:cs="Times New Roman"/>
            <w:sz w:val="24"/>
            <w:szCs w:val="24"/>
          </w:rPr>
          <w:t>(Ontiveros-Ángel et al., 2024)</w:t>
        </w:r>
      </w:hyperlink>
      <w:r w:rsidRPr="00E75E15">
        <w:rPr>
          <w:rFonts w:ascii="Times New Roman" w:eastAsia="Times New Roman" w:hAnsi="Times New Roman" w:cs="Times New Roman"/>
          <w:sz w:val="24"/>
          <w:szCs w:val="24"/>
        </w:rPr>
        <w:t xml:space="preserve">, thus causing changes in information received by metabolic-sensory arcuate neurons instead of gross changes in their expression. Follow up studies are needed to investigate this further. One of the downregulated GO terms derived from highly DEGs in the ARC was related to actin filament organization, further suggesting impairment of mechanical cellular sensory mechanisms. </w:t>
      </w:r>
    </w:p>
    <w:p w14:paraId="50ACDFD1"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More broadly, a plasma membrane permeability related module in the DMH (darkgrey) was upregulated in stressed subjects. One hub gene in this module, </w:t>
      </w:r>
      <w:r w:rsidRPr="00E75E15">
        <w:rPr>
          <w:rFonts w:ascii="Times New Roman" w:eastAsia="Times New Roman" w:hAnsi="Times New Roman" w:cs="Times New Roman"/>
          <w:i/>
          <w:sz w:val="24"/>
          <w:szCs w:val="24"/>
        </w:rPr>
        <w:t>c1qc</w:t>
      </w:r>
      <w:r w:rsidRPr="00E75E15">
        <w:rPr>
          <w:rFonts w:ascii="Times New Roman" w:eastAsia="Times New Roman" w:hAnsi="Times New Roman" w:cs="Times New Roman"/>
          <w:sz w:val="24"/>
          <w:szCs w:val="24"/>
        </w:rPr>
        <w:t xml:space="preserve">, encodes the complement C1q C chain. </w:t>
      </w:r>
      <w:r w:rsidRPr="00E75E15">
        <w:rPr>
          <w:rFonts w:ascii="Times New Roman" w:eastAsia="Times New Roman" w:hAnsi="Times New Roman" w:cs="Times New Roman"/>
          <w:i/>
          <w:sz w:val="24"/>
          <w:szCs w:val="24"/>
        </w:rPr>
        <w:t>C1qc</w:t>
      </w:r>
      <w:r w:rsidRPr="00E75E15">
        <w:rPr>
          <w:rFonts w:ascii="Times New Roman" w:eastAsia="Times New Roman" w:hAnsi="Times New Roman" w:cs="Times New Roman"/>
          <w:sz w:val="24"/>
          <w:szCs w:val="24"/>
        </w:rPr>
        <w:t xml:space="preserve"> is a component of the complement cascade, relevant for proper </w:t>
      </w:r>
      <w:r w:rsidRPr="00E75E15">
        <w:rPr>
          <w:rFonts w:ascii="Times New Roman" w:eastAsia="Times New Roman" w:hAnsi="Times New Roman" w:cs="Times New Roman"/>
          <w:sz w:val="24"/>
          <w:szCs w:val="24"/>
        </w:rPr>
        <w:lastRenderedPageBreak/>
        <w:t xml:space="preserve">immune function. Interestingly, upregulation of </w:t>
      </w:r>
      <w:r w:rsidRPr="00E75E15">
        <w:rPr>
          <w:rFonts w:ascii="Times New Roman" w:eastAsia="Times New Roman" w:hAnsi="Times New Roman" w:cs="Times New Roman"/>
          <w:i/>
          <w:sz w:val="24"/>
          <w:szCs w:val="24"/>
        </w:rPr>
        <w:t>c1qc</w:t>
      </w:r>
      <w:r w:rsidRPr="00E75E15">
        <w:rPr>
          <w:rFonts w:ascii="Times New Roman" w:eastAsia="Times New Roman" w:hAnsi="Times New Roman" w:cs="Times New Roman"/>
          <w:sz w:val="24"/>
          <w:szCs w:val="24"/>
        </w:rPr>
        <w:t xml:space="preserve">-related proteins in individuals that experienced trauma at age 12 was positively correlated with likelihood of psychotic experiences at age 18 </w:t>
      </w:r>
      <w:hyperlink r:id="rId91">
        <w:r w:rsidR="00B23511" w:rsidRPr="00E75E15">
          <w:rPr>
            <w:rFonts w:ascii="Times New Roman" w:eastAsia="Times New Roman" w:hAnsi="Times New Roman" w:cs="Times New Roman"/>
            <w:sz w:val="24"/>
            <w:szCs w:val="24"/>
          </w:rPr>
          <w:t>(Föcking et al., 2021)</w:t>
        </w:r>
      </w:hyperlink>
      <w:r w:rsidRPr="00E75E15">
        <w:rPr>
          <w:rFonts w:ascii="Times New Roman" w:eastAsia="Times New Roman" w:hAnsi="Times New Roman" w:cs="Times New Roman"/>
          <w:sz w:val="24"/>
          <w:szCs w:val="24"/>
        </w:rPr>
        <w:t xml:space="preserve">. Furthermore, </w:t>
      </w:r>
      <w:r w:rsidRPr="00E75E15">
        <w:rPr>
          <w:rFonts w:ascii="Times New Roman" w:eastAsia="Times New Roman" w:hAnsi="Times New Roman" w:cs="Times New Roman"/>
          <w:i/>
          <w:sz w:val="24"/>
          <w:szCs w:val="24"/>
        </w:rPr>
        <w:t>c1qc</w:t>
      </w:r>
      <w:r w:rsidRPr="00E75E15">
        <w:rPr>
          <w:rFonts w:ascii="Times New Roman" w:eastAsia="Times New Roman" w:hAnsi="Times New Roman" w:cs="Times New Roman"/>
          <w:sz w:val="24"/>
          <w:szCs w:val="24"/>
        </w:rPr>
        <w:t xml:space="preserve"> is upregulated in atherosclerotic arteries </w:t>
      </w:r>
      <w:hyperlink r:id="rId92">
        <w:r w:rsidR="00B23511" w:rsidRPr="00E75E15">
          <w:rPr>
            <w:rFonts w:ascii="Times New Roman" w:eastAsia="Times New Roman" w:hAnsi="Times New Roman" w:cs="Times New Roman"/>
            <w:sz w:val="24"/>
            <w:szCs w:val="24"/>
          </w:rPr>
          <w:t>(Cui et al., 2023)</w:t>
        </w:r>
      </w:hyperlink>
      <w:r w:rsidRPr="00E75E15">
        <w:rPr>
          <w:rFonts w:ascii="Times New Roman" w:eastAsia="Times New Roman" w:hAnsi="Times New Roman" w:cs="Times New Roman"/>
          <w:sz w:val="24"/>
          <w:szCs w:val="24"/>
        </w:rPr>
        <w:t xml:space="preserve">. Therefore both behaviorally and physiologically, elements of the complement cascade warrant further study in the stressed hamster model. The DMH WGCNA skyblue module was also related to immune function, specifically cellular response to interleukin-4. Hub genes here included </w:t>
      </w:r>
      <w:r w:rsidRPr="00E75E15">
        <w:rPr>
          <w:rFonts w:ascii="Times New Roman" w:eastAsia="Times New Roman" w:hAnsi="Times New Roman" w:cs="Times New Roman"/>
          <w:i/>
          <w:sz w:val="24"/>
          <w:szCs w:val="24"/>
        </w:rPr>
        <w:t>fgfr1</w:t>
      </w:r>
      <w:r w:rsidRPr="00E75E15">
        <w:rPr>
          <w:rFonts w:ascii="Times New Roman" w:eastAsia="Times New Roman" w:hAnsi="Times New Roman" w:cs="Times New Roman"/>
          <w:sz w:val="24"/>
          <w:szCs w:val="24"/>
        </w:rPr>
        <w:t xml:space="preserve">, fibroblast growth factor receptor. </w:t>
      </w:r>
      <w:r w:rsidRPr="00E75E15">
        <w:rPr>
          <w:rFonts w:ascii="Times New Roman" w:eastAsia="Times New Roman" w:hAnsi="Times New Roman" w:cs="Times New Roman"/>
          <w:i/>
          <w:sz w:val="24"/>
          <w:szCs w:val="24"/>
        </w:rPr>
        <w:t>Fgfr1</w:t>
      </w:r>
      <w:r w:rsidRPr="00E75E15">
        <w:rPr>
          <w:rFonts w:ascii="Times New Roman" w:eastAsia="Times New Roman" w:hAnsi="Times New Roman" w:cs="Times New Roman"/>
          <w:sz w:val="24"/>
          <w:szCs w:val="24"/>
        </w:rPr>
        <w:t xml:space="preserve"> has been more classically associated with obesogenic states in adipocytes </w:t>
      </w:r>
      <w:hyperlink r:id="rId93">
        <w:r w:rsidR="00B23511" w:rsidRPr="00E75E15">
          <w:rPr>
            <w:rFonts w:ascii="Times New Roman" w:eastAsia="Times New Roman" w:hAnsi="Times New Roman" w:cs="Times New Roman"/>
            <w:sz w:val="24"/>
            <w:szCs w:val="24"/>
          </w:rPr>
          <w:t>(Scioli et al., 2014; Ye et al., 2016)</w:t>
        </w:r>
      </w:hyperlink>
      <w:r w:rsidRPr="00E75E15">
        <w:rPr>
          <w:rFonts w:ascii="Times New Roman" w:eastAsia="Times New Roman" w:hAnsi="Times New Roman" w:cs="Times New Roman"/>
          <w:sz w:val="24"/>
          <w:szCs w:val="24"/>
        </w:rPr>
        <w:t xml:space="preserve">, and other fibroblast growth factor mechanisms are involved in the neural response to stress hormones </w:t>
      </w:r>
      <w:hyperlink r:id="rId94">
        <w:r w:rsidR="00B23511" w:rsidRPr="00E75E15">
          <w:rPr>
            <w:rFonts w:ascii="Times New Roman" w:eastAsia="Times New Roman" w:hAnsi="Times New Roman" w:cs="Times New Roman"/>
            <w:sz w:val="24"/>
            <w:szCs w:val="24"/>
          </w:rPr>
          <w:t>(Molteni et al., 2001)</w:t>
        </w:r>
      </w:hyperlink>
      <w:r w:rsidRPr="00E75E15">
        <w:rPr>
          <w:rFonts w:ascii="Times New Roman" w:eastAsia="Times New Roman" w:hAnsi="Times New Roman" w:cs="Times New Roman"/>
          <w:sz w:val="24"/>
          <w:szCs w:val="24"/>
        </w:rPr>
        <w:t xml:space="preserve">. Finally, the upregulation of </w:t>
      </w:r>
      <w:r w:rsidRPr="00E75E15">
        <w:rPr>
          <w:rFonts w:ascii="Times New Roman" w:eastAsia="Times New Roman" w:hAnsi="Times New Roman" w:cs="Times New Roman"/>
          <w:i/>
          <w:sz w:val="24"/>
          <w:szCs w:val="24"/>
        </w:rPr>
        <w:t>zfp36</w:t>
      </w:r>
      <w:r w:rsidRPr="00E75E15">
        <w:rPr>
          <w:rFonts w:ascii="Times New Roman" w:eastAsia="Times New Roman" w:hAnsi="Times New Roman" w:cs="Times New Roman"/>
          <w:sz w:val="24"/>
          <w:szCs w:val="24"/>
        </w:rPr>
        <w:t xml:space="preserve"> across all regions sampled in stressed subjects is notable. </w:t>
      </w:r>
      <w:r w:rsidRPr="00E75E15">
        <w:rPr>
          <w:rFonts w:ascii="Times New Roman" w:eastAsia="Times New Roman" w:hAnsi="Times New Roman" w:cs="Times New Roman"/>
          <w:i/>
          <w:sz w:val="24"/>
          <w:szCs w:val="24"/>
        </w:rPr>
        <w:t>Zfp36</w:t>
      </w:r>
      <w:r w:rsidRPr="00E75E15">
        <w:rPr>
          <w:rFonts w:ascii="Times New Roman" w:eastAsia="Times New Roman" w:hAnsi="Times New Roman" w:cs="Times New Roman"/>
          <w:sz w:val="24"/>
          <w:szCs w:val="24"/>
        </w:rPr>
        <w:t xml:space="preserve">, zinc finger protein 36, is also involved in immune-inflammatory responses and could be a critical hypothalamic target of future study </w:t>
      </w:r>
      <w:hyperlink r:id="rId95">
        <w:r w:rsidR="00B23511" w:rsidRPr="00E75E15">
          <w:rPr>
            <w:rFonts w:ascii="Times New Roman" w:eastAsia="Times New Roman" w:hAnsi="Times New Roman" w:cs="Times New Roman"/>
            <w:sz w:val="24"/>
            <w:szCs w:val="24"/>
          </w:rPr>
          <w:t>(Makita et al., 2021)</w:t>
        </w:r>
      </w:hyperlink>
      <w:r w:rsidRPr="00E75E15">
        <w:rPr>
          <w:rFonts w:ascii="Times New Roman" w:eastAsia="Times New Roman" w:hAnsi="Times New Roman" w:cs="Times New Roman"/>
          <w:sz w:val="24"/>
          <w:szCs w:val="24"/>
        </w:rPr>
        <w:t xml:space="preserve">. </w:t>
      </w:r>
    </w:p>
    <w:p w14:paraId="13133A3B" w14:textId="749CE80A"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Overall, the study outcome supported our initial hypotheses</w:t>
      </w:r>
      <w:r w:rsidR="006D3E5B" w:rsidRPr="00E75E15">
        <w:rPr>
          <w:rFonts w:ascii="Times New Roman" w:eastAsia="Times New Roman" w:hAnsi="Times New Roman" w:cs="Times New Roman"/>
          <w:sz w:val="24"/>
          <w:szCs w:val="24"/>
        </w:rPr>
        <w:t>.</w:t>
      </w:r>
      <w:r w:rsidRPr="00E75E15">
        <w:rPr>
          <w:rFonts w:ascii="Times New Roman" w:eastAsia="Times New Roman" w:hAnsi="Times New Roman" w:cs="Times New Roman"/>
          <w:sz w:val="24"/>
          <w:szCs w:val="24"/>
        </w:rPr>
        <w:t xml:space="preserve"> While </w:t>
      </w:r>
      <w:r w:rsidR="006D3E5B" w:rsidRPr="00E75E15">
        <w:rPr>
          <w:rFonts w:ascii="Times New Roman" w:eastAsia="Times New Roman" w:hAnsi="Times New Roman" w:cs="Times New Roman"/>
          <w:sz w:val="24"/>
          <w:szCs w:val="24"/>
        </w:rPr>
        <w:t xml:space="preserve">our </w:t>
      </w:r>
      <w:r w:rsidRPr="00E75E15">
        <w:rPr>
          <w:rFonts w:ascii="Times New Roman" w:eastAsia="Times New Roman" w:hAnsi="Times New Roman" w:cs="Times New Roman"/>
          <w:sz w:val="24"/>
          <w:szCs w:val="24"/>
        </w:rPr>
        <w:t>focus was on appetite- and obesity-related genes, it is clear that the experience causes profound alterations in multiple systems. The present data highlight systems related to myelination and immune function in the brain from multiple analytical perspectives as potential drivers of stress-induced changes. Future studies will likely further relate our findings to the behavioral and metabolic consequences of social stress during adolescence, whether they result in short- or long-term effects.</w:t>
      </w:r>
    </w:p>
    <w:p w14:paraId="63ADB316"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hAnsi="Times New Roman" w:cs="Times New Roman"/>
        </w:rPr>
        <w:br w:type="page"/>
      </w:r>
    </w:p>
    <w:p w14:paraId="19BC420A"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b/>
          <w:sz w:val="24"/>
          <w:szCs w:val="24"/>
        </w:rPr>
        <w:lastRenderedPageBreak/>
        <w:t>Acknowledgements</w:t>
      </w:r>
    </w:p>
    <w:p w14:paraId="663E3473" w14:textId="77777777" w:rsidR="00B23511" w:rsidRPr="00E75E15" w:rsidRDefault="00000000">
      <w:pPr>
        <w:spacing w:after="160" w:line="480" w:lineRule="auto"/>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Special thanks to Sydney Maeker, Eva-Elana Engstrom, Köll Rada, and Kathyrn Mahach for assistance in data collection and processing. Additional thanks to Dr. Juan Dominguez and Dr. Jill Schneider for scholarly guidance. </w:t>
      </w:r>
    </w:p>
    <w:p w14:paraId="7B6F102B" w14:textId="77777777" w:rsidR="00B23511" w:rsidRPr="00E75E15" w:rsidRDefault="00B23511">
      <w:pPr>
        <w:spacing w:after="160" w:line="480" w:lineRule="auto"/>
        <w:ind w:firstLine="720"/>
        <w:rPr>
          <w:rFonts w:ascii="Times New Roman" w:eastAsia="Times New Roman" w:hAnsi="Times New Roman" w:cs="Times New Roman"/>
          <w:sz w:val="24"/>
          <w:szCs w:val="24"/>
        </w:rPr>
      </w:pPr>
    </w:p>
    <w:p w14:paraId="6ECC2D24" w14:textId="77777777" w:rsidR="00B23511" w:rsidRPr="00E75E15" w:rsidRDefault="00B23511">
      <w:pPr>
        <w:spacing w:after="160" w:line="480" w:lineRule="auto"/>
        <w:ind w:firstLine="720"/>
        <w:rPr>
          <w:rFonts w:ascii="Times New Roman" w:eastAsia="Times New Roman" w:hAnsi="Times New Roman" w:cs="Times New Roman"/>
          <w:sz w:val="24"/>
          <w:szCs w:val="24"/>
        </w:rPr>
      </w:pPr>
    </w:p>
    <w:p w14:paraId="29ECB118"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hAnsi="Times New Roman" w:cs="Times New Roman"/>
        </w:rPr>
        <w:br w:type="page"/>
      </w:r>
    </w:p>
    <w:p w14:paraId="7852B8A9" w14:textId="77777777" w:rsidR="00B23511" w:rsidRPr="00E75E15" w:rsidRDefault="00000000">
      <w:pPr>
        <w:spacing w:after="160" w:line="480" w:lineRule="auto"/>
        <w:rPr>
          <w:rFonts w:ascii="Times New Roman" w:eastAsia="Times New Roman" w:hAnsi="Times New Roman" w:cs="Times New Roman"/>
          <w:sz w:val="24"/>
          <w:szCs w:val="24"/>
        </w:rPr>
      </w:pPr>
      <w:r w:rsidRPr="00E75E15">
        <w:rPr>
          <w:rFonts w:ascii="Times New Roman" w:eastAsia="Times New Roman" w:hAnsi="Times New Roman" w:cs="Times New Roman"/>
          <w:b/>
          <w:sz w:val="24"/>
          <w:szCs w:val="24"/>
        </w:rPr>
        <w:lastRenderedPageBreak/>
        <w:t>References</w:t>
      </w:r>
    </w:p>
    <w:p w14:paraId="18832E86"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96">
        <w:r w:rsidRPr="00E75E15">
          <w:rPr>
            <w:rFonts w:ascii="Times New Roman" w:hAnsi="Times New Roman" w:cs="Times New Roman"/>
          </w:rPr>
          <w:t>Anand, B.K., Brobeck, J.R., 1951. Localization of a “Feeding Center” in the Hypothalamus of the Rat. Proc. Soc. Exp. Biol. Med. 77, 323–325. https://doi.org/10.3181/00379727-77-18766</w:t>
        </w:r>
      </w:hyperlink>
    </w:p>
    <w:p w14:paraId="7B9C795B"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97">
        <w:r w:rsidRPr="00E75E15">
          <w:rPr>
            <w:rFonts w:ascii="Times New Roman" w:hAnsi="Times New Roman" w:cs="Times New Roman"/>
          </w:rPr>
          <w:t>Baker, J.R., Cardinal, K., Bober, C., Taylor, M.M., Samson, W.K., 2003. Neuropeptide W Acts in Brain to Control Prolactin, Corticosterone, and Growth Hormone Release. Endocrinology 144, 2816–2821. https://doi.org/10.1210/en.2002-0161</w:t>
        </w:r>
      </w:hyperlink>
    </w:p>
    <w:p w14:paraId="3CE89E7B"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98">
        <w:r w:rsidRPr="00E75E15">
          <w:rPr>
            <w:rFonts w:ascii="Times New Roman" w:hAnsi="Times New Roman" w:cs="Times New Roman"/>
          </w:rPr>
          <w:t>Baldwin, J.R., Arseneault, L., Odgers, C., Belsky, D.W., Matthews, T., Ambler, A., Caspi, A., Moffitt, T.E., Danese, A., 2016. Childhood bullying victimization and subsequent overweight in young adulthood: a cohort study. Psychosom. Med. 78, 1094–1103. https://doi.org/10.1097/PSY.0000000000000388</w:t>
        </w:r>
      </w:hyperlink>
    </w:p>
    <w:p w14:paraId="4314A96D"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99">
        <w:r w:rsidRPr="00E75E15">
          <w:rPr>
            <w:rFonts w:ascii="Times New Roman" w:hAnsi="Times New Roman" w:cs="Times New Roman"/>
          </w:rPr>
          <w:t>Bastida, C.C., Puga, F., Delville, Y., 2009. Risk assessment and avoidance in juvenile golden hamsters exposed to repeated stress. Horm. Behav. 55, 158–162. https://doi.org/10.1016/j.yhbeh.2008.09.009</w:t>
        </w:r>
      </w:hyperlink>
    </w:p>
    <w:p w14:paraId="0AB4A526"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00">
        <w:r w:rsidRPr="00E75E15">
          <w:rPr>
            <w:rFonts w:ascii="Times New Roman" w:hAnsi="Times New Roman" w:cs="Times New Roman"/>
          </w:rPr>
          <w:t>Bechtold, D.A., Sidibe, A., Saer, B.R.C., Li, J., Hand, L.E., Ivanova, E.A., Darras, V.M., Dam, J., Jockers, R., Luckman, S.M., Loudon, A.S.I., 2012. A Role for the Melatonin-Related Receptor GPR50 in Leptin Signaling, Adaptive Thermogenesis, and Torpor. Curr. Biol. 22, 70–77. https://doi.org/10.1016/j.cub.2011.11.043</w:t>
        </w:r>
      </w:hyperlink>
    </w:p>
    <w:p w14:paraId="4F306185"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01">
        <w:r w:rsidRPr="00E75E15">
          <w:rPr>
            <w:rFonts w:ascii="Times New Roman" w:hAnsi="Times New Roman" w:cs="Times New Roman"/>
          </w:rPr>
          <w:t>Benton, N.A., Russo, K.A., Brozek, J.M., Andrews, R., Kim, V., Kriegsfeld, L.J., Schneider, J.E., 2018. Food Restriction-induced Changes in Motivation Differ With Stages of the Estrous Cycle and are Closely Linked to RFamide-related Peptide-3 but not Kisspeptin in Syrian Hamsters. Physiol. Behav. 190, 43–60. https://doi.org/10.1016/j.physbeh.2017.06.009</w:t>
        </w:r>
      </w:hyperlink>
    </w:p>
    <w:p w14:paraId="0E1A066F"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02">
        <w:r w:rsidRPr="00E75E15">
          <w:rPr>
            <w:rFonts w:ascii="Times New Roman" w:hAnsi="Times New Roman" w:cs="Times New Roman"/>
          </w:rPr>
          <w:t>Bernardis, L.L., 1972. Hypophagia, hypodipsia and hypoactivity following dorsomedial hypothalamic lesions. Physiol. Behav. 8, 1161–1164. https://doi.org/10.1016/0031-9384(72)90213-2</w:t>
        </w:r>
      </w:hyperlink>
    </w:p>
    <w:p w14:paraId="17757F02"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03">
        <w:r w:rsidRPr="00E75E15">
          <w:rPr>
            <w:rFonts w:ascii="Times New Roman" w:hAnsi="Times New Roman" w:cs="Times New Roman"/>
          </w:rPr>
          <w:t>Blanchard, R.J., Wall, P.M., Blanchard, D.C., 2003. Problems in the study of rodent aggression. Horm. Behav., Special Issue on Aggressive and Violent Behavior 44, 161–170. https://doi.org/10.1016/S0018-506X(03)00127-2</w:t>
        </w:r>
      </w:hyperlink>
    </w:p>
    <w:p w14:paraId="1196296D"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04">
        <w:r w:rsidRPr="00E75E15">
          <w:rPr>
            <w:rFonts w:ascii="Times New Roman" w:hAnsi="Times New Roman" w:cs="Times New Roman"/>
          </w:rPr>
          <w:t>Blighe, K., 2018. kevinblighe/CorLevelPlot.</w:t>
        </w:r>
      </w:hyperlink>
    </w:p>
    <w:p w14:paraId="48BFE8D4"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05">
        <w:r w:rsidRPr="00E75E15">
          <w:rPr>
            <w:rFonts w:ascii="Times New Roman" w:hAnsi="Times New Roman" w:cs="Times New Roman"/>
          </w:rPr>
          <w:t>Bonnefil, V., Dietz, K., Amatruda, M., Wentling, M., Aubry, A.V., Dupree, J.L., Temple, G., Park, H.-J., Burghardt, N.S., Casaccia, P., Liu, J., 2019. Region-specific myelin differences define behavioral consequences of chronic social defeat stress in mice. eLife 8, e40855. https://doi.org/10.7554/eLife.40855</w:t>
        </w:r>
      </w:hyperlink>
    </w:p>
    <w:p w14:paraId="0553E9A2"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06">
        <w:r w:rsidRPr="00E75E15">
          <w:rPr>
            <w:rFonts w:ascii="Times New Roman" w:hAnsi="Times New Roman" w:cs="Times New Roman"/>
          </w:rPr>
          <w:t>Brambilla, F., 2001. Social stress in anorexia nervosa: a review of immuno-endocrine relationships. Physiol. Behav., Social Stress: Acute and Long-term Effects on Physiology &amp; Behavior 73, 365–369. https://doi.org/10.1016/S0031-9384(01)00457-7</w:t>
        </w:r>
      </w:hyperlink>
    </w:p>
    <w:p w14:paraId="7F368C71"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07">
        <w:r w:rsidRPr="00E75E15">
          <w:rPr>
            <w:rFonts w:ascii="Times New Roman" w:hAnsi="Times New Roman" w:cs="Times New Roman"/>
          </w:rPr>
          <w:t>Cai, J., Huang, J., Li, D., Zhang, X., Shi, B., Liu, Q., Fang, C., Xu, S., Zhang, Z., 2024. Hippo-YAP/TAZ-ROS signaling axis regulates metaflammation induced by SelenoM deficiency in high-fat diet-derived obesity. J. Adv. Res. https://doi.org/10.1016/j.jare.2024.06.005</w:t>
        </w:r>
      </w:hyperlink>
    </w:p>
    <w:p w14:paraId="6AB6CBC6"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08">
        <w:r w:rsidRPr="00E75E15">
          <w:rPr>
            <w:rFonts w:ascii="Times New Roman" w:hAnsi="Times New Roman" w:cs="Times New Roman"/>
          </w:rPr>
          <w:t>Cathomas, F., Azzinnari, D., Bergamini, G., Sigrist, H., Buerge, M., Hoop, V., Wicki, B., Goetze, L., Soares, S., Kukelova, D., Seifritz, E., Goebbels, S., Nave, K.-A., Ghandour, M.S., Seoighe, C., Hildebrandt, T., Leparc, G., Klein, H., Stupka, E., Hengerer, B., Pryce, C.R., 2019. Oligodendrocyte gene expression is reduced by and influences effects of chronic social stress in mice. Genes Brain Behav. 18, e12475. https://doi.org/10.1111/gbb.12475</w:t>
        </w:r>
      </w:hyperlink>
    </w:p>
    <w:p w14:paraId="01B46D89"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09">
        <w:r w:rsidRPr="00E75E15">
          <w:rPr>
            <w:rFonts w:ascii="Times New Roman" w:hAnsi="Times New Roman" w:cs="Times New Roman"/>
          </w:rPr>
          <w:t>Cowley, M.A., Smart, J.L., Rubinstein, M., Cerdán, M.G., Diano, S., Horvath, T.L., Cone, R.D., Low, M.J., 2001. Leptin activates anorexigenic POMC neurons through a neural network in the arcuate nucleus. Nature 411, 480–484. https://doi.org/10.1038/35078085</w:t>
        </w:r>
      </w:hyperlink>
    </w:p>
    <w:p w14:paraId="01DAC4E4"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10">
        <w:r w:rsidRPr="00E75E15">
          <w:rPr>
            <w:rFonts w:ascii="Times New Roman" w:hAnsi="Times New Roman" w:cs="Times New Roman"/>
          </w:rPr>
          <w:t>Crisponi, L., Buers, I., Rutsch, F., 2022. CRLF1 and CLCF1 in Development, Health and Disease. Int. J. Mol. Sci. 23, 992. https://doi.org/10.3390/ijms23020992</w:t>
        </w:r>
      </w:hyperlink>
    </w:p>
    <w:p w14:paraId="40C00113"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11">
        <w:r w:rsidRPr="00E75E15">
          <w:rPr>
            <w:rFonts w:ascii="Times New Roman" w:hAnsi="Times New Roman" w:cs="Times New Roman"/>
          </w:rPr>
          <w:t xml:space="preserve">Cui, H.-K., Tang, C.-J., Gao, Y., Li, Z.-A., Zhang, J., Li, Y.-D., 2023. An integrative analysis of single-cell and bulk transcriptome and bidirectional mendelian randomization analysis identified C1Q as </w:t>
        </w:r>
        <w:r w:rsidRPr="00E75E15">
          <w:rPr>
            <w:rFonts w:ascii="Times New Roman" w:hAnsi="Times New Roman" w:cs="Times New Roman"/>
          </w:rPr>
          <w:lastRenderedPageBreak/>
          <w:t>a novel stimulated risk gene for Atherosclerosis. Front. Immunol. 14. https://doi.org/10.3389/fimmu.2023.1289223</w:t>
        </w:r>
      </w:hyperlink>
    </w:p>
    <w:p w14:paraId="20F600C1"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12">
        <w:r w:rsidRPr="00E75E15">
          <w:rPr>
            <w:rFonts w:ascii="Times New Roman" w:hAnsi="Times New Roman" w:cs="Times New Roman"/>
          </w:rPr>
          <w:t>Dallman, M.F., Pecoraro, N., Akana, S.F., Fleur, S.E. la, Gomez, F., Houshyar, H., Bell, M.E., Bhatnagar, S., Laugero, K.D., Manalo, S., 2003. Chronic stress and obesity: A new view of “comfort food.” Proc. Natl. Acad. Sci. 100, 11696–11701. https://doi.org/10.1073/pnas.1934666100</w:t>
        </w:r>
      </w:hyperlink>
    </w:p>
    <w:p w14:paraId="1887A98F"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13">
        <w:r w:rsidRPr="00E75E15">
          <w:rPr>
            <w:rFonts w:ascii="Times New Roman" w:hAnsi="Times New Roman" w:cs="Times New Roman"/>
          </w:rPr>
          <w:t>Delville, Y., Melloni, R.H., Ferris, C.F., 1998. Behavioral and Neurobiological Consequences of Social Subjugation during Puberty in Golden Hamsters. J. Neurosci. 18, 2667–2672. https://doi.org/10.1523/JNEUROSCI.18-07-02667.1998</w:t>
        </w:r>
      </w:hyperlink>
    </w:p>
    <w:p w14:paraId="27808454"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14">
        <w:r w:rsidRPr="00E75E15">
          <w:rPr>
            <w:rFonts w:ascii="Times New Roman" w:hAnsi="Times New Roman" w:cs="Times New Roman"/>
          </w:rPr>
          <w:t>Dobin, A., Davis, C.A., Schlesinger, F., Drenkow, J., Zaleski, C., Jha, S., Batut, P., Chaisson, M., Gingeras, T.R., 2013. STAR: ultrafast universal RNA-seq aligner. Bioinforma. Oxf. Engl. 29, 15–21. https://doi.org/10.1093/bioinformatics/bts635</w:t>
        </w:r>
      </w:hyperlink>
    </w:p>
    <w:p w14:paraId="086158E5"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15">
        <w:r w:rsidRPr="00E75E15">
          <w:rPr>
            <w:rFonts w:ascii="Times New Roman" w:hAnsi="Times New Roman" w:cs="Times New Roman"/>
          </w:rPr>
          <w:t>Elias, C.F., Saper, C.B., Maratos-Flier, E., Tritos, N.A., Lee, C., Kelly, J., Tatro, J.B., Hoffman, G.E., Ollmann, M.M., Barsh, G.S., Sakurai, T., Yanagisawa, M., Elmquist, J.K., 1998. Chemically defined projections linking the mediobasal hypothalamus and the lateral hypothalamic area. J. Comp. Neurol. 402, 442–459. https://doi.org/10.1002/(SICI)1096-9861(19981228)402:4&lt;442::AID-CNE2&gt;3.0.CO;2-R</w:t>
        </w:r>
      </w:hyperlink>
    </w:p>
    <w:p w14:paraId="199BFC85"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16">
        <w:r w:rsidRPr="00E75E15">
          <w:rPr>
            <w:rFonts w:ascii="Times New Roman" w:hAnsi="Times New Roman" w:cs="Times New Roman"/>
          </w:rPr>
          <w:t>Fernandez-Twinn, D.S., Blackmore, H.L., Siggens, L., Giussani, D.A., Cross, C.M., Foo, R., Ozanne, S.E., 2012. The Programming of Cardiac Hypertrophy in the Offspring by Maternal Obesity Is Associated with Hyperinsulinemia, AKT, ERK, and mTOR Activation. Endocrinology 153, 5961–5971. https://doi.org/10.1210/en.2012-1508</w:t>
        </w:r>
      </w:hyperlink>
    </w:p>
    <w:p w14:paraId="10333E0E"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17">
        <w:r w:rsidRPr="00E75E15">
          <w:rPr>
            <w:rFonts w:ascii="Times New Roman" w:hAnsi="Times New Roman" w:cs="Times New Roman"/>
          </w:rPr>
          <w:t>Föcking, M., Sabherwal, S., Cates, H.M., Scaife, C., Dicker, P., Hryniewiecka, M., Wynne, K., Rutten, B.P.F., Lewis, G., Cannon, M., Nestler, E.J., Heurich, M., Cagney, G., Zammit, S., Cotter, D.R., 2021. Complement pathway changes at age 12 are associated with psychotic experiences at age 18 in a longitudinal population-based study: evidence for a role of stress. Mol. Psychiatry 26, 524–533. https://doi.org/10.1038/s41380-018-0306-z</w:t>
        </w:r>
      </w:hyperlink>
    </w:p>
    <w:p w14:paraId="18E05A5B"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18">
        <w:r w:rsidRPr="00E75E15">
          <w:rPr>
            <w:rFonts w:ascii="Times New Roman" w:hAnsi="Times New Roman" w:cs="Times New Roman"/>
          </w:rPr>
          <w:t>Foster, M.T., Solomon, M.B., Huhman, K.L., Bartness, T.J., 2006. Social defeat increases food intake, body mass, and adiposity in Syrian hamsters. Am. J. Physiol.-Regul. Integr. Comp. Physiol. 290, R1284–R1293. https://doi.org/10.1152/ajpregu.00437.2005</w:t>
        </w:r>
      </w:hyperlink>
    </w:p>
    <w:p w14:paraId="71F72288"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19">
        <w:r w:rsidRPr="00E75E15">
          <w:rPr>
            <w:rFonts w:ascii="Times New Roman" w:hAnsi="Times New Roman" w:cs="Times New Roman"/>
          </w:rPr>
          <w:t>Funayama, Y., Li, H., Ishimori, E., Kawatake-Kuno, A., Inaba, H., Yamagata, H., Seki, T., Nakagawa, S., Watanabe, Y., Murai, T., Oishi, N., Uchida, S., 2023. Antidepressant Response and Stress Resilience Are Promoted by CART Peptides in GABAergic Neurons of the Anterior Cingulate Cortex. Biol. Psychiatry Glob. Open Sci. 3, 87–98. https://doi.org/10.1016/j.bpsgos.2021.12.009</w:t>
        </w:r>
      </w:hyperlink>
    </w:p>
    <w:p w14:paraId="30F4B491"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20">
        <w:r w:rsidRPr="00E75E15">
          <w:rPr>
            <w:rFonts w:ascii="Times New Roman" w:hAnsi="Times New Roman" w:cs="Times New Roman"/>
          </w:rPr>
          <w:t>González Martínez, L.F., D’Aigle, J., Lee, S.M., Lee, H.J., Delville, Y., 2017. Social stress in early puberty has long-term impacts on impulsive action. Behav. Neurosci. 131, 249–261. https://doi.org/10.1037/bne0000196</w:t>
        </w:r>
      </w:hyperlink>
    </w:p>
    <w:p w14:paraId="36BFED93"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21">
        <w:r w:rsidRPr="00E75E15">
          <w:rPr>
            <w:rFonts w:ascii="Times New Roman" w:hAnsi="Times New Roman" w:cs="Times New Roman"/>
          </w:rPr>
          <w:t>González-Martínez, L.F., Abshire, K.M., Padron, W.I., Lee, H.J., Delville, Y., 2020. Early stress and waiting to respond versus waiting to receive. Behav. Neurosci. 134, 166–176. https://doi.org/10.1037/bne0000355</w:t>
        </w:r>
      </w:hyperlink>
    </w:p>
    <w:p w14:paraId="7C0A0481"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22">
        <w:r w:rsidRPr="00E75E15">
          <w:rPr>
            <w:rFonts w:ascii="Times New Roman" w:hAnsi="Times New Roman" w:cs="Times New Roman"/>
          </w:rPr>
          <w:t>Hanada, R., Nakazato, M., Murakami, N., Sakihara, S., Yoshimatsu, H., Toshinai, K., Hanada, T., Suda, T., Kangawa, K., Matsukura, S., Sakata, T., 2001. A Role for Neuromedin U in Stress Response. Biochem. Biophys. Res. Commun. 289, 225–228. https://doi.org/10.1006/bbrc.2001.5945</w:t>
        </w:r>
      </w:hyperlink>
    </w:p>
    <w:p w14:paraId="275BBC7B"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23">
        <w:r w:rsidRPr="00E75E15">
          <w:rPr>
            <w:rFonts w:ascii="Times New Roman" w:hAnsi="Times New Roman" w:cs="Times New Roman"/>
          </w:rPr>
          <w:t>Harris, R.A., Raveendran, M., Lyfoung, D.T., Sedlazeck, F.J., Mahmoud, M., Prall, T.M., Karl, J.A., Doddapaneni, H., Meng, Q., Han, Y., Muzny, D., Wiseman, R.W., O’Connor, D.H., Rogers, J., 2022. Construction of a new chromosome-scale, long-read reference genome assembly for the Syrian hamster, Mesocricetus auratus. GigaScience 11, giac039. https://doi.org/10.1093/gigascience/giac039</w:t>
        </w:r>
      </w:hyperlink>
    </w:p>
    <w:p w14:paraId="055A78A7"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24">
        <w:r w:rsidRPr="00E75E15">
          <w:rPr>
            <w:rFonts w:ascii="Times New Roman" w:hAnsi="Times New Roman" w:cs="Times New Roman"/>
          </w:rPr>
          <w:t>Howard, A.D., Wang, R., Pong, S.-S., Mellin, T.N., Strack, A., Guan, X.-M., Zeng, Z., Williams, D.L., Feighner, S.D., Nunes, C.N., Murphy, B., Stair, J.N., Yu, H., Jiang, Q., Clements, M.K., Tan, C.P., McKee, K.K., Hreniuk, D.L., McDonald, T.P., Lynch, K.R., Evans, J.F., Austin, C.P., Caskey, C.T., Van der Ploeg, L.H.T., Liu, Q., 2000. Identification of receptors for neuromedin U and its role in feeding. Nature 406, 70–74. https://doi.org/10.1038/35017610</w:t>
        </w:r>
      </w:hyperlink>
    </w:p>
    <w:p w14:paraId="7AD35A75"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25">
        <w:r w:rsidRPr="00E75E15">
          <w:rPr>
            <w:rFonts w:ascii="Times New Roman" w:hAnsi="Times New Roman" w:cs="Times New Roman"/>
          </w:rPr>
          <w:t>Hughes, K., Bellis, M.A., Hardcastle, K.A., Sethi, D., Butchart, A., Mikton, C., Jones, L., Dunne, M.P., 2017. The effect of multiple adverse childhood experiences on health: a systematic review and meta-analysis. Lancet Public Health 2, e356–e366. https://doi.org/10.1016/S2468-2667(17)30118-4</w:t>
        </w:r>
      </w:hyperlink>
    </w:p>
    <w:p w14:paraId="194238C3"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26">
        <w:r w:rsidRPr="00E75E15">
          <w:rPr>
            <w:rFonts w:ascii="Times New Roman" w:hAnsi="Times New Roman" w:cs="Times New Roman"/>
          </w:rPr>
          <w:t>Huhman, K.L., 2006. Social conflict models: Can they inform us about human psychopathology? Horm. Behav. 50, 640–646. https://doi.org/10.1016/j.yhbeh.2006.06.022</w:t>
        </w:r>
      </w:hyperlink>
    </w:p>
    <w:p w14:paraId="1C8846DE"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27">
        <w:r w:rsidRPr="00E75E15">
          <w:rPr>
            <w:rFonts w:ascii="Times New Roman" w:hAnsi="Times New Roman" w:cs="Times New Roman"/>
          </w:rPr>
          <w:t>Jaroslawska, J., Chabowska-Kita, A., Kaczmarek, M.M., Kozak, L.P., 2015. Npvf: Hypothalamic Biomarker of Ambient Temperature Independent of Nutritional Status. PLOS Genet. 11, e1005287. https://doi.org/10.1371/journal.pgen.1005287</w:t>
        </w:r>
      </w:hyperlink>
    </w:p>
    <w:p w14:paraId="331364B4"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28">
        <w:r w:rsidRPr="00E75E15">
          <w:rPr>
            <w:rFonts w:ascii="Times New Roman" w:hAnsi="Times New Roman" w:cs="Times New Roman"/>
          </w:rPr>
          <w:t>Keen-Rhinehart, E., Ondek, K., Schneider, J., 2013. Neuroendocrine regulation of appetitive ingestive behavior. Front. Neurosci. 7. https://doi.org/10.3389/fnins.2013.00213</w:t>
        </w:r>
      </w:hyperlink>
    </w:p>
    <w:p w14:paraId="0A0B0DC2"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29">
        <w:r w:rsidRPr="00E75E15">
          <w:rPr>
            <w:rFonts w:ascii="Times New Roman" w:hAnsi="Times New Roman" w:cs="Times New Roman"/>
          </w:rPr>
          <w:t>Khan, M. zahid, He, L., zhuang, X., 2016. The emerging role of GPR50 receptor in brain. Biomed. Pharmacother. 78, 121–128. https://doi.org/10.1016/j.biopha.2016.01.003</w:t>
        </w:r>
      </w:hyperlink>
    </w:p>
    <w:p w14:paraId="651B8013"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30">
        <w:r w:rsidRPr="00E75E15">
          <w:rPr>
            <w:rFonts w:ascii="Times New Roman" w:hAnsi="Times New Roman" w:cs="Times New Roman"/>
          </w:rPr>
          <w:t>Kollack-Walker, Don, Watson, Akil, 1999. Differential Expression of c-fos mRNA Within Neurocircuits of Male Hamsters Exposed to Acute or Chronic Defeat. J. Neuroendocrinol. 11, 547–559. https://doi.org/10.1046/j.1365-2826.1999.00354.x</w:t>
        </w:r>
      </w:hyperlink>
    </w:p>
    <w:p w14:paraId="6B0D465F"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31">
        <w:r w:rsidRPr="00E75E15">
          <w:rPr>
            <w:rFonts w:ascii="Times New Roman" w:hAnsi="Times New Roman" w:cs="Times New Roman"/>
          </w:rPr>
          <w:t>Kollack-Walker, S., Watson, S.J., Akil, H., 1997. Social Stress in Hamsters: Defeat Activates Specific Neurocircuits within the Brain. J. Neurosci. 17, 8842–8855. https://doi.org/10.1523/JNEUROSCI.17-22-08842.1997</w:t>
        </w:r>
      </w:hyperlink>
    </w:p>
    <w:p w14:paraId="775192CF"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32">
        <w:r w:rsidRPr="00E75E15">
          <w:rPr>
            <w:rFonts w:ascii="Times New Roman" w:hAnsi="Times New Roman" w:cs="Times New Roman"/>
          </w:rPr>
          <w:t>Kriegsfeld, L.J., Gibson, E.M., Williams, W.P., Zhao, S., Mason, A.O., Bentley, G.E., Tsutsui, K., 2010. The Roles of RFamide-Related Peptide-3 (RFRP-3) in Mammalian Reproductive Function and Behavior. J. Neuroendocrinol. 22, 692–700. https://doi.org/10.1111/j.1365-2826.2010.02031.x</w:t>
        </w:r>
      </w:hyperlink>
    </w:p>
    <w:p w14:paraId="0F7A0969"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33">
        <w:r w:rsidRPr="00E75E15">
          <w:rPr>
            <w:rFonts w:ascii="Times New Roman" w:hAnsi="Times New Roman" w:cs="Times New Roman"/>
          </w:rPr>
          <w:t>Kriegsfeld, L.J., Jennings, K.J., Bentley, G.E., Tsutsui, K., 2018. Gonadotropin-Inhibitory Hormone (GnIH) and Its Mammalian Ortholog RFamide-Related Peptide-3 (RFRP-3): Discovery and Functional Implications for Reproduction and Stress. J. Neuroendocrinol. 30, e12597. https://doi.org/10.1111/jne.12597</w:t>
        </w:r>
      </w:hyperlink>
    </w:p>
    <w:p w14:paraId="57C7BE82"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34">
        <w:r w:rsidRPr="00E75E15">
          <w:rPr>
            <w:rFonts w:ascii="Times New Roman" w:hAnsi="Times New Roman" w:cs="Times New Roman"/>
          </w:rPr>
          <w:t>Krolick, K.N., Cao, J., Choueiry, F., Zhou, E.Y., Gulla, E.M., Bhardwaj, M., Marshall, S.J., Kiss, A.J., Zhu, J., Shi, H., 2022. Subregion-Specific Transcriptomic Profiling of Rat Brain Reveals Sex-Distinct Gene Expression Impacted by Adolescent Stress. https://doi.org/10.21203/rs.3.rs-1735688/v1</w:t>
        </w:r>
      </w:hyperlink>
    </w:p>
    <w:p w14:paraId="24E4785D"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35">
        <w:r w:rsidRPr="00E75E15">
          <w:rPr>
            <w:rFonts w:ascii="Times New Roman" w:hAnsi="Times New Roman" w:cs="Times New Roman"/>
          </w:rPr>
          <w:t>Langfelder, P., Horvath, S., 2008. WGCNA: an R package for weighted correlation network analysis. BMC Bioinformatics 9, 559. https://doi.org/10.1186/1471-2105-9-559</w:t>
        </w:r>
      </w:hyperlink>
    </w:p>
    <w:p w14:paraId="6BEA5A47"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36">
        <w:r w:rsidRPr="00E75E15">
          <w:rPr>
            <w:rFonts w:ascii="Times New Roman" w:hAnsi="Times New Roman" w:cs="Times New Roman"/>
          </w:rPr>
          <w:t>Lee, D.A., Andreev, A., Truong, T.V., Chen, A., Hill, A.J., Oikonomou, G., Pham, U., Hong, Y.K., Tran, S., Glass, L., Sapin, V., Engle, J., Fraser, S.E., Prober, D.A., 2017. Genetic and neuronal regulation of sleep by neuropeptide VF. eLife 6, e25727. https://doi.org/10.7554/eLife.25727</w:t>
        </w:r>
      </w:hyperlink>
    </w:p>
    <w:p w14:paraId="18965579"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37">
        <w:r w:rsidRPr="00E75E15">
          <w:rPr>
            <w:rFonts w:ascii="Times New Roman" w:hAnsi="Times New Roman" w:cs="Times New Roman"/>
          </w:rPr>
          <w:t>Legrand, R., Lucas, N., Breton, J., Déchelotte, P., Fetissov, S.O., 2015. Dopamine release in the lateral hypothalamus is stimulated by α-MSH in both the anticipatory and consummatory phases of feeding. Psychoneuroendocrinology 56, 79–87. https://doi.org/10.1016/j.psyneuen.2015.02.020</w:t>
        </w:r>
      </w:hyperlink>
    </w:p>
    <w:p w14:paraId="5A59CA36"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38">
        <w:r w:rsidRPr="00E75E15">
          <w:rPr>
            <w:rFonts w:ascii="Times New Roman" w:hAnsi="Times New Roman" w:cs="Times New Roman"/>
          </w:rPr>
          <w:t>Lehmann, M.L., Weigel, T.K., Elkahloun, A.G., Herkenham, M., 2017. Chronic social defeat reduces myelination in the mouse medial prefrontal cortex. Sci. Rep. 7, 46548. https://doi.org/10.1038/srep46548</w:t>
        </w:r>
      </w:hyperlink>
    </w:p>
    <w:p w14:paraId="41AF6FDB"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39">
        <w:r w:rsidRPr="00E75E15">
          <w:rPr>
            <w:rFonts w:ascii="Times New Roman" w:hAnsi="Times New Roman" w:cs="Times New Roman"/>
          </w:rPr>
          <w:t>Levine, S., 1956. A further study of infantile handling and adult avoidance learning. J. Pers. 25, 70–80. https://doi.org/10.1111/j.1467-6494.1956.tb01289.x</w:t>
        </w:r>
      </w:hyperlink>
    </w:p>
    <w:p w14:paraId="0262F02A"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40">
        <w:r w:rsidRPr="00E75E15">
          <w:rPr>
            <w:rFonts w:ascii="Times New Roman" w:hAnsi="Times New Roman" w:cs="Times New Roman"/>
          </w:rPr>
          <w:t>Levine, S., Chevalier, J.A., Korchin, S.J., 1956. The effects of early shock and handling on later avoidance learning. J. Pers. 24, 475–493. https://doi.org/10.1111/j.1467-6494.1956.tb01283.x</w:t>
        </w:r>
      </w:hyperlink>
    </w:p>
    <w:p w14:paraId="28A4394D"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41">
        <w:r w:rsidRPr="00E75E15">
          <w:rPr>
            <w:rFonts w:ascii="Times New Roman" w:hAnsi="Times New Roman" w:cs="Times New Roman"/>
          </w:rPr>
          <w:t xml:space="preserve">Lewis, M.J., Barnes, M.R., Blighe, K., Goldmann, K., Rana, S., Hackney, J.A., Ramamoorthi, N., John, C.R., Watson, D.S., Kummerfeld, S.K., Hands, R., Riahi, S., Rocher-Ros, V., Rivellese, F., Humby, F., Kelly, S., Bombardieri, M., Ng, N., DiCicco, M., Heijde, D. van der, Landewé, R., Mil, A. van der H., Cauli, A., McInnes, I.B., Buckley, C.D., Choy, E., Taylor, P.C., Townsend, M.J., Pitzalis, C., 2019. Molecular Portraits of Early Rheumatoid Arthritis Identify Clinical and Treatment Response Phenotypes. Cell Rep. 28, 2455-2470.e5. </w:t>
        </w:r>
        <w:r w:rsidRPr="00E75E15">
          <w:rPr>
            <w:rFonts w:ascii="Times New Roman" w:hAnsi="Times New Roman" w:cs="Times New Roman"/>
          </w:rPr>
          <w:lastRenderedPageBreak/>
          <w:t>https://doi.org/10.1016/j.celrep.2019.07.091</w:t>
        </w:r>
      </w:hyperlink>
    </w:p>
    <w:p w14:paraId="3F3701BD"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42">
        <w:r w:rsidRPr="00E75E15">
          <w:rPr>
            <w:rFonts w:ascii="Times New Roman" w:hAnsi="Times New Roman" w:cs="Times New Roman"/>
          </w:rPr>
          <w:t>Lin, S., Chen, C., Ouyang, P., Cai, Z., Liu, X., Abdurahman, A., Peng, J., Li, Y., Zhang, Z., Song, G.-L., 2023. SELENOM Knockout Induces Synaptic Deficits and Cognitive Dysfunction by Influencing Brain Glucose Metabolism. J. Agric. Food Chem. 71, 1607–1619. https://doi.org/10.1021/acs.jafc.2c07491</w:t>
        </w:r>
      </w:hyperlink>
    </w:p>
    <w:p w14:paraId="3C4A7412"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43">
        <w:r w:rsidRPr="00E75E15">
          <w:rPr>
            <w:rFonts w:ascii="Times New Roman" w:hAnsi="Times New Roman" w:cs="Times New Roman"/>
          </w:rPr>
          <w:t>Lipsky, R.K., McDonald, C.C., Souders, M.C., Carpio, C.C., Teitelman, A.M., 2021. Adverse childhood experiences, the serotonergic system, and depressive and anxiety disorders in adulthood: A systematic literature review. Neurosci. Biobehav. Rev. https://doi.org/10.1016/j.neubiorev.2021.12.018</w:t>
        </w:r>
      </w:hyperlink>
    </w:p>
    <w:p w14:paraId="0F53AA2A"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44">
        <w:r w:rsidRPr="00E75E15">
          <w:rPr>
            <w:rFonts w:ascii="Times New Roman" w:hAnsi="Times New Roman" w:cs="Times New Roman"/>
          </w:rPr>
          <w:t>Liu, J.-C., Zhao, X.-Y., Wu, M.-L., Shi, Y., Huang, Z.-P., Fang, L.-P., Zhu, C., Peng, X., Shi, Z.-L., Lan, L.-J., Ji, W.-L., Luo, L., Feng, L., Zhang, Z.-L., Xu, D., Li, S., Qin, Z.-H., Sun, Y.-Y., Schachner, M., Ma, Q.-H., 2024. GPR50 regulates neuronal development as a mitophagy receptor. Cell Death Dis. 15, 1–17. https://doi.org/10.1038/s41419-024-06978-y</w:t>
        </w:r>
      </w:hyperlink>
    </w:p>
    <w:p w14:paraId="17B3B5A6"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45">
        <w:r w:rsidRPr="00E75E15">
          <w:rPr>
            <w:rFonts w:ascii="Times New Roman" w:hAnsi="Times New Roman" w:cs="Times New Roman"/>
          </w:rPr>
          <w:t>Lohman, B.K., Weber, J.N., Bolnick, D.I., 2016. Evaluation of TagSeq, a reliable low-cost alternative for RNAseq. Mol. Ecol. Resour. 16, 1315–1321. https://doi.org/10.1111/1755-0998.12529</w:t>
        </w:r>
      </w:hyperlink>
    </w:p>
    <w:p w14:paraId="644C511B"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46">
        <w:r w:rsidRPr="00E75E15">
          <w:rPr>
            <w:rFonts w:ascii="Times New Roman" w:hAnsi="Times New Roman" w:cs="Times New Roman"/>
          </w:rPr>
          <w:t>Long, K.L.P., Muroy, S.E., Sorooshyari, S.K., Ko, M.J., Jaques, Y., Sudmant, P., Kaufer, D., 2023. Transcriptomic profiles of stress susceptibility and resilience in the amygdala and hippocampus. https://doi.org/10.1101/2023.02.08.527777</w:t>
        </w:r>
      </w:hyperlink>
    </w:p>
    <w:p w14:paraId="5ED074AA"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47">
        <w:r w:rsidRPr="00E75E15">
          <w:rPr>
            <w:rFonts w:ascii="Times New Roman" w:hAnsi="Times New Roman" w:cs="Times New Roman"/>
          </w:rPr>
          <w:t>Lumey, L., Stein, A.D., Kahn, H.S., van der Pal-de Bruin, K.M., Blauw, G., Zybert, P.A., Susser, E.S., 2007. Cohort Profile: The Dutch Hunger Winter Families Study. Int. J. Epidemiol. 36, 1196–1204. https://doi.org/10.1093/ije/dym126</w:t>
        </w:r>
      </w:hyperlink>
    </w:p>
    <w:p w14:paraId="7E188142"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48">
        <w:r w:rsidRPr="00E75E15">
          <w:rPr>
            <w:rFonts w:ascii="Times New Roman" w:hAnsi="Times New Roman" w:cs="Times New Roman"/>
          </w:rPr>
          <w:t>Luo, Q., Zhang, L., Huang, C.-C., Zheng, Y., Kanen, J.W., Zhao, Q., Yao, Y., Quinlan, E.B., Jia, T., Banaschewski, T., Bokde, A.L.W., Bromberg, U., Büchel, C., Flor, H., Frouin, V., Garavan, H., Gowland, P., Heinz, A., Ittermann, B., Martinot, J.-L., Martinot, M.-L.P., Nees, F., Orfanos, D.P., Poustka, L., Hohmann, S., Fröhner, J.H., Smolka, M.N., Walter, H., Whelan, R., Sahakian, B.J., Schumann, G., Li, F., Feng, J., Desrivières, S., Robbins, T.W., 2020. Association between childhood trauma and risk for obesity: a putative neurocognitive developmental pathway. BMC Med. 18, 278. https://doi.org/10.1186/s12916-020-01743-2</w:t>
        </w:r>
      </w:hyperlink>
    </w:p>
    <w:p w14:paraId="0D23C993"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49">
        <w:r w:rsidRPr="00E75E15">
          <w:rPr>
            <w:rFonts w:ascii="Times New Roman" w:hAnsi="Times New Roman" w:cs="Times New Roman"/>
          </w:rPr>
          <w:t>Makita, S., Takatori, H., Nakajima, H., 2021. Post-Transcriptional Regulation of Immune Responses and Inflammatory Diseases by RNA-Binding ZFP36 Family Proteins. Front. Immunol. 12. https://doi.org/10.3389/fimmu.2021.711633</w:t>
        </w:r>
      </w:hyperlink>
    </w:p>
    <w:p w14:paraId="30F8C4F9"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50">
        <w:r w:rsidRPr="00E75E15">
          <w:rPr>
            <w:rFonts w:ascii="Times New Roman" w:hAnsi="Times New Roman" w:cs="Times New Roman"/>
          </w:rPr>
          <w:t>Mancini, G.F., Meijer, O.C., Campolongo, P., 2023. Stress in adolescence as a first hit in stress-related disease development: Timing and context are crucial. Front. Neuroendocrinol. 69, 101065. https://doi.org/10.1016/j.yfrne.2023.101065</w:t>
        </w:r>
      </w:hyperlink>
    </w:p>
    <w:p w14:paraId="52A9639D"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51">
        <w:r w:rsidRPr="00E75E15">
          <w:rPr>
            <w:rFonts w:ascii="Times New Roman" w:hAnsi="Times New Roman" w:cs="Times New Roman"/>
          </w:rPr>
          <w:t>Maniam, J., Morris, M.J., 2012. The link between stress and feeding behaviour. Neuropharmacology, Central Regulation of Food Intake and Energy Expenditure 63, 97–110. https://doi.org/10.1016/j.neuropharm.2012.04.017</w:t>
        </w:r>
      </w:hyperlink>
    </w:p>
    <w:p w14:paraId="475F7219"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52">
        <w:r w:rsidRPr="00E75E15">
          <w:rPr>
            <w:rFonts w:ascii="Times New Roman" w:hAnsi="Times New Roman" w:cs="Times New Roman"/>
          </w:rPr>
          <w:t>Martin, M., 2011. Cutadapt removes adapter sequences from high-throughput sequencing reads. EMBnet.journal 17, 10–12. https://doi.org/10.14806/ej.17.1.200</w:t>
        </w:r>
      </w:hyperlink>
    </w:p>
    <w:p w14:paraId="33A910C9"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53">
        <w:r w:rsidRPr="00E75E15">
          <w:rPr>
            <w:rFonts w:ascii="Times New Roman" w:hAnsi="Times New Roman" w:cs="Times New Roman"/>
          </w:rPr>
          <w:t>McCann, K.E., Rosenhauer, A.M., Jones, G.M.F., Norvelle, A., Choi, D.C., Huhman, K.L., 2017. Histone deacetylase and acetyltransferase inhibitors modulate behavioral responses to social stress. Psychoneuroendocrinology 75, 100–109. https://doi.org/10.1016/j.psyneuen.2016.10.022</w:t>
        </w:r>
      </w:hyperlink>
    </w:p>
    <w:p w14:paraId="77F5B17A"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54">
        <w:r w:rsidRPr="00E75E15">
          <w:rPr>
            <w:rFonts w:ascii="Times New Roman" w:hAnsi="Times New Roman" w:cs="Times New Roman"/>
          </w:rPr>
          <w:t>McCann, K.E., Sinkiewicz, D.M., Rosenhauer, A.M., Beach, L.Q., Huhman, K.L., 2019. Transcriptomic Analysis Reveals Sex-Dependent Expression Patterns in the Basolateral Amygdala of Dominant and Subordinate Animals After Acute Social Conflict. Mol. Neurobiol. 56, 3768–3779. https://doi.org/10.1007/s12035-018-1339-7</w:t>
        </w:r>
      </w:hyperlink>
    </w:p>
    <w:p w14:paraId="27A699F2"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55">
        <w:r w:rsidRPr="00E75E15">
          <w:rPr>
            <w:rFonts w:ascii="Times New Roman" w:hAnsi="Times New Roman" w:cs="Times New Roman"/>
          </w:rPr>
          <w:t>Meyer, E., Aglyamova, G.V., Matz, M.V., 2011. Profiling gene expression responses of coral larvae (Acropora millepora) to elevated temperature and settlement inducers using a novel RNA-Seq procedure. Mol. Ecol. 20, 3599–3616. https://doi.org/10.1111/j.1365-294X.2011.05205.x</w:t>
        </w:r>
      </w:hyperlink>
    </w:p>
    <w:p w14:paraId="3D6C9FDF"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56">
        <w:r w:rsidRPr="00E75E15">
          <w:rPr>
            <w:rFonts w:ascii="Times New Roman" w:hAnsi="Times New Roman" w:cs="Times New Roman"/>
          </w:rPr>
          <w:t xml:space="preserve">Milewski, T.M., Lee, W., Young, R.L., Hofmann, H.A., Curley, J., 2024. Rapid changes in plasma corticosterone and medial amygdala transcriptome profiles during social status change reveal </w:t>
        </w:r>
        <w:r w:rsidRPr="00E75E15">
          <w:rPr>
            <w:rFonts w:ascii="Times New Roman" w:hAnsi="Times New Roman" w:cs="Times New Roman"/>
          </w:rPr>
          <w:lastRenderedPageBreak/>
          <w:t>molecular pathways associated with a major life history transition in mouse dominance hierarchies. https://doi.org/10.1101/2024.05.30.596669</w:t>
        </w:r>
      </w:hyperlink>
    </w:p>
    <w:p w14:paraId="0B3E0861"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57">
        <w:r w:rsidRPr="00E75E15">
          <w:rPr>
            <w:rFonts w:ascii="Times New Roman" w:hAnsi="Times New Roman" w:cs="Times New Roman"/>
          </w:rPr>
          <w:t>Molteni, R., Fumagalli, F., Magnaghi, V., Roceri, M., Gennarelli, M., Racagni, G., Melcangi, R.C., Riva, M.A., 2001. Modulation of fibroblast growth factor-2 by stress and corticosteroids: from developmental events to adult brain plasticity. Brain Res. Rev., Neuroactive Steroids in the 3rd Millenium 37, 249–258. https://doi.org/10.1016/S0165-0173(01)00128-X</w:t>
        </w:r>
      </w:hyperlink>
    </w:p>
    <w:p w14:paraId="65D426F6"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58">
        <w:r w:rsidRPr="00E75E15">
          <w:rPr>
            <w:rFonts w:ascii="Times New Roman" w:hAnsi="Times New Roman" w:cs="Times New Roman"/>
          </w:rPr>
          <w:t>Mondal, M.S., Yamaguchi, H., Date, Y., Shimbara, T., Toshinai, K., Shimomura, Y., Mori, M., Nakazato, M., 2003. A Role for Neuropeptide W in the Regulation of Feeding Behavior. Endocrinology 144, 4729–4733. https://doi.org/10.1210/en.2003-0536</w:t>
        </w:r>
      </w:hyperlink>
    </w:p>
    <w:p w14:paraId="16E78E46"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59">
        <w:r w:rsidRPr="00E75E15">
          <w:rPr>
            <w:rFonts w:ascii="Times New Roman" w:hAnsi="Times New Roman" w:cs="Times New Roman"/>
          </w:rPr>
          <w:t>Moran, K.M., Delville, Y., 2024. A hamster model for stress-induced weight gain. Horm. Behav. 160, 105488. https://doi.org/10.1016/j.yhbeh.2024.105488</w:t>
        </w:r>
      </w:hyperlink>
    </w:p>
    <w:p w14:paraId="4C49E447"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60">
        <w:r w:rsidRPr="00E75E15">
          <w:rPr>
            <w:rFonts w:ascii="Times New Roman" w:hAnsi="Times New Roman" w:cs="Times New Roman"/>
          </w:rPr>
          <w:t>Moran, K.M., Enstrom, A.E., Jarrell, L., Khashchuluun, M., Tran, A., Delville, Y., 2025a. Adolescent social stress alters the role of orexin innervation in the hindbrain in male hamsters. J. Neuroendocrinol. e13457. https://doi.org/10.1111/jne.13457</w:t>
        </w:r>
      </w:hyperlink>
    </w:p>
    <w:p w14:paraId="49C75142"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61">
        <w:r w:rsidRPr="00E75E15">
          <w:rPr>
            <w:rFonts w:ascii="Times New Roman" w:hAnsi="Times New Roman" w:cs="Times New Roman"/>
          </w:rPr>
          <w:t>Moran, K.M., González-Martínez, L.F., Delville, Y., 2021. Lifelong enhancement of body mass from adolescent stress in male hamsters. Horm. Behav. 133, 105004. https://doi.org/10.1016/j.yhbeh.2021.105004</w:t>
        </w:r>
      </w:hyperlink>
    </w:p>
    <w:p w14:paraId="7E85262B"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62">
        <w:r w:rsidRPr="00E75E15">
          <w:rPr>
            <w:rFonts w:ascii="Times New Roman" w:hAnsi="Times New Roman" w:cs="Times New Roman"/>
          </w:rPr>
          <w:t>Moran, K.M., Jarrell, L., Khashchuluun, M., Moran, K.R., Rodriguez, J., Tran, A., Delville, Y., 2025b. Blunted food conditioned place preference-like behavior in adolescent-stressed male hamsters. Behav. Brain Res. 476, 115234. https://doi.org/10.1016/j.bbr.2024.115234</w:t>
        </w:r>
      </w:hyperlink>
    </w:p>
    <w:p w14:paraId="55162D9D"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63">
        <w:r w:rsidRPr="00E75E15">
          <w:rPr>
            <w:rFonts w:ascii="Times New Roman" w:hAnsi="Times New Roman" w:cs="Times New Roman"/>
          </w:rPr>
          <w:t>Morin, L.P., Wood, R.I., 2001. A Stereotaxic Atlas of the Golden Hamster Brain. Elsevier Science.</w:t>
        </w:r>
      </w:hyperlink>
    </w:p>
    <w:p w14:paraId="4EE0D2C0"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64">
        <w:r w:rsidRPr="00E75E15">
          <w:rPr>
            <w:rFonts w:ascii="Times New Roman" w:hAnsi="Times New Roman" w:cs="Times New Roman"/>
          </w:rPr>
          <w:t>Niimi, M., Murao, K., 2005. Neuropeptide W as a stress mediator in the hypothalamus. Endocrine 27, 51–54. https://doi.org/10.1385/ENDO:27:1:051</w:t>
        </w:r>
      </w:hyperlink>
    </w:p>
    <w:p w14:paraId="2201ED1D"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65">
        <w:r w:rsidRPr="00E75E15">
          <w:rPr>
            <w:rFonts w:ascii="Times New Roman" w:hAnsi="Times New Roman" w:cs="Times New Roman"/>
          </w:rPr>
          <w:t>Noll, J.G., Zeller, M.H., Trickett, P.K., Putnam, F.W., 2007. Obesity Risk for Female Victims of Childhood Sexual Abuse: A Prospective Study. Pediatrics 120, e61–e67. https://doi.org/10.1542/peds.2006-3058</w:t>
        </w:r>
      </w:hyperlink>
    </w:p>
    <w:p w14:paraId="3EF23173"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66">
        <w:r w:rsidRPr="00E75E15">
          <w:rPr>
            <w:rFonts w:ascii="Times New Roman" w:hAnsi="Times New Roman" w:cs="Times New Roman"/>
          </w:rPr>
          <w:t>Olszewski, P.K., Wirth, M.M., Shaw, T.J., Grace, M.K., Billington, C.J., Giraudo, S.Q., Levine, A.S., 2001. Role of α-MSH in the regulation of consummatory behavior: immunohistochemical evidence. Am. J. Physiol.-Regul. Integr. Comp. Physiol. 281, R673–R680. https://doi.org/10.1152/ajpregu.2001.281.2.R673</w:t>
        </w:r>
      </w:hyperlink>
    </w:p>
    <w:p w14:paraId="6C5FE04B"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67">
        <w:r w:rsidRPr="00E75E15">
          <w:rPr>
            <w:rFonts w:ascii="Times New Roman" w:hAnsi="Times New Roman" w:cs="Times New Roman"/>
          </w:rPr>
          <w:t>Ontiveros-Ángel, P., Vega-Torres, J.D., Simon, T.B., Williams, V., Inostroza-Nives, Y., Alvarado-Crespo, N., Gonzalez, Y.V., Pompolius, M., Katzka, W., Lou, J., Sharafeddin, F., De La Peña, I., Dong, T., Gupta, A., Viet, C.T., Febo, M., Obenaus, A., Nair, A., Figueroa, J.D., 2024. Early-life obesogenic environment integrates immunometabolic and epigenetic signatures governing neuroinflammation. Brain Behav. Immun. - Health 42, 100879. https://doi.org/10.1016/j.bbih.2024.100879</w:t>
        </w:r>
      </w:hyperlink>
    </w:p>
    <w:p w14:paraId="352C7D15"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68">
        <w:r w:rsidRPr="00E75E15">
          <w:rPr>
            <w:rFonts w:ascii="Times New Roman" w:hAnsi="Times New Roman" w:cs="Times New Roman"/>
          </w:rPr>
          <w:t>Paxinos, G., Watson, C., 2007. The Rat Brain in Stereotaxic Coordinates.</w:t>
        </w:r>
      </w:hyperlink>
    </w:p>
    <w:p w14:paraId="06C74E66"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69">
        <w:r w:rsidRPr="00E75E15">
          <w:rPr>
            <w:rFonts w:ascii="Times New Roman" w:hAnsi="Times New Roman" w:cs="Times New Roman"/>
          </w:rPr>
          <w:t>Peña, C.J., Smith, M., Ramakrishnan, A., Cates, H.M., Bagot, R.C., Kronman, H.G., Patel, B., Chang, A.B., Purushothaman, I., Dudley, J., Morishita, H., Shen, L., Nestler, E.J., 2019. Early life stress alters transcriptomic patterning across reward circuitry in male and female mice. Nat. Commun. 10, 5098. https://doi.org/10.1038/s41467-019-13085-6</w:t>
        </w:r>
      </w:hyperlink>
    </w:p>
    <w:p w14:paraId="27174246"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70">
        <w:r w:rsidRPr="00E75E15">
          <w:rPr>
            <w:rFonts w:ascii="Times New Roman" w:hAnsi="Times New Roman" w:cs="Times New Roman"/>
          </w:rPr>
          <w:t>Pervanidou, P., Chrousos, G.P., 2012. Metabolic consequences of stress during childhood and adolescence. Metabolism 61, 611–619. https://doi.org/10.1016/j.metabol.2011.10.005</w:t>
        </w:r>
      </w:hyperlink>
    </w:p>
    <w:p w14:paraId="42563924"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71">
        <w:r w:rsidRPr="00E75E15">
          <w:rPr>
            <w:rFonts w:ascii="Times New Roman" w:hAnsi="Times New Roman" w:cs="Times New Roman"/>
          </w:rPr>
          <w:t>Poggi, G., Albiez, J., Pryce, C.R., 2022. Effects of chronic social stress on oligodendrocyte proliferation-maturation and myelin status in prefrontal cortex and amygdala in adult mice. Neurobiol. Stress 18, 100451. https://doi.org/10.1016/j.ynstr.2022.100451</w:t>
        </w:r>
      </w:hyperlink>
    </w:p>
    <w:p w14:paraId="00DAFF63"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72">
        <w:r w:rsidRPr="00E75E15">
          <w:rPr>
            <w:rFonts w:ascii="Times New Roman" w:hAnsi="Times New Roman" w:cs="Times New Roman"/>
          </w:rPr>
          <w:t>Potegal, M., Huhman, K., Moore, T., Meyerhoff, J., 1993. Conditioned defeat in the Syrian golden hamster (Mesocricetus auratus). Behav. Neural Biol. 60, 93–102. https://doi.org/10.1016/0163-1047(93)90159-F</w:t>
        </w:r>
      </w:hyperlink>
    </w:p>
    <w:p w14:paraId="6C841C41"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73">
        <w:r w:rsidRPr="00E75E15">
          <w:rPr>
            <w:rFonts w:ascii="Times New Roman" w:hAnsi="Times New Roman" w:cs="Times New Roman"/>
          </w:rPr>
          <w:t xml:space="preserve">Qi, Y., Oldfield, B.J., Clarke, I.J., 2009. Projections of RFamide-related Peptide-3 Neurones in the Ovine Hypothalamus, with Special Reference to Regions Regulating Energy Balance and Reproduction. </w:t>
        </w:r>
        <w:r w:rsidRPr="00E75E15">
          <w:rPr>
            <w:rFonts w:ascii="Times New Roman" w:hAnsi="Times New Roman" w:cs="Times New Roman"/>
          </w:rPr>
          <w:lastRenderedPageBreak/>
          <w:t>J. Neuroendocrinol. 21, 690–697. https://doi.org/10.1111/j.1365-2826.2009.01886.x</w:t>
        </w:r>
      </w:hyperlink>
    </w:p>
    <w:p w14:paraId="233CD8A9"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74">
        <w:r w:rsidRPr="00E75E15">
          <w:rPr>
            <w:rFonts w:ascii="Times New Roman" w:hAnsi="Times New Roman" w:cs="Times New Roman"/>
          </w:rPr>
          <w:t>R Core Team, 2014. R: A language and environment for statistical computing. R Foundation for Statistical Computing.</w:t>
        </w:r>
      </w:hyperlink>
    </w:p>
    <w:p w14:paraId="705091C0"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75">
        <w:r w:rsidRPr="00E75E15">
          <w:rPr>
            <w:rFonts w:ascii="Times New Roman" w:hAnsi="Times New Roman" w:cs="Times New Roman"/>
          </w:rPr>
          <w:t>Ritchie, M.E., Phipson, B., Wu, D., Hu, Y., Law, C.W., Shi, W., Smyth, G.K., 2015. limma powers differential expression analyses for RNA-sequencing and microarray studies. Nucleic Acids Res. 43, e47. https://doi.org/10.1093/nar/gkv007</w:t>
        </w:r>
      </w:hyperlink>
    </w:p>
    <w:p w14:paraId="5DF46218"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76">
        <w:r w:rsidRPr="00E75E15">
          <w:rPr>
            <w:rFonts w:ascii="Times New Roman" w:hAnsi="Times New Roman" w:cs="Times New Roman"/>
          </w:rPr>
          <w:t>Roselli-Rehfuss, L., Mountjoy, K.G., Robbins, L.S., Mortrud, M.T., Low, M.J., Tatro, J.B., Entwistle, M.L., Simerly, R.B., Cone, R.D., 1993. Identification of a receptor for gamma melanotropin and other proopiomelanocortin peptides in the hypothalamus and limbic system. Proc. Natl. Acad. Sci. 90, 8856–8860. https://doi.org/10.1073/pnas.90.19.8856</w:t>
        </w:r>
      </w:hyperlink>
    </w:p>
    <w:p w14:paraId="03640991"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77">
        <w:r w:rsidRPr="00E75E15">
          <w:rPr>
            <w:rFonts w:ascii="Times New Roman" w:hAnsi="Times New Roman" w:cs="Times New Roman"/>
          </w:rPr>
          <w:t>Scioli, M.G., Cervelli, V., Arcuri, G., Gentile, P., Doldo, E., Bielli, A., Bonanno, E., Orlandi, A., 2014. High Insulin-Induced Down-Regulation of Erk-1/IGF-1R/FGFR-1 Signaling Is Required for Oxidative Stress-Mediated Apoptosis of Adipose-Derived Stem Cells. J. Cell. Physiol. 229, 2077–2087. https://doi.org/10.1002/jcp.24667</w:t>
        </w:r>
      </w:hyperlink>
    </w:p>
    <w:p w14:paraId="2FCFA0CC"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78">
        <w:r w:rsidRPr="00E75E15">
          <w:rPr>
            <w:rFonts w:ascii="Times New Roman" w:hAnsi="Times New Roman" w:cs="Times New Roman"/>
          </w:rPr>
          <w:t>Seligman, M.E., Maier, S.F., 1967. Failure to escape traumatic shock. J. Exp. Psychol. 74, 1–9. https://doi.org/10.1037/h0024514</w:t>
        </w:r>
      </w:hyperlink>
    </w:p>
    <w:p w14:paraId="4B587086"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79">
        <w:r w:rsidRPr="00E75E15">
          <w:rPr>
            <w:rFonts w:ascii="Times New Roman" w:hAnsi="Times New Roman" w:cs="Times New Roman"/>
          </w:rPr>
          <w:t>Sidibe, A., Mullier, A., Chen, P., Baroncini, M., Boutin, J.A., Delagrange, P., Prevot, V., Jockers, R., 2010. Expression of the orphan GPR50 protein in rodent and human dorsomedial hypothalamus, tanycytes and median eminence. J. Pineal Res. 48, 263–269. https://doi.org/10.1111/j.1600-079X.2010.00750.x</w:t>
        </w:r>
      </w:hyperlink>
    </w:p>
    <w:p w14:paraId="1AE1AA49"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80">
        <w:r w:rsidRPr="00E75E15">
          <w:rPr>
            <w:rFonts w:ascii="Times New Roman" w:hAnsi="Times New Roman" w:cs="Times New Roman"/>
          </w:rPr>
          <w:t>Siegel, H.I., 1985. The Hamster: Reproduction and Behavior. Springer Science &amp; Business Media.</w:t>
        </w:r>
      </w:hyperlink>
    </w:p>
    <w:p w14:paraId="5E4E71AF"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81">
        <w:r w:rsidRPr="00E75E15">
          <w:rPr>
            <w:rFonts w:ascii="Times New Roman" w:hAnsi="Times New Roman" w:cs="Times New Roman"/>
          </w:rPr>
          <w:t>Smagin, D.A., Kovalenko, I.L., Galyamina, A.G., Bragin, A.O., Orlov, Y.L., Kudryavtseva, N.N., 2016. Dysfunction in Ribosomal Gene Expression in the Hypothalamus and Hippocampus following Chronic Social Defeat Stress in Male Mice as Revealed by RNA-Seq. Neural Plast. 2016, 3289187. https://doi.org/10.1155/2016/3289187</w:t>
        </w:r>
      </w:hyperlink>
    </w:p>
    <w:p w14:paraId="026C2523"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82">
        <w:r w:rsidRPr="00E75E15">
          <w:rPr>
            <w:rFonts w:ascii="Times New Roman" w:hAnsi="Times New Roman" w:cs="Times New Roman"/>
          </w:rPr>
          <w:t>Smith, K.T., Workman, J.L., 2012. Chromatin Proteins: Key Responders to Stress. PLOS Biol. 10, e1001371. https://doi.org/10.1371/journal.pbio.1001371</w:t>
        </w:r>
      </w:hyperlink>
    </w:p>
    <w:p w14:paraId="09D96C09"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83">
        <w:r w:rsidRPr="00E75E15">
          <w:rPr>
            <w:rFonts w:ascii="Times New Roman" w:hAnsi="Times New Roman" w:cs="Times New Roman"/>
          </w:rPr>
          <w:t>Stark, R., Grzelak, M., Hadfield, J., 2019. RNA sequencing: the teenage years. Nat. Rev. Genet. 20, 631–656. https://doi.org/10.1038/s41576-019-0150-2</w:t>
        </w:r>
      </w:hyperlink>
    </w:p>
    <w:p w14:paraId="75125136"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84">
        <w:r w:rsidRPr="00E75E15">
          <w:rPr>
            <w:rFonts w:ascii="Times New Roman" w:hAnsi="Times New Roman" w:cs="Times New Roman"/>
          </w:rPr>
          <w:t>Storey, J.D., Tibshirani, R., 2003. SAM Thresholding and False Discovery Rates for Detecting Differential Gene Expression in DNA Microarrays, in: Parmigiani, G., Garrett, E.S., Irizarry, R.A., Zeger, S.L. (Eds.), The Analysis of Gene Expression Data: Methods and Software. Springer, New York, NY, pp. 272–290. https://doi.org/10.1007/0-387-21679-0_12</w:t>
        </w:r>
      </w:hyperlink>
    </w:p>
    <w:p w14:paraId="5AC28170"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85">
        <w:r w:rsidRPr="00E75E15">
          <w:rPr>
            <w:rFonts w:ascii="Times New Roman" w:hAnsi="Times New Roman" w:cs="Times New Roman"/>
          </w:rPr>
          <w:t>Tavares, M.R., Santos, W.O. dos, Furigo, I.C., List, E.O., Kopchick, J.J., Donato, J., 2024. Growth Hormone Receptor in Lateral Hypothalamic Neurons Is Required for Increased Food-Seeking Behavior during Food Restriction in Male Mice. J. Neurosci. 44. https://doi.org/10.1523/JNEUROSCI.1761-23.2024</w:t>
        </w:r>
      </w:hyperlink>
    </w:p>
    <w:p w14:paraId="72EC87EA"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86">
        <w:r w:rsidRPr="00E75E15">
          <w:rPr>
            <w:rFonts w:ascii="Times New Roman" w:hAnsi="Times New Roman" w:cs="Times New Roman"/>
          </w:rPr>
          <w:t>Tryon, M.S., DeCant, R., Laugero, K.D., 2013. Having your cake and eating it too: A habit of comfort food may link chronic social stress exposure and acute stress-induced cortisol hyporesponsiveness. Physiol. Behav. 114–115, 32–37. https://doi.org/10.1016/j.physbeh.2013.02.018</w:t>
        </w:r>
      </w:hyperlink>
    </w:p>
    <w:p w14:paraId="7727213A"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87">
        <w:r w:rsidRPr="00E75E15">
          <w:rPr>
            <w:rFonts w:ascii="Times New Roman" w:hAnsi="Times New Roman" w:cs="Times New Roman"/>
          </w:rPr>
          <w:t>Venero, J.L., Vizuete, M.L., Machado, A., Cano, J., 2001. Aquaporins in the central nervous system. Prog. Neurobiol. 63, 321–336. https://doi.org/10.1016/S0301-0082(00)00035-6</w:t>
        </w:r>
      </w:hyperlink>
    </w:p>
    <w:p w14:paraId="3332ACC6"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88">
        <w:r w:rsidRPr="00E75E15">
          <w:rPr>
            <w:rFonts w:ascii="Times New Roman" w:hAnsi="Times New Roman" w:cs="Times New Roman"/>
          </w:rPr>
          <w:t>Vomachka, A.J., Greenwald, G.S., 1979. The Development of Gonadotropin and Steroid Hormone Patterns in Male and Female Hamsters from Birth to Puberty. Endocrinology 105, 960–966. https://doi.org/10.1210/endo-105-4-960</w:t>
        </w:r>
      </w:hyperlink>
    </w:p>
    <w:p w14:paraId="3A1B07C3"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89">
        <w:r w:rsidRPr="00E75E15">
          <w:rPr>
            <w:rFonts w:ascii="Times New Roman" w:hAnsi="Times New Roman" w:cs="Times New Roman"/>
          </w:rPr>
          <w:t>Waddell, D., 1951. Hoarding behavior in the golden hamster. J. Comp. Physiol. Psychol. 44, 383–388. https://doi.org/10.1037/h0063316</w:t>
        </w:r>
      </w:hyperlink>
    </w:p>
    <w:p w14:paraId="3A05A9E5"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90">
        <w:r w:rsidRPr="00E75E15">
          <w:rPr>
            <w:rFonts w:ascii="Times New Roman" w:hAnsi="Times New Roman" w:cs="Times New Roman"/>
          </w:rPr>
          <w:t xml:space="preserve">Wickham, H., Averick, M., Bryan, J., Chang, W., McGowan, L., François, R., Grolemund, G., Hayes, A., Henry, L., Hester, J., Kuhn, M., Pedersen, T., Miller, E., Bache, S., Müller, K., Ooms, J., Robinson, D., Seidel, D., Spinu, V., Takahashi, K., Vaughan, D., Wilke, C., Woo, K., Yutani, H., </w:t>
        </w:r>
        <w:r w:rsidRPr="00E75E15">
          <w:rPr>
            <w:rFonts w:ascii="Times New Roman" w:hAnsi="Times New Roman" w:cs="Times New Roman"/>
          </w:rPr>
          <w:lastRenderedPageBreak/>
          <w:t>2019. Welcome to the Tidyverse. J. Open Source Softw. 4, 1686. https://doi.org/10.21105/joss.01686</w:t>
        </w:r>
      </w:hyperlink>
    </w:p>
    <w:p w14:paraId="065378CE"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91">
        <w:r w:rsidRPr="00E75E15">
          <w:rPr>
            <w:rFonts w:ascii="Times New Roman" w:hAnsi="Times New Roman" w:cs="Times New Roman"/>
          </w:rPr>
          <w:t>Wommack, J.C., Delville, Y., 2003. Repeated social stress and the development of agonistic behavior: individual differences in coping responses in male golden hamsters. Physiol. Behav. 80, 303–308. https://doi.org/10.1016/j.physbeh.2003.08.002</w:t>
        </w:r>
      </w:hyperlink>
    </w:p>
    <w:p w14:paraId="4B4E3CAB"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92">
        <w:r w:rsidRPr="00E75E15">
          <w:rPr>
            <w:rFonts w:ascii="Times New Roman" w:hAnsi="Times New Roman" w:cs="Times New Roman"/>
          </w:rPr>
          <w:t>Wommack, J.C., Salinas, A., Melloni, R.H., Delville, Y., 2004. Behavioural and Neuroendocrine Adaptations to Repeated Stress during Puberty in Male Golden Hamsters. J. Neuroendocrinol. 16, 767–775. https://doi.org/10.1111/j.1365-2826.2004.01233.x</w:t>
        </w:r>
      </w:hyperlink>
    </w:p>
    <w:p w14:paraId="137A510D"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93">
        <w:r w:rsidRPr="00E75E15">
          <w:rPr>
            <w:rFonts w:ascii="Times New Roman" w:hAnsi="Times New Roman" w:cs="Times New Roman"/>
          </w:rPr>
          <w:t>Wommack, J.C., Taravosh-Lahn, K., David, J.T., Delville, Y., 2003. Repeated exposure to social stress alters the development of agonistic behavior in male golden hamsters. Horm. Behav. 43, 229–236. https://doi.org/10.1016/S0018-506X(02)00029-6</w:t>
        </w:r>
      </w:hyperlink>
    </w:p>
    <w:p w14:paraId="56842CE6"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94">
        <w:r w:rsidRPr="00E75E15">
          <w:rPr>
            <w:rFonts w:ascii="Times New Roman" w:hAnsi="Times New Roman" w:cs="Times New Roman"/>
          </w:rPr>
          <w:t>Wu, T., Hu, E., Xu, S., Chen, M., Guo, P., Dai, Z., Feng, T., Zhou, L., Tang, W., Zhan, L., Fu, X., Liu, S., Bo, X., Yu, G., 2021. clusterProfiler 4.0: A universal enrichment tool for interpreting omics data. The Innovation 2. https://doi.org/10.1016/j.xinn.2021.100141</w:t>
        </w:r>
      </w:hyperlink>
    </w:p>
    <w:p w14:paraId="27BB50D8"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95">
        <w:r w:rsidRPr="00E75E15">
          <w:rPr>
            <w:rFonts w:ascii="Times New Roman" w:hAnsi="Times New Roman" w:cs="Times New Roman"/>
          </w:rPr>
          <w:t>Yano, T., Iijima, N., Kakihara, K., Hinuma, S., Tanaka, M., Ibata, Y., 2003. Localization and neuronal response of RFamide related peptides in the rat central nervous system. Brain Res. 982, 156–167. https://doi.org/10.1016/S0006-8993(03)02877-4</w:t>
        </w:r>
      </w:hyperlink>
    </w:p>
    <w:p w14:paraId="5819276A"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96">
        <w:r w:rsidRPr="00E75E15">
          <w:rPr>
            <w:rFonts w:ascii="Times New Roman" w:hAnsi="Times New Roman" w:cs="Times New Roman"/>
          </w:rPr>
          <w:t>Ye, M., Lu, W., Wang, X., Wang, C., Abbruzzese, J.L., Liang, G., Li, X., Luo, Y., 2016. FGF21-FGFR1 Coordinates Phospholipid Homeostasis, Lipid Droplet Function, and ER Stress in Obesity. Endocrinology 157, 4754–4769. https://doi.org/10.1210/en.2016-1710</w:t>
        </w:r>
      </w:hyperlink>
    </w:p>
    <w:sectPr w:rsidR="00B23511" w:rsidRPr="00E75E1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D149B4"/>
    <w:multiLevelType w:val="multilevel"/>
    <w:tmpl w:val="91643C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275554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511"/>
    <w:rsid w:val="00150B44"/>
    <w:rsid w:val="001B15A4"/>
    <w:rsid w:val="001B7ABA"/>
    <w:rsid w:val="00217E36"/>
    <w:rsid w:val="006D3E5B"/>
    <w:rsid w:val="00920F47"/>
    <w:rsid w:val="00B23511"/>
    <w:rsid w:val="00BB2A8A"/>
    <w:rsid w:val="00E07E46"/>
    <w:rsid w:val="00E17758"/>
    <w:rsid w:val="00E425B5"/>
    <w:rsid w:val="00E75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305C9"/>
  <w15:docId w15:val="{AADA00BB-6BDB-486C-869F-1200DA1B7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6D3E5B"/>
    <w:rPr>
      <w:sz w:val="16"/>
      <w:szCs w:val="16"/>
    </w:rPr>
  </w:style>
  <w:style w:type="paragraph" w:styleId="CommentText">
    <w:name w:val="annotation text"/>
    <w:basedOn w:val="Normal"/>
    <w:link w:val="CommentTextChar"/>
    <w:uiPriority w:val="99"/>
    <w:unhideWhenUsed/>
    <w:rsid w:val="006D3E5B"/>
    <w:pPr>
      <w:spacing w:line="240" w:lineRule="auto"/>
    </w:pPr>
    <w:rPr>
      <w:sz w:val="20"/>
      <w:szCs w:val="20"/>
    </w:rPr>
  </w:style>
  <w:style w:type="character" w:customStyle="1" w:styleId="CommentTextChar">
    <w:name w:val="Comment Text Char"/>
    <w:basedOn w:val="DefaultParagraphFont"/>
    <w:link w:val="CommentText"/>
    <w:uiPriority w:val="99"/>
    <w:rsid w:val="006D3E5B"/>
    <w:rPr>
      <w:sz w:val="20"/>
      <w:szCs w:val="20"/>
    </w:rPr>
  </w:style>
  <w:style w:type="paragraph" w:styleId="CommentSubject">
    <w:name w:val="annotation subject"/>
    <w:basedOn w:val="CommentText"/>
    <w:next w:val="CommentText"/>
    <w:link w:val="CommentSubjectChar"/>
    <w:uiPriority w:val="99"/>
    <w:semiHidden/>
    <w:unhideWhenUsed/>
    <w:rsid w:val="006D3E5B"/>
    <w:rPr>
      <w:b/>
      <w:bCs/>
    </w:rPr>
  </w:style>
  <w:style w:type="character" w:customStyle="1" w:styleId="CommentSubjectChar">
    <w:name w:val="Comment Subject Char"/>
    <w:basedOn w:val="CommentTextChar"/>
    <w:link w:val="CommentSubject"/>
    <w:uiPriority w:val="99"/>
    <w:semiHidden/>
    <w:rsid w:val="006D3E5B"/>
    <w:rPr>
      <w:b/>
      <w:bCs/>
      <w:sz w:val="20"/>
      <w:szCs w:val="20"/>
    </w:rPr>
  </w:style>
  <w:style w:type="paragraph" w:styleId="Revision">
    <w:name w:val="Revision"/>
    <w:hidden/>
    <w:uiPriority w:val="99"/>
    <w:semiHidden/>
    <w:rsid w:val="006D3E5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hyperlink" Target="https://www.zotero.org/google-docs/?oPrVVO" TargetMode="External"/><Relationship Id="rId21" Type="http://schemas.openxmlformats.org/officeDocument/2006/relationships/hyperlink" Target="https://www.zotero.org/google-docs/?9n1FuA" TargetMode="External"/><Relationship Id="rId42" Type="http://schemas.openxmlformats.org/officeDocument/2006/relationships/hyperlink" Target="https://www.zotero.org/google-docs/?2sW8NB" TargetMode="External"/><Relationship Id="rId63" Type="http://schemas.openxmlformats.org/officeDocument/2006/relationships/hyperlink" Target="https://www.zotero.org/google-docs/?vekwgD" TargetMode="External"/><Relationship Id="rId84" Type="http://schemas.openxmlformats.org/officeDocument/2006/relationships/hyperlink" Target="https://www.zotero.org/google-docs/?48Hz1X" TargetMode="External"/><Relationship Id="rId138" Type="http://schemas.openxmlformats.org/officeDocument/2006/relationships/hyperlink" Target="https://www.zotero.org/google-docs/?oPrVVO" TargetMode="External"/><Relationship Id="rId159" Type="http://schemas.openxmlformats.org/officeDocument/2006/relationships/hyperlink" Target="https://www.zotero.org/google-docs/?oPrVVO" TargetMode="External"/><Relationship Id="rId170" Type="http://schemas.openxmlformats.org/officeDocument/2006/relationships/hyperlink" Target="https://www.zotero.org/google-docs/?oPrVVO" TargetMode="External"/><Relationship Id="rId191" Type="http://schemas.openxmlformats.org/officeDocument/2006/relationships/hyperlink" Target="https://www.zotero.org/google-docs/?oPrVVO" TargetMode="External"/><Relationship Id="rId107" Type="http://schemas.openxmlformats.org/officeDocument/2006/relationships/hyperlink" Target="https://www.zotero.org/google-docs/?oPrVVO" TargetMode="External"/><Relationship Id="rId11" Type="http://schemas.openxmlformats.org/officeDocument/2006/relationships/hyperlink" Target="https://www.zotero.org/google-docs/?WMRdWD" TargetMode="External"/><Relationship Id="rId32" Type="http://schemas.openxmlformats.org/officeDocument/2006/relationships/image" Target="media/image1.png"/><Relationship Id="rId53" Type="http://schemas.openxmlformats.org/officeDocument/2006/relationships/hyperlink" Target="https://www.zotero.org/google-docs/?znVemS" TargetMode="External"/><Relationship Id="rId74" Type="http://schemas.openxmlformats.org/officeDocument/2006/relationships/hyperlink" Target="https://www.zotero.org/google-docs/?U7mhPl" TargetMode="External"/><Relationship Id="rId128" Type="http://schemas.openxmlformats.org/officeDocument/2006/relationships/hyperlink" Target="https://www.zotero.org/google-docs/?oPrVVO" TargetMode="External"/><Relationship Id="rId149" Type="http://schemas.openxmlformats.org/officeDocument/2006/relationships/hyperlink" Target="https://www.zotero.org/google-docs/?oPrVVO" TargetMode="External"/><Relationship Id="rId5" Type="http://schemas.openxmlformats.org/officeDocument/2006/relationships/hyperlink" Target="mailto:kevin.moran@utexas.edu" TargetMode="External"/><Relationship Id="rId95" Type="http://schemas.openxmlformats.org/officeDocument/2006/relationships/hyperlink" Target="https://www.zotero.org/google-docs/?cwwWMv" TargetMode="External"/><Relationship Id="rId160" Type="http://schemas.openxmlformats.org/officeDocument/2006/relationships/hyperlink" Target="https://www.zotero.org/google-docs/?oPrVVO" TargetMode="External"/><Relationship Id="rId181" Type="http://schemas.openxmlformats.org/officeDocument/2006/relationships/hyperlink" Target="https://www.zotero.org/google-docs/?oPrVVO" TargetMode="External"/><Relationship Id="rId22" Type="http://schemas.openxmlformats.org/officeDocument/2006/relationships/hyperlink" Target="https://www.zotero.org/google-docs/?HoEzOc" TargetMode="External"/><Relationship Id="rId43" Type="http://schemas.openxmlformats.org/officeDocument/2006/relationships/hyperlink" Target="https://www.zotero.org/google-docs/?1Y67U3" TargetMode="External"/><Relationship Id="rId64" Type="http://schemas.openxmlformats.org/officeDocument/2006/relationships/hyperlink" Target="https://www.zotero.org/google-docs/?HpLZ3c" TargetMode="External"/><Relationship Id="rId118" Type="http://schemas.openxmlformats.org/officeDocument/2006/relationships/hyperlink" Target="https://www.zotero.org/google-docs/?oPrVVO" TargetMode="External"/><Relationship Id="rId139" Type="http://schemas.openxmlformats.org/officeDocument/2006/relationships/hyperlink" Target="https://www.zotero.org/google-docs/?oPrVVO" TargetMode="External"/><Relationship Id="rId85" Type="http://schemas.openxmlformats.org/officeDocument/2006/relationships/hyperlink" Target="https://www.zotero.org/google-docs/?OKDFaF" TargetMode="External"/><Relationship Id="rId150" Type="http://schemas.openxmlformats.org/officeDocument/2006/relationships/hyperlink" Target="https://www.zotero.org/google-docs/?oPrVVO" TargetMode="External"/><Relationship Id="rId171" Type="http://schemas.openxmlformats.org/officeDocument/2006/relationships/hyperlink" Target="https://www.zotero.org/google-docs/?oPrVVO" TargetMode="External"/><Relationship Id="rId192" Type="http://schemas.openxmlformats.org/officeDocument/2006/relationships/hyperlink" Target="https://www.zotero.org/google-docs/?oPrVVO" TargetMode="External"/><Relationship Id="rId12" Type="http://schemas.openxmlformats.org/officeDocument/2006/relationships/hyperlink" Target="https://www.zotero.org/google-docs/?wPlo2Y" TargetMode="External"/><Relationship Id="rId33" Type="http://schemas.openxmlformats.org/officeDocument/2006/relationships/hyperlink" Target="https://www.zotero.org/google-docs/?BzpaLR" TargetMode="External"/><Relationship Id="rId108" Type="http://schemas.openxmlformats.org/officeDocument/2006/relationships/hyperlink" Target="https://www.zotero.org/google-docs/?oPrVVO" TargetMode="External"/><Relationship Id="rId129" Type="http://schemas.openxmlformats.org/officeDocument/2006/relationships/hyperlink" Target="https://www.zotero.org/google-docs/?oPrVVO" TargetMode="External"/><Relationship Id="rId54" Type="http://schemas.openxmlformats.org/officeDocument/2006/relationships/hyperlink" Target="https://www.zotero.org/google-docs/?sOFPxm" TargetMode="External"/><Relationship Id="rId75" Type="http://schemas.openxmlformats.org/officeDocument/2006/relationships/hyperlink" Target="https://www.zotero.org/google-docs/?QrPrKO" TargetMode="External"/><Relationship Id="rId96" Type="http://schemas.openxmlformats.org/officeDocument/2006/relationships/hyperlink" Target="https://www.zotero.org/google-docs/?oPrVVO" TargetMode="External"/><Relationship Id="rId140" Type="http://schemas.openxmlformats.org/officeDocument/2006/relationships/hyperlink" Target="https://www.zotero.org/google-docs/?oPrVVO" TargetMode="External"/><Relationship Id="rId161" Type="http://schemas.openxmlformats.org/officeDocument/2006/relationships/hyperlink" Target="https://www.zotero.org/google-docs/?oPrVVO" TargetMode="External"/><Relationship Id="rId182" Type="http://schemas.openxmlformats.org/officeDocument/2006/relationships/hyperlink" Target="https://www.zotero.org/google-docs/?oPrVVO" TargetMode="External"/><Relationship Id="rId6" Type="http://schemas.openxmlformats.org/officeDocument/2006/relationships/hyperlink" Target="https://www.zotero.org/google-docs/?bFnneq" TargetMode="External"/><Relationship Id="rId23" Type="http://schemas.openxmlformats.org/officeDocument/2006/relationships/hyperlink" Target="https://www.zotero.org/google-docs/?BGkUqG" TargetMode="External"/><Relationship Id="rId119" Type="http://schemas.openxmlformats.org/officeDocument/2006/relationships/hyperlink" Target="https://www.zotero.org/google-docs/?oPrVVO" TargetMode="External"/><Relationship Id="rId44" Type="http://schemas.openxmlformats.org/officeDocument/2006/relationships/hyperlink" Target="https://www.zotero.org/google-docs/?zJdoqv" TargetMode="External"/><Relationship Id="rId65" Type="http://schemas.openxmlformats.org/officeDocument/2006/relationships/hyperlink" Target="https://www.zotero.org/google-docs/?pjhAae" TargetMode="External"/><Relationship Id="rId86" Type="http://schemas.openxmlformats.org/officeDocument/2006/relationships/hyperlink" Target="https://www.zotero.org/google-docs/?75TeKu" TargetMode="External"/><Relationship Id="rId130" Type="http://schemas.openxmlformats.org/officeDocument/2006/relationships/hyperlink" Target="https://www.zotero.org/google-docs/?oPrVVO" TargetMode="External"/><Relationship Id="rId151" Type="http://schemas.openxmlformats.org/officeDocument/2006/relationships/hyperlink" Target="https://www.zotero.org/google-docs/?oPrVVO" TargetMode="External"/><Relationship Id="rId172" Type="http://schemas.openxmlformats.org/officeDocument/2006/relationships/hyperlink" Target="https://www.zotero.org/google-docs/?oPrVVO" TargetMode="External"/><Relationship Id="rId193" Type="http://schemas.openxmlformats.org/officeDocument/2006/relationships/hyperlink" Target="https://www.zotero.org/google-docs/?oPrVVO" TargetMode="External"/><Relationship Id="rId13" Type="http://schemas.openxmlformats.org/officeDocument/2006/relationships/hyperlink" Target="https://www.zotero.org/google-docs/?XCHVuA" TargetMode="External"/><Relationship Id="rId109" Type="http://schemas.openxmlformats.org/officeDocument/2006/relationships/hyperlink" Target="https://www.zotero.org/google-docs/?oPrVVO" TargetMode="External"/><Relationship Id="rId34" Type="http://schemas.openxmlformats.org/officeDocument/2006/relationships/hyperlink" Target="https://www.zotero.org/google-docs/?lqEJEt" TargetMode="External"/><Relationship Id="rId55" Type="http://schemas.openxmlformats.org/officeDocument/2006/relationships/hyperlink" Target="https://www.zotero.org/google-docs/?q1cIaT" TargetMode="External"/><Relationship Id="rId76" Type="http://schemas.openxmlformats.org/officeDocument/2006/relationships/hyperlink" Target="https://www.zotero.org/google-docs/?33IQRu" TargetMode="External"/><Relationship Id="rId97" Type="http://schemas.openxmlformats.org/officeDocument/2006/relationships/hyperlink" Target="https://www.zotero.org/google-docs/?oPrVVO" TargetMode="External"/><Relationship Id="rId120" Type="http://schemas.openxmlformats.org/officeDocument/2006/relationships/hyperlink" Target="https://www.zotero.org/google-docs/?oPrVVO" TargetMode="External"/><Relationship Id="rId141" Type="http://schemas.openxmlformats.org/officeDocument/2006/relationships/hyperlink" Target="https://www.zotero.org/google-docs/?oPrVVO" TargetMode="External"/><Relationship Id="rId7" Type="http://schemas.openxmlformats.org/officeDocument/2006/relationships/hyperlink" Target="https://www.zotero.org/google-docs/?aNrj5f" TargetMode="External"/><Relationship Id="rId71" Type="http://schemas.openxmlformats.org/officeDocument/2006/relationships/hyperlink" Target="https://www.zotero.org/google-docs/?W9CDpt" TargetMode="External"/><Relationship Id="rId92" Type="http://schemas.openxmlformats.org/officeDocument/2006/relationships/hyperlink" Target="https://www.zotero.org/google-docs/?2eb1cS" TargetMode="External"/><Relationship Id="rId162" Type="http://schemas.openxmlformats.org/officeDocument/2006/relationships/hyperlink" Target="https://www.zotero.org/google-docs/?oPrVVO" TargetMode="External"/><Relationship Id="rId183" Type="http://schemas.openxmlformats.org/officeDocument/2006/relationships/hyperlink" Target="https://www.zotero.org/google-docs/?oPrVVO" TargetMode="External"/><Relationship Id="rId2" Type="http://schemas.openxmlformats.org/officeDocument/2006/relationships/styles" Target="styles.xml"/><Relationship Id="rId29" Type="http://schemas.openxmlformats.org/officeDocument/2006/relationships/hyperlink" Target="https://www.zotero.org/google-docs/?x5QQ4Q" TargetMode="External"/><Relationship Id="rId24" Type="http://schemas.openxmlformats.org/officeDocument/2006/relationships/hyperlink" Target="https://www.zotero.org/google-docs/?q7gfdd" TargetMode="External"/><Relationship Id="rId40" Type="http://schemas.openxmlformats.org/officeDocument/2006/relationships/hyperlink" Target="https://www.zotero.org/google-docs/?BXRXGs" TargetMode="External"/><Relationship Id="rId45" Type="http://schemas.openxmlformats.org/officeDocument/2006/relationships/hyperlink" Target="https://www.zotero.org/google-docs/?RiTL5J" TargetMode="External"/><Relationship Id="rId66" Type="http://schemas.openxmlformats.org/officeDocument/2006/relationships/hyperlink" Target="https://www.zotero.org/google-docs/?PXGgTa" TargetMode="External"/><Relationship Id="rId87" Type="http://schemas.openxmlformats.org/officeDocument/2006/relationships/hyperlink" Target="https://www.zotero.org/google-docs/?75TeKu" TargetMode="External"/><Relationship Id="rId110" Type="http://schemas.openxmlformats.org/officeDocument/2006/relationships/hyperlink" Target="https://www.zotero.org/google-docs/?oPrVVO" TargetMode="External"/><Relationship Id="rId115" Type="http://schemas.openxmlformats.org/officeDocument/2006/relationships/hyperlink" Target="https://www.zotero.org/google-docs/?oPrVVO" TargetMode="External"/><Relationship Id="rId131" Type="http://schemas.openxmlformats.org/officeDocument/2006/relationships/hyperlink" Target="https://www.zotero.org/google-docs/?oPrVVO" TargetMode="External"/><Relationship Id="rId136" Type="http://schemas.openxmlformats.org/officeDocument/2006/relationships/hyperlink" Target="https://www.zotero.org/google-docs/?oPrVVO" TargetMode="External"/><Relationship Id="rId157" Type="http://schemas.openxmlformats.org/officeDocument/2006/relationships/hyperlink" Target="https://www.zotero.org/google-docs/?oPrVVO" TargetMode="External"/><Relationship Id="rId178" Type="http://schemas.openxmlformats.org/officeDocument/2006/relationships/hyperlink" Target="https://www.zotero.org/google-docs/?oPrVVO" TargetMode="External"/><Relationship Id="rId61" Type="http://schemas.openxmlformats.org/officeDocument/2006/relationships/hyperlink" Target="https://www.zotero.org/google-docs/?q9M52T" TargetMode="External"/><Relationship Id="rId82" Type="http://schemas.openxmlformats.org/officeDocument/2006/relationships/hyperlink" Target="https://www.zotero.org/google-docs/?AWQ7MI" TargetMode="External"/><Relationship Id="rId152" Type="http://schemas.openxmlformats.org/officeDocument/2006/relationships/hyperlink" Target="https://www.zotero.org/google-docs/?oPrVVO" TargetMode="External"/><Relationship Id="rId173" Type="http://schemas.openxmlformats.org/officeDocument/2006/relationships/hyperlink" Target="https://www.zotero.org/google-docs/?oPrVVO" TargetMode="External"/><Relationship Id="rId194" Type="http://schemas.openxmlformats.org/officeDocument/2006/relationships/hyperlink" Target="https://www.zotero.org/google-docs/?oPrVVO" TargetMode="External"/><Relationship Id="rId19" Type="http://schemas.openxmlformats.org/officeDocument/2006/relationships/hyperlink" Target="https://www.zotero.org/google-docs/?LapEuc" TargetMode="External"/><Relationship Id="rId14" Type="http://schemas.openxmlformats.org/officeDocument/2006/relationships/hyperlink" Target="https://www.zotero.org/google-docs/?2801Pk" TargetMode="External"/><Relationship Id="rId30" Type="http://schemas.openxmlformats.org/officeDocument/2006/relationships/hyperlink" Target="https://www.zotero.org/google-docs/?aWOUWi" TargetMode="External"/><Relationship Id="rId35" Type="http://schemas.openxmlformats.org/officeDocument/2006/relationships/hyperlink" Target="https://www.zotero.org/google-docs/?4Ce5qx" TargetMode="External"/><Relationship Id="rId56" Type="http://schemas.openxmlformats.org/officeDocument/2006/relationships/hyperlink" Target="https://www.zotero.org/google-docs/?tlyQHz" TargetMode="External"/><Relationship Id="rId77" Type="http://schemas.openxmlformats.org/officeDocument/2006/relationships/hyperlink" Target="https://www.zotero.org/google-docs/?4pMbPc" TargetMode="External"/><Relationship Id="rId100" Type="http://schemas.openxmlformats.org/officeDocument/2006/relationships/hyperlink" Target="https://www.zotero.org/google-docs/?oPrVVO" TargetMode="External"/><Relationship Id="rId105" Type="http://schemas.openxmlformats.org/officeDocument/2006/relationships/hyperlink" Target="https://www.zotero.org/google-docs/?oPrVVO" TargetMode="External"/><Relationship Id="rId126" Type="http://schemas.openxmlformats.org/officeDocument/2006/relationships/hyperlink" Target="https://www.zotero.org/google-docs/?oPrVVO" TargetMode="External"/><Relationship Id="rId147" Type="http://schemas.openxmlformats.org/officeDocument/2006/relationships/hyperlink" Target="https://www.zotero.org/google-docs/?oPrVVO" TargetMode="External"/><Relationship Id="rId168" Type="http://schemas.openxmlformats.org/officeDocument/2006/relationships/hyperlink" Target="https://www.zotero.org/google-docs/?oPrVVO" TargetMode="External"/><Relationship Id="rId8" Type="http://schemas.openxmlformats.org/officeDocument/2006/relationships/hyperlink" Target="https://www.zotero.org/google-docs/?3tX5y8" TargetMode="External"/><Relationship Id="rId51" Type="http://schemas.openxmlformats.org/officeDocument/2006/relationships/image" Target="media/image4.png"/><Relationship Id="rId72" Type="http://schemas.openxmlformats.org/officeDocument/2006/relationships/hyperlink" Target="https://www.zotero.org/google-docs/?gCZ5Gu" TargetMode="External"/><Relationship Id="rId93" Type="http://schemas.openxmlformats.org/officeDocument/2006/relationships/hyperlink" Target="https://www.zotero.org/google-docs/?dVNoEC" TargetMode="External"/><Relationship Id="rId98" Type="http://schemas.openxmlformats.org/officeDocument/2006/relationships/hyperlink" Target="https://www.zotero.org/google-docs/?oPrVVO" TargetMode="External"/><Relationship Id="rId121" Type="http://schemas.openxmlformats.org/officeDocument/2006/relationships/hyperlink" Target="https://www.zotero.org/google-docs/?oPrVVO" TargetMode="External"/><Relationship Id="rId142" Type="http://schemas.openxmlformats.org/officeDocument/2006/relationships/hyperlink" Target="https://www.zotero.org/google-docs/?oPrVVO" TargetMode="External"/><Relationship Id="rId163" Type="http://schemas.openxmlformats.org/officeDocument/2006/relationships/hyperlink" Target="https://www.zotero.org/google-docs/?oPrVVO" TargetMode="External"/><Relationship Id="rId184" Type="http://schemas.openxmlformats.org/officeDocument/2006/relationships/hyperlink" Target="https://www.zotero.org/google-docs/?oPrVVO" TargetMode="External"/><Relationship Id="rId189" Type="http://schemas.openxmlformats.org/officeDocument/2006/relationships/hyperlink" Target="https://www.zotero.org/google-docs/?oPrVVO" TargetMode="External"/><Relationship Id="rId3" Type="http://schemas.openxmlformats.org/officeDocument/2006/relationships/settings" Target="settings.xml"/><Relationship Id="rId25" Type="http://schemas.openxmlformats.org/officeDocument/2006/relationships/hyperlink" Target="https://www.zotero.org/google-docs/?7ZXn6S" TargetMode="External"/><Relationship Id="rId46" Type="http://schemas.openxmlformats.org/officeDocument/2006/relationships/hyperlink" Target="https://www.zotero.org/google-docs/?c47Ejr" TargetMode="External"/><Relationship Id="rId67" Type="http://schemas.openxmlformats.org/officeDocument/2006/relationships/hyperlink" Target="https://www.zotero.org/google-docs/?c0UdP7" TargetMode="External"/><Relationship Id="rId116" Type="http://schemas.openxmlformats.org/officeDocument/2006/relationships/hyperlink" Target="https://www.zotero.org/google-docs/?oPrVVO" TargetMode="External"/><Relationship Id="rId137" Type="http://schemas.openxmlformats.org/officeDocument/2006/relationships/hyperlink" Target="https://www.zotero.org/google-docs/?oPrVVO" TargetMode="External"/><Relationship Id="rId158" Type="http://schemas.openxmlformats.org/officeDocument/2006/relationships/hyperlink" Target="https://www.zotero.org/google-docs/?oPrVVO" TargetMode="External"/><Relationship Id="rId20" Type="http://schemas.openxmlformats.org/officeDocument/2006/relationships/hyperlink" Target="https://www.zotero.org/google-docs/?uT1NxY" TargetMode="External"/><Relationship Id="rId41" Type="http://schemas.openxmlformats.org/officeDocument/2006/relationships/hyperlink" Target="https://www.zotero.org/google-docs/?gkeHfz" TargetMode="External"/><Relationship Id="rId62" Type="http://schemas.openxmlformats.org/officeDocument/2006/relationships/hyperlink" Target="https://www.zotero.org/google-docs/?uiB927" TargetMode="External"/><Relationship Id="rId83" Type="http://schemas.openxmlformats.org/officeDocument/2006/relationships/hyperlink" Target="https://www.zotero.org/google-docs/?9FS8MA" TargetMode="External"/><Relationship Id="rId88" Type="http://schemas.openxmlformats.org/officeDocument/2006/relationships/hyperlink" Target="https://www.zotero.org/google-docs/?75TeKu" TargetMode="External"/><Relationship Id="rId111" Type="http://schemas.openxmlformats.org/officeDocument/2006/relationships/hyperlink" Target="https://www.zotero.org/google-docs/?oPrVVO" TargetMode="External"/><Relationship Id="rId132" Type="http://schemas.openxmlformats.org/officeDocument/2006/relationships/hyperlink" Target="https://www.zotero.org/google-docs/?oPrVVO" TargetMode="External"/><Relationship Id="rId153" Type="http://schemas.openxmlformats.org/officeDocument/2006/relationships/hyperlink" Target="https://www.zotero.org/google-docs/?oPrVVO" TargetMode="External"/><Relationship Id="rId174" Type="http://schemas.openxmlformats.org/officeDocument/2006/relationships/hyperlink" Target="https://www.zotero.org/google-docs/?oPrVVO" TargetMode="External"/><Relationship Id="rId179" Type="http://schemas.openxmlformats.org/officeDocument/2006/relationships/hyperlink" Target="https://www.zotero.org/google-docs/?oPrVVO" TargetMode="External"/><Relationship Id="rId195" Type="http://schemas.openxmlformats.org/officeDocument/2006/relationships/hyperlink" Target="https://www.zotero.org/google-docs/?oPrVVO" TargetMode="External"/><Relationship Id="rId190" Type="http://schemas.openxmlformats.org/officeDocument/2006/relationships/hyperlink" Target="https://www.zotero.org/google-docs/?oPrVVO" TargetMode="External"/><Relationship Id="rId15" Type="http://schemas.openxmlformats.org/officeDocument/2006/relationships/hyperlink" Target="https://www.zotero.org/google-docs/?F4Rl4o" TargetMode="External"/><Relationship Id="rId36" Type="http://schemas.openxmlformats.org/officeDocument/2006/relationships/hyperlink" Target="https://www.zotero.org/google-docs/?7jbxsK" TargetMode="External"/><Relationship Id="rId57" Type="http://schemas.openxmlformats.org/officeDocument/2006/relationships/hyperlink" Target="https://www.zotero.org/google-docs/?zEDisF" TargetMode="External"/><Relationship Id="rId106" Type="http://schemas.openxmlformats.org/officeDocument/2006/relationships/hyperlink" Target="https://www.zotero.org/google-docs/?oPrVVO" TargetMode="External"/><Relationship Id="rId127" Type="http://schemas.openxmlformats.org/officeDocument/2006/relationships/hyperlink" Target="https://www.zotero.org/google-docs/?oPrVVO" TargetMode="External"/><Relationship Id="rId10" Type="http://schemas.openxmlformats.org/officeDocument/2006/relationships/hyperlink" Target="https://www.zotero.org/google-docs/?FAl24X" TargetMode="External"/><Relationship Id="rId31" Type="http://schemas.openxmlformats.org/officeDocument/2006/relationships/hyperlink" Target="https://www.zotero.org/google-docs/?9OtPKR" TargetMode="External"/><Relationship Id="rId52" Type="http://schemas.openxmlformats.org/officeDocument/2006/relationships/hyperlink" Target="https://www.zotero.org/google-docs/?cyaD99" TargetMode="External"/><Relationship Id="rId73" Type="http://schemas.openxmlformats.org/officeDocument/2006/relationships/hyperlink" Target="https://www.zotero.org/google-docs/?iyarso" TargetMode="External"/><Relationship Id="rId78" Type="http://schemas.openxmlformats.org/officeDocument/2006/relationships/hyperlink" Target="https://www.zotero.org/google-docs/?LiEtGo" TargetMode="External"/><Relationship Id="rId94" Type="http://schemas.openxmlformats.org/officeDocument/2006/relationships/hyperlink" Target="https://www.zotero.org/google-docs/?fxmtyP" TargetMode="External"/><Relationship Id="rId99" Type="http://schemas.openxmlformats.org/officeDocument/2006/relationships/hyperlink" Target="https://www.zotero.org/google-docs/?oPrVVO" TargetMode="External"/><Relationship Id="rId101" Type="http://schemas.openxmlformats.org/officeDocument/2006/relationships/hyperlink" Target="https://www.zotero.org/google-docs/?oPrVVO" TargetMode="External"/><Relationship Id="rId122" Type="http://schemas.openxmlformats.org/officeDocument/2006/relationships/hyperlink" Target="https://www.zotero.org/google-docs/?oPrVVO" TargetMode="External"/><Relationship Id="rId143" Type="http://schemas.openxmlformats.org/officeDocument/2006/relationships/hyperlink" Target="https://www.zotero.org/google-docs/?oPrVVO" TargetMode="External"/><Relationship Id="rId148" Type="http://schemas.openxmlformats.org/officeDocument/2006/relationships/hyperlink" Target="https://www.zotero.org/google-docs/?oPrVVO" TargetMode="External"/><Relationship Id="rId164" Type="http://schemas.openxmlformats.org/officeDocument/2006/relationships/hyperlink" Target="https://www.zotero.org/google-docs/?oPrVVO" TargetMode="External"/><Relationship Id="rId169" Type="http://schemas.openxmlformats.org/officeDocument/2006/relationships/hyperlink" Target="https://www.zotero.org/google-docs/?oPrVVO" TargetMode="External"/><Relationship Id="rId185" Type="http://schemas.openxmlformats.org/officeDocument/2006/relationships/hyperlink" Target="https://www.zotero.org/google-docs/?oPrVVO" TargetMode="External"/><Relationship Id="rId4" Type="http://schemas.openxmlformats.org/officeDocument/2006/relationships/webSettings" Target="webSettings.xml"/><Relationship Id="rId9" Type="http://schemas.openxmlformats.org/officeDocument/2006/relationships/hyperlink" Target="https://www.zotero.org/google-docs/?mjqgxE" TargetMode="External"/><Relationship Id="rId180" Type="http://schemas.openxmlformats.org/officeDocument/2006/relationships/hyperlink" Target="https://www.zotero.org/google-docs/?oPrVVO" TargetMode="External"/><Relationship Id="rId26" Type="http://schemas.openxmlformats.org/officeDocument/2006/relationships/hyperlink" Target="https://www.zotero.org/google-docs/?TLetE3" TargetMode="External"/><Relationship Id="rId47" Type="http://schemas.openxmlformats.org/officeDocument/2006/relationships/hyperlink" Target="https://www.zotero.org/google-docs/?lDNhTK" TargetMode="External"/><Relationship Id="rId68" Type="http://schemas.openxmlformats.org/officeDocument/2006/relationships/hyperlink" Target="https://www.zotero.org/google-docs/?UQ46i6" TargetMode="External"/><Relationship Id="rId89" Type="http://schemas.openxmlformats.org/officeDocument/2006/relationships/hyperlink" Target="https://www.zotero.org/google-docs/?DAZPJF" TargetMode="External"/><Relationship Id="rId112" Type="http://schemas.openxmlformats.org/officeDocument/2006/relationships/hyperlink" Target="https://www.zotero.org/google-docs/?oPrVVO" TargetMode="External"/><Relationship Id="rId133" Type="http://schemas.openxmlformats.org/officeDocument/2006/relationships/hyperlink" Target="https://www.zotero.org/google-docs/?oPrVVO" TargetMode="External"/><Relationship Id="rId154" Type="http://schemas.openxmlformats.org/officeDocument/2006/relationships/hyperlink" Target="https://www.zotero.org/google-docs/?oPrVVO" TargetMode="External"/><Relationship Id="rId175" Type="http://schemas.openxmlformats.org/officeDocument/2006/relationships/hyperlink" Target="https://www.zotero.org/google-docs/?oPrVVO" TargetMode="External"/><Relationship Id="rId196" Type="http://schemas.openxmlformats.org/officeDocument/2006/relationships/hyperlink" Target="https://www.zotero.org/google-docs/?oPrVVO" TargetMode="External"/><Relationship Id="rId16" Type="http://schemas.openxmlformats.org/officeDocument/2006/relationships/hyperlink" Target="https://www.zotero.org/google-docs/?5kCTJJ" TargetMode="External"/><Relationship Id="rId37" Type="http://schemas.openxmlformats.org/officeDocument/2006/relationships/hyperlink" Target="https://www.zotero.org/google-docs/?xm0GAX" TargetMode="External"/><Relationship Id="rId58" Type="http://schemas.openxmlformats.org/officeDocument/2006/relationships/hyperlink" Target="https://www.zotero.org/google-docs/?YHpqNt" TargetMode="External"/><Relationship Id="rId79" Type="http://schemas.openxmlformats.org/officeDocument/2006/relationships/hyperlink" Target="https://www.zotero.org/google-docs/?cf63ZO" TargetMode="External"/><Relationship Id="rId102" Type="http://schemas.openxmlformats.org/officeDocument/2006/relationships/hyperlink" Target="https://www.zotero.org/google-docs/?oPrVVO" TargetMode="External"/><Relationship Id="rId123" Type="http://schemas.openxmlformats.org/officeDocument/2006/relationships/hyperlink" Target="https://www.zotero.org/google-docs/?oPrVVO" TargetMode="External"/><Relationship Id="rId144" Type="http://schemas.openxmlformats.org/officeDocument/2006/relationships/hyperlink" Target="https://www.zotero.org/google-docs/?oPrVVO" TargetMode="External"/><Relationship Id="rId90" Type="http://schemas.openxmlformats.org/officeDocument/2006/relationships/hyperlink" Target="https://www.zotero.org/google-docs/?4PYCIt" TargetMode="External"/><Relationship Id="rId165" Type="http://schemas.openxmlformats.org/officeDocument/2006/relationships/hyperlink" Target="https://www.zotero.org/google-docs/?oPrVVO" TargetMode="External"/><Relationship Id="rId186" Type="http://schemas.openxmlformats.org/officeDocument/2006/relationships/hyperlink" Target="https://www.zotero.org/google-docs/?oPrVVO" TargetMode="External"/><Relationship Id="rId27" Type="http://schemas.openxmlformats.org/officeDocument/2006/relationships/hyperlink" Target="https://www.zotero.org/google-docs/?59Wjb7" TargetMode="External"/><Relationship Id="rId48" Type="http://schemas.openxmlformats.org/officeDocument/2006/relationships/hyperlink" Target="https://www.zotero.org/google-docs/?O54LxR" TargetMode="External"/><Relationship Id="rId69" Type="http://schemas.openxmlformats.org/officeDocument/2006/relationships/hyperlink" Target="https://www.zotero.org/google-docs/?o2k1eX" TargetMode="External"/><Relationship Id="rId113" Type="http://schemas.openxmlformats.org/officeDocument/2006/relationships/hyperlink" Target="https://www.zotero.org/google-docs/?oPrVVO" TargetMode="External"/><Relationship Id="rId134" Type="http://schemas.openxmlformats.org/officeDocument/2006/relationships/hyperlink" Target="https://www.zotero.org/google-docs/?oPrVVO" TargetMode="External"/><Relationship Id="rId80" Type="http://schemas.openxmlformats.org/officeDocument/2006/relationships/hyperlink" Target="https://www.zotero.org/google-docs/?2BPoV2" TargetMode="External"/><Relationship Id="rId155" Type="http://schemas.openxmlformats.org/officeDocument/2006/relationships/hyperlink" Target="https://www.zotero.org/google-docs/?oPrVVO" TargetMode="External"/><Relationship Id="rId176" Type="http://schemas.openxmlformats.org/officeDocument/2006/relationships/hyperlink" Target="https://www.zotero.org/google-docs/?oPrVVO" TargetMode="External"/><Relationship Id="rId197" Type="http://schemas.openxmlformats.org/officeDocument/2006/relationships/fontTable" Target="fontTable.xml"/><Relationship Id="rId17" Type="http://schemas.openxmlformats.org/officeDocument/2006/relationships/hyperlink" Target="https://www.zotero.org/google-docs/?8qWpgV" TargetMode="External"/><Relationship Id="rId38" Type="http://schemas.openxmlformats.org/officeDocument/2006/relationships/hyperlink" Target="https://www.zotero.org/google-docs/?6j376d" TargetMode="External"/><Relationship Id="rId59" Type="http://schemas.openxmlformats.org/officeDocument/2006/relationships/hyperlink" Target="https://www.zotero.org/google-docs/?Q9HGBA" TargetMode="External"/><Relationship Id="rId103" Type="http://schemas.openxmlformats.org/officeDocument/2006/relationships/hyperlink" Target="https://www.zotero.org/google-docs/?oPrVVO" TargetMode="External"/><Relationship Id="rId124" Type="http://schemas.openxmlformats.org/officeDocument/2006/relationships/hyperlink" Target="https://www.zotero.org/google-docs/?oPrVVO" TargetMode="External"/><Relationship Id="rId70" Type="http://schemas.openxmlformats.org/officeDocument/2006/relationships/hyperlink" Target="https://www.zotero.org/google-docs/?nkOjw3" TargetMode="External"/><Relationship Id="rId91" Type="http://schemas.openxmlformats.org/officeDocument/2006/relationships/hyperlink" Target="https://www.zotero.org/google-docs/?bwDWY1" TargetMode="External"/><Relationship Id="rId145" Type="http://schemas.openxmlformats.org/officeDocument/2006/relationships/hyperlink" Target="https://www.zotero.org/google-docs/?oPrVVO" TargetMode="External"/><Relationship Id="rId166" Type="http://schemas.openxmlformats.org/officeDocument/2006/relationships/hyperlink" Target="https://www.zotero.org/google-docs/?oPrVVO" TargetMode="External"/><Relationship Id="rId187" Type="http://schemas.openxmlformats.org/officeDocument/2006/relationships/hyperlink" Target="https://www.zotero.org/google-docs/?oPrVVO" TargetMode="External"/><Relationship Id="rId1" Type="http://schemas.openxmlformats.org/officeDocument/2006/relationships/numbering" Target="numbering.xml"/><Relationship Id="rId28" Type="http://schemas.openxmlformats.org/officeDocument/2006/relationships/hyperlink" Target="https://www.zotero.org/google-docs/?SqOxKQ" TargetMode="External"/><Relationship Id="rId49" Type="http://schemas.openxmlformats.org/officeDocument/2006/relationships/image" Target="media/image2.png"/><Relationship Id="rId114" Type="http://schemas.openxmlformats.org/officeDocument/2006/relationships/hyperlink" Target="https://www.zotero.org/google-docs/?oPrVVO" TargetMode="External"/><Relationship Id="rId60" Type="http://schemas.openxmlformats.org/officeDocument/2006/relationships/hyperlink" Target="https://www.zotero.org/google-docs/?ptn94E" TargetMode="External"/><Relationship Id="rId81" Type="http://schemas.openxmlformats.org/officeDocument/2006/relationships/hyperlink" Target="https://www.zotero.org/google-docs/?mkRyiV" TargetMode="External"/><Relationship Id="rId135" Type="http://schemas.openxmlformats.org/officeDocument/2006/relationships/hyperlink" Target="https://www.zotero.org/google-docs/?oPrVVO" TargetMode="External"/><Relationship Id="rId156" Type="http://schemas.openxmlformats.org/officeDocument/2006/relationships/hyperlink" Target="https://www.zotero.org/google-docs/?oPrVVO" TargetMode="External"/><Relationship Id="rId177" Type="http://schemas.openxmlformats.org/officeDocument/2006/relationships/hyperlink" Target="https://www.zotero.org/google-docs/?oPrVVO" TargetMode="External"/><Relationship Id="rId198" Type="http://schemas.openxmlformats.org/officeDocument/2006/relationships/theme" Target="theme/theme1.xml"/><Relationship Id="rId18" Type="http://schemas.openxmlformats.org/officeDocument/2006/relationships/hyperlink" Target="https://www.zotero.org/google-docs/?sHoKwy" TargetMode="External"/><Relationship Id="rId39" Type="http://schemas.openxmlformats.org/officeDocument/2006/relationships/hyperlink" Target="https://www.zotero.org/google-docs/?qUj06k" TargetMode="External"/><Relationship Id="rId50" Type="http://schemas.openxmlformats.org/officeDocument/2006/relationships/image" Target="media/image3.png"/><Relationship Id="rId104" Type="http://schemas.openxmlformats.org/officeDocument/2006/relationships/hyperlink" Target="https://www.zotero.org/google-docs/?oPrVVO" TargetMode="External"/><Relationship Id="rId125" Type="http://schemas.openxmlformats.org/officeDocument/2006/relationships/hyperlink" Target="https://www.zotero.org/google-docs/?oPrVVO" TargetMode="External"/><Relationship Id="rId146" Type="http://schemas.openxmlformats.org/officeDocument/2006/relationships/hyperlink" Target="https://www.zotero.org/google-docs/?oPrVVO" TargetMode="External"/><Relationship Id="rId167" Type="http://schemas.openxmlformats.org/officeDocument/2006/relationships/hyperlink" Target="https://www.zotero.org/google-docs/?oPrVVO" TargetMode="External"/><Relationship Id="rId188" Type="http://schemas.openxmlformats.org/officeDocument/2006/relationships/hyperlink" Target="https://www.zotero.org/google-docs/?oPrV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37</Pages>
  <Words>12284</Words>
  <Characters>70019</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Moran</cp:lastModifiedBy>
  <cp:revision>7</cp:revision>
  <dcterms:created xsi:type="dcterms:W3CDTF">2024-12-12T21:22:00Z</dcterms:created>
  <dcterms:modified xsi:type="dcterms:W3CDTF">2025-02-17T19:02:00Z</dcterms:modified>
</cp:coreProperties>
</file>