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22F4E" w14:textId="77777777" w:rsidR="00177F03" w:rsidRPr="00177F03" w:rsidRDefault="00177F03" w:rsidP="00177F03">
      <w:pPr>
        <w:jc w:val="center"/>
        <w:rPr>
          <w:sz w:val="56"/>
          <w:szCs w:val="56"/>
        </w:rPr>
      </w:pPr>
      <w:r w:rsidRPr="00177F03">
        <w:rPr>
          <w:sz w:val="56"/>
          <w:szCs w:val="56"/>
        </w:rPr>
        <w:t>ACADIA Energy Partners</w:t>
      </w:r>
    </w:p>
    <w:p w14:paraId="68FD6640" w14:textId="77777777" w:rsidR="00177F03" w:rsidRPr="00177F03" w:rsidRDefault="00177F03" w:rsidP="00177F03">
      <w:pPr>
        <w:jc w:val="center"/>
        <w:rPr>
          <w:sz w:val="56"/>
          <w:szCs w:val="56"/>
        </w:rPr>
      </w:pPr>
      <w:r w:rsidRPr="00177F03">
        <w:rPr>
          <w:sz w:val="56"/>
          <w:szCs w:val="56"/>
        </w:rPr>
        <w:t>Risk Management Policy</w:t>
      </w:r>
    </w:p>
    <w:p w14:paraId="5C4897D1" w14:textId="77777777" w:rsidR="00177F03" w:rsidRPr="00177F03" w:rsidRDefault="00177F03" w:rsidP="00177F03">
      <w:pPr>
        <w:jc w:val="center"/>
        <w:rPr>
          <w:sz w:val="56"/>
          <w:szCs w:val="56"/>
        </w:rPr>
      </w:pPr>
    </w:p>
    <w:p w14:paraId="67F507D0" w14:textId="53B016CC" w:rsidR="00177F03" w:rsidRPr="00177F03" w:rsidRDefault="00CD2CC3" w:rsidP="00177F03">
      <w:pPr>
        <w:jc w:val="center"/>
        <w:rPr>
          <w:sz w:val="56"/>
          <w:szCs w:val="56"/>
        </w:rPr>
      </w:pPr>
      <w:r>
        <w:rPr>
          <w:sz w:val="56"/>
          <w:szCs w:val="56"/>
        </w:rPr>
        <w:t>Versio</w:t>
      </w:r>
      <w:bookmarkStart w:id="0" w:name="_GoBack"/>
      <w:bookmarkEnd w:id="0"/>
      <w:r>
        <w:rPr>
          <w:sz w:val="56"/>
          <w:szCs w:val="56"/>
        </w:rPr>
        <w:t>n 1.4</w:t>
      </w:r>
    </w:p>
    <w:p w14:paraId="3E399D11" w14:textId="47225E7B" w:rsidR="00177F03" w:rsidRDefault="00B00E43" w:rsidP="00177F03">
      <w:pPr>
        <w:jc w:val="center"/>
      </w:pPr>
      <w:r>
        <w:rPr>
          <w:sz w:val="56"/>
          <w:szCs w:val="56"/>
        </w:rPr>
        <w:t>Effective: July 5</w:t>
      </w:r>
      <w:r w:rsidRPr="00B00E43">
        <w:rPr>
          <w:sz w:val="56"/>
          <w:szCs w:val="56"/>
          <w:vertAlign w:val="superscript"/>
        </w:rPr>
        <w:t>th</w:t>
      </w:r>
      <w:r>
        <w:rPr>
          <w:sz w:val="56"/>
          <w:szCs w:val="56"/>
        </w:rPr>
        <w:t xml:space="preserve">, </w:t>
      </w:r>
      <w:r w:rsidR="00177F03" w:rsidRPr="00177F03">
        <w:rPr>
          <w:sz w:val="56"/>
          <w:szCs w:val="56"/>
        </w:rPr>
        <w:t>2017</w:t>
      </w:r>
      <w:r w:rsidR="00177F03">
        <w:br w:type="page"/>
      </w:r>
    </w:p>
    <w:p w14:paraId="164EB232" w14:textId="100D4184" w:rsidR="00612E0E" w:rsidRDefault="00814B5B">
      <w:pPr>
        <w:pStyle w:val="TOC1"/>
        <w:tabs>
          <w:tab w:val="left" w:pos="480"/>
          <w:tab w:val="right" w:leader="dot" w:pos="8630"/>
        </w:tabs>
        <w:rPr>
          <w:noProof/>
          <w:sz w:val="22"/>
          <w:szCs w:val="22"/>
        </w:rPr>
      </w:pPr>
      <w:r>
        <w:lastRenderedPageBreak/>
        <w:fldChar w:fldCharType="begin"/>
      </w:r>
      <w:r>
        <w:instrText xml:space="preserve"> TOC \o "1-3" </w:instrText>
      </w:r>
      <w:r>
        <w:fldChar w:fldCharType="separate"/>
      </w:r>
      <w:r w:rsidR="00612E0E">
        <w:rPr>
          <w:noProof/>
        </w:rPr>
        <w:t>I.</w:t>
      </w:r>
      <w:r w:rsidR="00612E0E">
        <w:rPr>
          <w:noProof/>
          <w:sz w:val="22"/>
          <w:szCs w:val="22"/>
        </w:rPr>
        <w:tab/>
      </w:r>
      <w:r w:rsidR="00612E0E">
        <w:rPr>
          <w:noProof/>
        </w:rPr>
        <w:t>Risk Policy Governance</w:t>
      </w:r>
      <w:r w:rsidR="00612E0E">
        <w:rPr>
          <w:noProof/>
        </w:rPr>
        <w:tab/>
      </w:r>
      <w:r w:rsidR="00612E0E">
        <w:rPr>
          <w:noProof/>
        </w:rPr>
        <w:fldChar w:fldCharType="begin"/>
      </w:r>
      <w:r w:rsidR="00612E0E">
        <w:rPr>
          <w:noProof/>
        </w:rPr>
        <w:instrText xml:space="preserve"> PAGEREF _Toc482795716 \h </w:instrText>
      </w:r>
      <w:r w:rsidR="00612E0E">
        <w:rPr>
          <w:noProof/>
        </w:rPr>
      </w:r>
      <w:r w:rsidR="00612E0E">
        <w:rPr>
          <w:noProof/>
        </w:rPr>
        <w:fldChar w:fldCharType="separate"/>
      </w:r>
      <w:r w:rsidR="00612E0E">
        <w:rPr>
          <w:noProof/>
        </w:rPr>
        <w:t>3</w:t>
      </w:r>
      <w:r w:rsidR="00612E0E">
        <w:rPr>
          <w:noProof/>
        </w:rPr>
        <w:fldChar w:fldCharType="end"/>
      </w:r>
    </w:p>
    <w:p w14:paraId="6416F856" w14:textId="7AF28E51" w:rsidR="00612E0E" w:rsidRDefault="00612E0E">
      <w:pPr>
        <w:pStyle w:val="TOC2"/>
        <w:tabs>
          <w:tab w:val="left" w:pos="720"/>
          <w:tab w:val="right" w:leader="dot" w:pos="8630"/>
        </w:tabs>
        <w:rPr>
          <w:noProof/>
          <w:sz w:val="22"/>
          <w:szCs w:val="22"/>
        </w:rPr>
      </w:pPr>
      <w:r>
        <w:rPr>
          <w:noProof/>
        </w:rPr>
        <w:t>A.</w:t>
      </w:r>
      <w:r>
        <w:rPr>
          <w:noProof/>
          <w:sz w:val="22"/>
          <w:szCs w:val="22"/>
        </w:rPr>
        <w:tab/>
      </w:r>
      <w:r>
        <w:rPr>
          <w:noProof/>
        </w:rPr>
        <w:t>Governance Structure</w:t>
      </w:r>
      <w:r>
        <w:rPr>
          <w:noProof/>
        </w:rPr>
        <w:tab/>
      </w:r>
      <w:r>
        <w:rPr>
          <w:noProof/>
        </w:rPr>
        <w:fldChar w:fldCharType="begin"/>
      </w:r>
      <w:r>
        <w:rPr>
          <w:noProof/>
        </w:rPr>
        <w:instrText xml:space="preserve"> PAGEREF _Toc482795717 \h </w:instrText>
      </w:r>
      <w:r>
        <w:rPr>
          <w:noProof/>
        </w:rPr>
      </w:r>
      <w:r>
        <w:rPr>
          <w:noProof/>
        </w:rPr>
        <w:fldChar w:fldCharType="separate"/>
      </w:r>
      <w:r>
        <w:rPr>
          <w:noProof/>
        </w:rPr>
        <w:t>3</w:t>
      </w:r>
      <w:r>
        <w:rPr>
          <w:noProof/>
        </w:rPr>
        <w:fldChar w:fldCharType="end"/>
      </w:r>
    </w:p>
    <w:p w14:paraId="6041E2B7" w14:textId="7CEEFD7F" w:rsidR="00612E0E" w:rsidRDefault="00612E0E">
      <w:pPr>
        <w:pStyle w:val="TOC2"/>
        <w:tabs>
          <w:tab w:val="left" w:pos="720"/>
          <w:tab w:val="right" w:leader="dot" w:pos="8630"/>
        </w:tabs>
        <w:rPr>
          <w:noProof/>
          <w:sz w:val="22"/>
          <w:szCs w:val="22"/>
        </w:rPr>
      </w:pPr>
      <w:r>
        <w:rPr>
          <w:noProof/>
        </w:rPr>
        <w:t>B.</w:t>
      </w:r>
      <w:r>
        <w:rPr>
          <w:noProof/>
          <w:sz w:val="22"/>
          <w:szCs w:val="22"/>
        </w:rPr>
        <w:tab/>
      </w:r>
      <w:r>
        <w:rPr>
          <w:noProof/>
        </w:rPr>
        <w:t>Risk Policy Approval</w:t>
      </w:r>
      <w:r>
        <w:rPr>
          <w:noProof/>
        </w:rPr>
        <w:tab/>
      </w:r>
      <w:r>
        <w:rPr>
          <w:noProof/>
        </w:rPr>
        <w:fldChar w:fldCharType="begin"/>
      </w:r>
      <w:r>
        <w:rPr>
          <w:noProof/>
        </w:rPr>
        <w:instrText xml:space="preserve"> PAGEREF _Toc482795718 \h </w:instrText>
      </w:r>
      <w:r>
        <w:rPr>
          <w:noProof/>
        </w:rPr>
      </w:r>
      <w:r>
        <w:rPr>
          <w:noProof/>
        </w:rPr>
        <w:fldChar w:fldCharType="separate"/>
      </w:r>
      <w:r>
        <w:rPr>
          <w:noProof/>
        </w:rPr>
        <w:t>4</w:t>
      </w:r>
      <w:r>
        <w:rPr>
          <w:noProof/>
        </w:rPr>
        <w:fldChar w:fldCharType="end"/>
      </w:r>
    </w:p>
    <w:p w14:paraId="5AA380C3" w14:textId="2FE40DD2" w:rsidR="00612E0E" w:rsidRDefault="00612E0E">
      <w:pPr>
        <w:pStyle w:val="TOC2"/>
        <w:tabs>
          <w:tab w:val="left" w:pos="720"/>
          <w:tab w:val="right" w:leader="dot" w:pos="8630"/>
        </w:tabs>
        <w:rPr>
          <w:noProof/>
          <w:sz w:val="22"/>
          <w:szCs w:val="22"/>
        </w:rPr>
      </w:pPr>
      <w:r>
        <w:rPr>
          <w:noProof/>
        </w:rPr>
        <w:t>C.</w:t>
      </w:r>
      <w:r>
        <w:rPr>
          <w:noProof/>
          <w:sz w:val="22"/>
          <w:szCs w:val="22"/>
        </w:rPr>
        <w:tab/>
      </w:r>
      <w:r>
        <w:rPr>
          <w:noProof/>
        </w:rPr>
        <w:t>Organizational Structure</w:t>
      </w:r>
      <w:r>
        <w:rPr>
          <w:noProof/>
        </w:rPr>
        <w:tab/>
      </w:r>
      <w:r>
        <w:rPr>
          <w:noProof/>
        </w:rPr>
        <w:fldChar w:fldCharType="begin"/>
      </w:r>
      <w:r>
        <w:rPr>
          <w:noProof/>
        </w:rPr>
        <w:instrText xml:space="preserve"> PAGEREF _Toc482795719 \h </w:instrText>
      </w:r>
      <w:r>
        <w:rPr>
          <w:noProof/>
        </w:rPr>
      </w:r>
      <w:r>
        <w:rPr>
          <w:noProof/>
        </w:rPr>
        <w:fldChar w:fldCharType="separate"/>
      </w:r>
      <w:r>
        <w:rPr>
          <w:noProof/>
        </w:rPr>
        <w:t>4</w:t>
      </w:r>
      <w:r>
        <w:rPr>
          <w:noProof/>
        </w:rPr>
        <w:fldChar w:fldCharType="end"/>
      </w:r>
    </w:p>
    <w:p w14:paraId="4D8FA376" w14:textId="36060506" w:rsidR="00612E0E" w:rsidRDefault="00612E0E">
      <w:pPr>
        <w:pStyle w:val="TOC1"/>
        <w:tabs>
          <w:tab w:val="left" w:pos="480"/>
          <w:tab w:val="right" w:leader="dot" w:pos="8630"/>
        </w:tabs>
        <w:rPr>
          <w:noProof/>
          <w:sz w:val="22"/>
          <w:szCs w:val="22"/>
        </w:rPr>
      </w:pPr>
      <w:r>
        <w:rPr>
          <w:noProof/>
        </w:rPr>
        <w:t>II.</w:t>
      </w:r>
      <w:r>
        <w:rPr>
          <w:noProof/>
          <w:sz w:val="22"/>
          <w:szCs w:val="22"/>
        </w:rPr>
        <w:tab/>
      </w:r>
      <w:r>
        <w:rPr>
          <w:noProof/>
        </w:rPr>
        <w:t>Risk Limits</w:t>
      </w:r>
      <w:r>
        <w:rPr>
          <w:noProof/>
        </w:rPr>
        <w:tab/>
      </w:r>
      <w:r>
        <w:rPr>
          <w:noProof/>
        </w:rPr>
        <w:fldChar w:fldCharType="begin"/>
      </w:r>
      <w:r>
        <w:rPr>
          <w:noProof/>
        </w:rPr>
        <w:instrText xml:space="preserve"> PAGEREF _Toc482795720 \h </w:instrText>
      </w:r>
      <w:r>
        <w:rPr>
          <w:noProof/>
        </w:rPr>
      </w:r>
      <w:r>
        <w:rPr>
          <w:noProof/>
        </w:rPr>
        <w:fldChar w:fldCharType="separate"/>
      </w:r>
      <w:r>
        <w:rPr>
          <w:noProof/>
        </w:rPr>
        <w:t>5</w:t>
      </w:r>
      <w:r>
        <w:rPr>
          <w:noProof/>
        </w:rPr>
        <w:fldChar w:fldCharType="end"/>
      </w:r>
    </w:p>
    <w:p w14:paraId="1A7ED1EB" w14:textId="12540CEA" w:rsidR="00612E0E" w:rsidRDefault="00612E0E">
      <w:pPr>
        <w:pStyle w:val="TOC2"/>
        <w:tabs>
          <w:tab w:val="left" w:pos="720"/>
          <w:tab w:val="right" w:leader="dot" w:pos="8630"/>
        </w:tabs>
        <w:rPr>
          <w:noProof/>
          <w:sz w:val="22"/>
          <w:szCs w:val="22"/>
        </w:rPr>
      </w:pPr>
      <w:r>
        <w:rPr>
          <w:noProof/>
        </w:rPr>
        <w:t>A.</w:t>
      </w:r>
      <w:r>
        <w:rPr>
          <w:noProof/>
          <w:sz w:val="22"/>
          <w:szCs w:val="22"/>
        </w:rPr>
        <w:tab/>
      </w:r>
      <w:r>
        <w:rPr>
          <w:noProof/>
        </w:rPr>
        <w:t>FTRs Limits – not yet active</w:t>
      </w:r>
      <w:r>
        <w:rPr>
          <w:noProof/>
        </w:rPr>
        <w:tab/>
      </w:r>
      <w:r>
        <w:rPr>
          <w:noProof/>
        </w:rPr>
        <w:fldChar w:fldCharType="begin"/>
      </w:r>
      <w:r>
        <w:rPr>
          <w:noProof/>
        </w:rPr>
        <w:instrText xml:space="preserve"> PAGEREF _Toc482795721 \h </w:instrText>
      </w:r>
      <w:r>
        <w:rPr>
          <w:noProof/>
        </w:rPr>
      </w:r>
      <w:r>
        <w:rPr>
          <w:noProof/>
        </w:rPr>
        <w:fldChar w:fldCharType="separate"/>
      </w:r>
      <w:r>
        <w:rPr>
          <w:noProof/>
        </w:rPr>
        <w:t>6</w:t>
      </w:r>
      <w:r>
        <w:rPr>
          <w:noProof/>
        </w:rPr>
        <w:fldChar w:fldCharType="end"/>
      </w:r>
    </w:p>
    <w:p w14:paraId="0E47D501" w14:textId="518557D3" w:rsidR="00612E0E" w:rsidRDefault="00612E0E">
      <w:pPr>
        <w:pStyle w:val="TOC2"/>
        <w:tabs>
          <w:tab w:val="left" w:pos="720"/>
          <w:tab w:val="right" w:leader="dot" w:pos="8630"/>
        </w:tabs>
        <w:rPr>
          <w:noProof/>
          <w:sz w:val="22"/>
          <w:szCs w:val="22"/>
        </w:rPr>
      </w:pPr>
      <w:r>
        <w:rPr>
          <w:noProof/>
        </w:rPr>
        <w:t>B.</w:t>
      </w:r>
      <w:r>
        <w:rPr>
          <w:noProof/>
          <w:sz w:val="22"/>
          <w:szCs w:val="22"/>
        </w:rPr>
        <w:tab/>
      </w:r>
      <w:r>
        <w:rPr>
          <w:noProof/>
        </w:rPr>
        <w:t>Virtual Bidding Limits – Not Yet Active</w:t>
      </w:r>
      <w:r>
        <w:rPr>
          <w:noProof/>
        </w:rPr>
        <w:tab/>
      </w:r>
      <w:r>
        <w:rPr>
          <w:noProof/>
        </w:rPr>
        <w:fldChar w:fldCharType="begin"/>
      </w:r>
      <w:r>
        <w:rPr>
          <w:noProof/>
        </w:rPr>
        <w:instrText xml:space="preserve"> PAGEREF _Toc482795722 \h </w:instrText>
      </w:r>
      <w:r>
        <w:rPr>
          <w:noProof/>
        </w:rPr>
      </w:r>
      <w:r>
        <w:rPr>
          <w:noProof/>
        </w:rPr>
        <w:fldChar w:fldCharType="separate"/>
      </w:r>
      <w:r>
        <w:rPr>
          <w:noProof/>
        </w:rPr>
        <w:t>7</w:t>
      </w:r>
      <w:r>
        <w:rPr>
          <w:noProof/>
        </w:rPr>
        <w:fldChar w:fldCharType="end"/>
      </w:r>
    </w:p>
    <w:p w14:paraId="74C3366A" w14:textId="7EAEF36D" w:rsidR="00612E0E" w:rsidRDefault="00612E0E">
      <w:pPr>
        <w:pStyle w:val="TOC2"/>
        <w:tabs>
          <w:tab w:val="left" w:pos="720"/>
          <w:tab w:val="right" w:leader="dot" w:pos="8630"/>
        </w:tabs>
        <w:rPr>
          <w:noProof/>
          <w:sz w:val="22"/>
          <w:szCs w:val="22"/>
        </w:rPr>
      </w:pPr>
      <w:r>
        <w:rPr>
          <w:noProof/>
        </w:rPr>
        <w:t>C.</w:t>
      </w:r>
      <w:r>
        <w:rPr>
          <w:noProof/>
          <w:sz w:val="22"/>
          <w:szCs w:val="22"/>
        </w:rPr>
        <w:tab/>
      </w:r>
      <w:r>
        <w:rPr>
          <w:noProof/>
        </w:rPr>
        <w:t>OTC Limits</w:t>
      </w:r>
      <w:r>
        <w:rPr>
          <w:noProof/>
        </w:rPr>
        <w:tab/>
      </w:r>
      <w:r>
        <w:rPr>
          <w:noProof/>
        </w:rPr>
        <w:fldChar w:fldCharType="begin"/>
      </w:r>
      <w:r>
        <w:rPr>
          <w:noProof/>
        </w:rPr>
        <w:instrText xml:space="preserve"> PAGEREF _Toc482795723 \h </w:instrText>
      </w:r>
      <w:r>
        <w:rPr>
          <w:noProof/>
        </w:rPr>
      </w:r>
      <w:r>
        <w:rPr>
          <w:noProof/>
        </w:rPr>
        <w:fldChar w:fldCharType="separate"/>
      </w:r>
      <w:r>
        <w:rPr>
          <w:noProof/>
        </w:rPr>
        <w:t>8</w:t>
      </w:r>
      <w:r>
        <w:rPr>
          <w:noProof/>
        </w:rPr>
        <w:fldChar w:fldCharType="end"/>
      </w:r>
    </w:p>
    <w:p w14:paraId="000B8369" w14:textId="36108CA9" w:rsidR="00612E0E" w:rsidRDefault="00612E0E">
      <w:pPr>
        <w:pStyle w:val="TOC1"/>
        <w:tabs>
          <w:tab w:val="left" w:pos="480"/>
          <w:tab w:val="right" w:leader="dot" w:pos="8630"/>
        </w:tabs>
        <w:rPr>
          <w:noProof/>
          <w:sz w:val="22"/>
          <w:szCs w:val="22"/>
        </w:rPr>
      </w:pPr>
      <w:r>
        <w:rPr>
          <w:noProof/>
        </w:rPr>
        <w:t>III.</w:t>
      </w:r>
      <w:r>
        <w:rPr>
          <w:noProof/>
          <w:sz w:val="22"/>
          <w:szCs w:val="22"/>
        </w:rPr>
        <w:tab/>
      </w:r>
      <w:r>
        <w:rPr>
          <w:noProof/>
        </w:rPr>
        <w:t>Trader Execution Procedures and Limits</w:t>
      </w:r>
      <w:r>
        <w:rPr>
          <w:noProof/>
        </w:rPr>
        <w:tab/>
      </w:r>
      <w:r>
        <w:rPr>
          <w:noProof/>
        </w:rPr>
        <w:fldChar w:fldCharType="begin"/>
      </w:r>
      <w:r>
        <w:rPr>
          <w:noProof/>
        </w:rPr>
        <w:instrText xml:space="preserve"> PAGEREF _Toc482795724 \h </w:instrText>
      </w:r>
      <w:r>
        <w:rPr>
          <w:noProof/>
        </w:rPr>
      </w:r>
      <w:r>
        <w:rPr>
          <w:noProof/>
        </w:rPr>
        <w:fldChar w:fldCharType="separate"/>
      </w:r>
      <w:r>
        <w:rPr>
          <w:noProof/>
        </w:rPr>
        <w:t>9</w:t>
      </w:r>
      <w:r>
        <w:rPr>
          <w:noProof/>
        </w:rPr>
        <w:fldChar w:fldCharType="end"/>
      </w:r>
    </w:p>
    <w:p w14:paraId="54BD1335" w14:textId="2D8FE5CC" w:rsidR="00612E0E" w:rsidRDefault="00612E0E">
      <w:pPr>
        <w:pStyle w:val="TOC2"/>
        <w:tabs>
          <w:tab w:val="left" w:pos="720"/>
          <w:tab w:val="right" w:leader="dot" w:pos="8630"/>
        </w:tabs>
        <w:rPr>
          <w:noProof/>
          <w:sz w:val="22"/>
          <w:szCs w:val="22"/>
        </w:rPr>
      </w:pPr>
      <w:r>
        <w:rPr>
          <w:noProof/>
        </w:rPr>
        <w:t>A.</w:t>
      </w:r>
      <w:r>
        <w:rPr>
          <w:noProof/>
          <w:sz w:val="22"/>
          <w:szCs w:val="22"/>
        </w:rPr>
        <w:tab/>
      </w:r>
      <w:r>
        <w:rPr>
          <w:noProof/>
        </w:rPr>
        <w:t>Trading Committee</w:t>
      </w:r>
      <w:r>
        <w:rPr>
          <w:noProof/>
        </w:rPr>
        <w:tab/>
      </w:r>
      <w:r>
        <w:rPr>
          <w:noProof/>
        </w:rPr>
        <w:fldChar w:fldCharType="begin"/>
      </w:r>
      <w:r>
        <w:rPr>
          <w:noProof/>
        </w:rPr>
        <w:instrText xml:space="preserve"> PAGEREF _Toc482795725 \h </w:instrText>
      </w:r>
      <w:r>
        <w:rPr>
          <w:noProof/>
        </w:rPr>
      </w:r>
      <w:r>
        <w:rPr>
          <w:noProof/>
        </w:rPr>
        <w:fldChar w:fldCharType="separate"/>
      </w:r>
      <w:r>
        <w:rPr>
          <w:noProof/>
        </w:rPr>
        <w:t>9</w:t>
      </w:r>
      <w:r>
        <w:rPr>
          <w:noProof/>
        </w:rPr>
        <w:fldChar w:fldCharType="end"/>
      </w:r>
    </w:p>
    <w:p w14:paraId="7496BDB5" w14:textId="077E11AC" w:rsidR="00612E0E" w:rsidRDefault="00612E0E">
      <w:pPr>
        <w:pStyle w:val="TOC2"/>
        <w:tabs>
          <w:tab w:val="left" w:pos="720"/>
          <w:tab w:val="right" w:leader="dot" w:pos="8630"/>
        </w:tabs>
        <w:rPr>
          <w:noProof/>
          <w:sz w:val="22"/>
          <w:szCs w:val="22"/>
        </w:rPr>
      </w:pPr>
      <w:r>
        <w:rPr>
          <w:noProof/>
        </w:rPr>
        <w:t>B.</w:t>
      </w:r>
      <w:r>
        <w:rPr>
          <w:noProof/>
          <w:sz w:val="22"/>
          <w:szCs w:val="22"/>
        </w:rPr>
        <w:tab/>
      </w:r>
      <w:r>
        <w:rPr>
          <w:noProof/>
        </w:rPr>
        <w:t>Trader X Positions</w:t>
      </w:r>
      <w:r>
        <w:rPr>
          <w:noProof/>
        </w:rPr>
        <w:tab/>
      </w:r>
      <w:r>
        <w:rPr>
          <w:noProof/>
        </w:rPr>
        <w:fldChar w:fldCharType="begin"/>
      </w:r>
      <w:r>
        <w:rPr>
          <w:noProof/>
        </w:rPr>
        <w:instrText xml:space="preserve"> PAGEREF _Toc482795726 \h </w:instrText>
      </w:r>
      <w:r>
        <w:rPr>
          <w:noProof/>
        </w:rPr>
      </w:r>
      <w:r>
        <w:rPr>
          <w:noProof/>
        </w:rPr>
        <w:fldChar w:fldCharType="separate"/>
      </w:r>
      <w:r>
        <w:rPr>
          <w:noProof/>
        </w:rPr>
        <w:t>10</w:t>
      </w:r>
      <w:r>
        <w:rPr>
          <w:noProof/>
        </w:rPr>
        <w:fldChar w:fldCharType="end"/>
      </w:r>
    </w:p>
    <w:p w14:paraId="55F8ADFB" w14:textId="4250B40E" w:rsidR="00612E0E" w:rsidRDefault="00612E0E">
      <w:pPr>
        <w:pStyle w:val="TOC1"/>
        <w:tabs>
          <w:tab w:val="left" w:pos="480"/>
          <w:tab w:val="right" w:leader="dot" w:pos="8630"/>
        </w:tabs>
        <w:rPr>
          <w:noProof/>
          <w:sz w:val="22"/>
          <w:szCs w:val="22"/>
        </w:rPr>
      </w:pPr>
      <w:r>
        <w:rPr>
          <w:noProof/>
        </w:rPr>
        <w:t>IV.</w:t>
      </w:r>
      <w:r>
        <w:rPr>
          <w:noProof/>
          <w:sz w:val="22"/>
          <w:szCs w:val="22"/>
        </w:rPr>
        <w:tab/>
      </w:r>
      <w:r>
        <w:rPr>
          <w:noProof/>
        </w:rPr>
        <w:t>Risk Reporting</w:t>
      </w:r>
      <w:r>
        <w:rPr>
          <w:noProof/>
        </w:rPr>
        <w:tab/>
      </w:r>
      <w:r>
        <w:rPr>
          <w:noProof/>
        </w:rPr>
        <w:fldChar w:fldCharType="begin"/>
      </w:r>
      <w:r>
        <w:rPr>
          <w:noProof/>
        </w:rPr>
        <w:instrText xml:space="preserve"> PAGEREF _Toc482795727 \h </w:instrText>
      </w:r>
      <w:r>
        <w:rPr>
          <w:noProof/>
        </w:rPr>
      </w:r>
      <w:r>
        <w:rPr>
          <w:noProof/>
        </w:rPr>
        <w:fldChar w:fldCharType="separate"/>
      </w:r>
      <w:r>
        <w:rPr>
          <w:noProof/>
        </w:rPr>
        <w:t>11</w:t>
      </w:r>
      <w:r>
        <w:rPr>
          <w:noProof/>
        </w:rPr>
        <w:fldChar w:fldCharType="end"/>
      </w:r>
    </w:p>
    <w:p w14:paraId="40375F4F" w14:textId="320FE310" w:rsidR="00612E0E" w:rsidRDefault="00612E0E">
      <w:pPr>
        <w:pStyle w:val="TOC2"/>
        <w:tabs>
          <w:tab w:val="left" w:pos="720"/>
          <w:tab w:val="right" w:leader="dot" w:pos="8630"/>
        </w:tabs>
        <w:rPr>
          <w:noProof/>
          <w:sz w:val="22"/>
          <w:szCs w:val="22"/>
        </w:rPr>
      </w:pPr>
      <w:r>
        <w:rPr>
          <w:noProof/>
        </w:rPr>
        <w:t>A.</w:t>
      </w:r>
      <w:r>
        <w:rPr>
          <w:noProof/>
          <w:sz w:val="22"/>
          <w:szCs w:val="22"/>
        </w:rPr>
        <w:tab/>
      </w:r>
      <w:r>
        <w:rPr>
          <w:noProof/>
        </w:rPr>
        <w:t>Daily Reporting</w:t>
      </w:r>
      <w:r>
        <w:rPr>
          <w:noProof/>
        </w:rPr>
        <w:tab/>
      </w:r>
      <w:r>
        <w:rPr>
          <w:noProof/>
        </w:rPr>
        <w:fldChar w:fldCharType="begin"/>
      </w:r>
      <w:r>
        <w:rPr>
          <w:noProof/>
        </w:rPr>
        <w:instrText xml:space="preserve"> PAGEREF _Toc482795728 \h </w:instrText>
      </w:r>
      <w:r>
        <w:rPr>
          <w:noProof/>
        </w:rPr>
      </w:r>
      <w:r>
        <w:rPr>
          <w:noProof/>
        </w:rPr>
        <w:fldChar w:fldCharType="separate"/>
      </w:r>
      <w:r>
        <w:rPr>
          <w:noProof/>
        </w:rPr>
        <w:t>11</w:t>
      </w:r>
      <w:r>
        <w:rPr>
          <w:noProof/>
        </w:rPr>
        <w:fldChar w:fldCharType="end"/>
      </w:r>
    </w:p>
    <w:p w14:paraId="27502D79" w14:textId="5CD97D7F" w:rsidR="00612E0E" w:rsidRDefault="00612E0E">
      <w:pPr>
        <w:pStyle w:val="TOC2"/>
        <w:tabs>
          <w:tab w:val="left" w:pos="720"/>
          <w:tab w:val="right" w:leader="dot" w:pos="8630"/>
        </w:tabs>
        <w:rPr>
          <w:noProof/>
          <w:sz w:val="22"/>
          <w:szCs w:val="22"/>
        </w:rPr>
      </w:pPr>
      <w:r>
        <w:rPr>
          <w:noProof/>
        </w:rPr>
        <w:t>B.</w:t>
      </w:r>
      <w:r>
        <w:rPr>
          <w:noProof/>
          <w:sz w:val="22"/>
          <w:szCs w:val="22"/>
        </w:rPr>
        <w:tab/>
      </w:r>
      <w:r>
        <w:rPr>
          <w:noProof/>
        </w:rPr>
        <w:t>Loss Triggers</w:t>
      </w:r>
      <w:r>
        <w:rPr>
          <w:noProof/>
        </w:rPr>
        <w:tab/>
      </w:r>
      <w:r>
        <w:rPr>
          <w:noProof/>
        </w:rPr>
        <w:fldChar w:fldCharType="begin"/>
      </w:r>
      <w:r>
        <w:rPr>
          <w:noProof/>
        </w:rPr>
        <w:instrText xml:space="preserve"> PAGEREF _Toc482795729 \h </w:instrText>
      </w:r>
      <w:r>
        <w:rPr>
          <w:noProof/>
        </w:rPr>
      </w:r>
      <w:r>
        <w:rPr>
          <w:noProof/>
        </w:rPr>
        <w:fldChar w:fldCharType="separate"/>
      </w:r>
      <w:r>
        <w:rPr>
          <w:noProof/>
        </w:rPr>
        <w:t>12</w:t>
      </w:r>
      <w:r>
        <w:rPr>
          <w:noProof/>
        </w:rPr>
        <w:fldChar w:fldCharType="end"/>
      </w:r>
    </w:p>
    <w:p w14:paraId="49ED3148" w14:textId="0F800E9F" w:rsidR="00612E0E" w:rsidRDefault="00612E0E">
      <w:pPr>
        <w:pStyle w:val="TOC1"/>
        <w:tabs>
          <w:tab w:val="left" w:pos="480"/>
          <w:tab w:val="right" w:leader="dot" w:pos="8630"/>
        </w:tabs>
        <w:rPr>
          <w:noProof/>
          <w:sz w:val="22"/>
          <w:szCs w:val="22"/>
        </w:rPr>
      </w:pPr>
      <w:r>
        <w:rPr>
          <w:noProof/>
        </w:rPr>
        <w:t>V.</w:t>
      </w:r>
      <w:r>
        <w:rPr>
          <w:noProof/>
          <w:sz w:val="22"/>
          <w:szCs w:val="22"/>
        </w:rPr>
        <w:tab/>
      </w:r>
      <w:r>
        <w:rPr>
          <w:noProof/>
        </w:rPr>
        <w:t>Document History</w:t>
      </w:r>
      <w:r>
        <w:rPr>
          <w:noProof/>
        </w:rPr>
        <w:tab/>
      </w:r>
      <w:r>
        <w:rPr>
          <w:noProof/>
        </w:rPr>
        <w:fldChar w:fldCharType="begin"/>
      </w:r>
      <w:r>
        <w:rPr>
          <w:noProof/>
        </w:rPr>
        <w:instrText xml:space="preserve"> PAGEREF _Toc482795730 \h </w:instrText>
      </w:r>
      <w:r>
        <w:rPr>
          <w:noProof/>
        </w:rPr>
      </w:r>
      <w:r>
        <w:rPr>
          <w:noProof/>
        </w:rPr>
        <w:fldChar w:fldCharType="separate"/>
      </w:r>
      <w:r>
        <w:rPr>
          <w:noProof/>
        </w:rPr>
        <w:t>13</w:t>
      </w:r>
      <w:r>
        <w:rPr>
          <w:noProof/>
        </w:rPr>
        <w:fldChar w:fldCharType="end"/>
      </w:r>
    </w:p>
    <w:p w14:paraId="434B5B3C" w14:textId="377ECB6C" w:rsidR="004B1A5B" w:rsidRDefault="00814B5B">
      <w:r>
        <w:fldChar w:fldCharType="end"/>
      </w:r>
    </w:p>
    <w:p w14:paraId="3CF7E044" w14:textId="77777777" w:rsidR="00177F03" w:rsidRDefault="00177F03"/>
    <w:p w14:paraId="0C6377E2" w14:textId="77777777" w:rsidR="00177F03" w:rsidRDefault="00177F03"/>
    <w:p w14:paraId="5EFAD125" w14:textId="77777777" w:rsidR="00177F03" w:rsidRDefault="00177F03"/>
    <w:p w14:paraId="5736738C" w14:textId="77777777" w:rsidR="00177F03" w:rsidRDefault="00177F03">
      <w:r>
        <w:br w:type="page"/>
      </w:r>
    </w:p>
    <w:p w14:paraId="5EFBAC68" w14:textId="77777777" w:rsidR="00177F03" w:rsidRDefault="00177F03" w:rsidP="00177F03">
      <w:pPr>
        <w:pStyle w:val="Heading1"/>
      </w:pPr>
      <w:bookmarkStart w:id="1" w:name="_Toc482795716"/>
      <w:r>
        <w:lastRenderedPageBreak/>
        <w:t>Risk Policy Governance</w:t>
      </w:r>
      <w:bookmarkEnd w:id="1"/>
    </w:p>
    <w:p w14:paraId="7811F6DB" w14:textId="77777777" w:rsidR="00177F03" w:rsidRDefault="00177F03" w:rsidP="00177F03">
      <w:pPr>
        <w:pStyle w:val="Heading2"/>
      </w:pPr>
      <w:bookmarkStart w:id="2" w:name="_Toc482795717"/>
      <w:r>
        <w:t>Governance Structure</w:t>
      </w:r>
      <w:bookmarkEnd w:id="2"/>
    </w:p>
    <w:p w14:paraId="64383108" w14:textId="77777777" w:rsidR="00177F03" w:rsidRDefault="00177F03" w:rsidP="00177F03"/>
    <w:p w14:paraId="5ABDFB50" w14:textId="77777777" w:rsidR="00DC6F45" w:rsidRDefault="00DC6F45" w:rsidP="00DC6F45">
      <w:r>
        <w:t>Acadia Energy Partners</w:t>
      </w:r>
      <w:r w:rsidR="00404D47">
        <w:t xml:space="preserve"> is an energy trading fund that seeks to maximize the return on capital allocated to the business t</w:t>
      </w:r>
      <w:r w:rsidR="00874144">
        <w:t xml:space="preserve">hrough means of trading:  i) </w:t>
      </w:r>
      <w:r w:rsidR="00404D47">
        <w:t>Financial T</w:t>
      </w:r>
      <w:r w:rsidR="00874144">
        <w:t>ransmission Right (FTR) auction products; ii) Independent System Operator (ISO)Day-Ahead and Real-Time energy products;</w:t>
      </w:r>
      <w:r w:rsidR="00404D47">
        <w:t xml:space="preserve"> and</w:t>
      </w:r>
      <w:r w:rsidR="00874144">
        <w:t xml:space="preserve"> iii)</w:t>
      </w:r>
      <w:r w:rsidR="00404D47">
        <w:t xml:space="preserve"> futures, swaps and options on various energy commodity products.   </w:t>
      </w:r>
    </w:p>
    <w:p w14:paraId="455F0C1F" w14:textId="77777777" w:rsidR="00DC6F45" w:rsidRDefault="00DC6F45" w:rsidP="00177F03"/>
    <w:p w14:paraId="6A60D5DA" w14:textId="172A4FAA" w:rsidR="00177F03" w:rsidRDefault="00177F03" w:rsidP="00177F03">
      <w:r>
        <w:t>Ove</w:t>
      </w:r>
      <w:r w:rsidR="00255E2C">
        <w:t>rsight</w:t>
      </w:r>
      <w:r>
        <w:t xml:space="preserve"> for all risk management activity within Acadia resides with the Acadia Steering Committee.</w:t>
      </w:r>
    </w:p>
    <w:p w14:paraId="1FF90F2C" w14:textId="77777777" w:rsidR="00177F03" w:rsidRDefault="00177F03" w:rsidP="00177F03"/>
    <w:p w14:paraId="7C6D5C1E" w14:textId="7EDDD910" w:rsidR="00B04748" w:rsidRDefault="00177F03" w:rsidP="00177F03">
      <w:r>
        <w:t>The Acadia Steering Committee is comprised of the Acadia Managing Partner</w:t>
      </w:r>
      <w:r w:rsidR="000E5FE1">
        <w:t xml:space="preserve"> (MP)</w:t>
      </w:r>
      <w:r w:rsidR="009531F8">
        <w:t xml:space="preserve">, the Acadia </w:t>
      </w:r>
      <w:r>
        <w:t>Risk Officer</w:t>
      </w:r>
      <w:r w:rsidR="009531F8">
        <w:t xml:space="preserve"> (</w:t>
      </w:r>
      <w:r w:rsidR="000E5FE1">
        <w:t>RO)</w:t>
      </w:r>
      <w:r>
        <w:t xml:space="preserve"> and the designated Argus representa</w:t>
      </w:r>
      <w:r w:rsidR="00874144">
        <w:t>tive</w:t>
      </w:r>
      <w:r>
        <w:t xml:space="preserve">.  </w:t>
      </w:r>
      <w:r w:rsidR="009531F8">
        <w:t xml:space="preserve">Until such time as a permanent </w:t>
      </w:r>
      <w:r w:rsidR="00B04748">
        <w:t>R</w:t>
      </w:r>
      <w:r w:rsidR="008B392B">
        <w:t xml:space="preserve">isk </w:t>
      </w:r>
      <w:r w:rsidR="00B04748">
        <w:t>O</w:t>
      </w:r>
      <w:r w:rsidR="008B392B">
        <w:t>fficer</w:t>
      </w:r>
      <w:r w:rsidR="00B04748">
        <w:t xml:space="preserve"> is hired all respon</w:t>
      </w:r>
      <w:r w:rsidR="009531F8">
        <w:t xml:space="preserve">sibilities and actions of the </w:t>
      </w:r>
      <w:r w:rsidR="00B04748">
        <w:t>R</w:t>
      </w:r>
      <w:r w:rsidR="008B392B">
        <w:t xml:space="preserve">isk </w:t>
      </w:r>
      <w:r w:rsidR="00B04748">
        <w:t>O</w:t>
      </w:r>
      <w:r w:rsidR="008B392B">
        <w:t>fficer</w:t>
      </w:r>
      <w:r w:rsidR="00B04748">
        <w:t xml:space="preserve"> considered under this policy will be handled by an additional person chosen by the Argus representative. </w:t>
      </w:r>
      <w:r w:rsidR="00EC46BE">
        <w:t xml:space="preserve"> The membership of The Acadia Steering Committee will be recorded in Schedule 1 of the Risk Policy.</w:t>
      </w:r>
    </w:p>
    <w:p w14:paraId="1CB00EF4" w14:textId="77777777" w:rsidR="00B04748" w:rsidRDefault="00B04748" w:rsidP="00177F03"/>
    <w:p w14:paraId="30C7D1F1" w14:textId="1308D31D" w:rsidR="00177F03" w:rsidRDefault="000E5FE1" w:rsidP="00177F03">
      <w:r>
        <w:t xml:space="preserve">The Acadia Steering Committee will have standing quarterly meetings scheduled in the last two weeks of each calendar quarter. </w:t>
      </w:r>
      <w:r w:rsidR="008E7ED2">
        <w:t>Meetings may be held in person or by telephone conference call.  A</w:t>
      </w:r>
      <w:r>
        <w:t xml:space="preserve">d hoc meetings may be requested at any time. </w:t>
      </w:r>
      <w:r w:rsidR="00EC46BE">
        <w:t xml:space="preserve"> Steering Committee functions including approval of the Risk Policy may also be conducted by unanimous email consent.</w:t>
      </w:r>
    </w:p>
    <w:p w14:paraId="60CF2A8E" w14:textId="7AF77979" w:rsidR="008E7ED2" w:rsidRDefault="008E7ED2" w:rsidP="00177F03"/>
    <w:p w14:paraId="02FC1FDB" w14:textId="315A72E9" w:rsidR="008E7ED2" w:rsidRDefault="008E7ED2" w:rsidP="00177F03">
      <w:r>
        <w:t xml:space="preserve">The Acadia Managing Partner will also designate a Steering Committee Secretary that </w:t>
      </w:r>
      <w:r w:rsidR="00C5435B">
        <w:t>will also be recorded in Schedule 1 of this policy . The Secretary will be responsible for recording, circulating and confirming the accuracy of meeting minutes. The Secretary may be a voting or non-voting member.</w:t>
      </w:r>
    </w:p>
    <w:p w14:paraId="43876EB2" w14:textId="7A3DC4D3" w:rsidR="00C5435B" w:rsidRDefault="00C5435B" w:rsidP="00177F03"/>
    <w:p w14:paraId="2EB4BC61" w14:textId="5BC5A1D6" w:rsidR="00C5435B" w:rsidRDefault="00C5435B" w:rsidP="00177F03">
      <w:r>
        <w:t>A quorum of three voting members is required for any Steering Committee meeting.</w:t>
      </w:r>
    </w:p>
    <w:p w14:paraId="7CCDE4E9" w14:textId="77777777" w:rsidR="00404D47" w:rsidRDefault="00404D47" w:rsidP="00177F03"/>
    <w:p w14:paraId="01D3C119" w14:textId="002A4F9A" w:rsidR="00404D47" w:rsidRDefault="00404D47" w:rsidP="00177F03">
      <w:r>
        <w:t>Credit Risk will be addressed separately as necessary. It is envisaged at startup that the only credit rela</w:t>
      </w:r>
      <w:r w:rsidR="00874144">
        <w:t>tionships that will exist</w:t>
      </w:r>
      <w:r>
        <w:t xml:space="preserve"> will be between Acadia and the various Independent System Operators (ISOs) and between Acadia and its Futures Commission Merchants (FCMs).</w:t>
      </w:r>
      <w:r w:rsidR="00794376">
        <w:t xml:space="preserve"> As</w:t>
      </w:r>
      <w:r w:rsidR="00874144">
        <w:t xml:space="preserve"> such</w:t>
      </w:r>
      <w:r w:rsidR="00255E2C">
        <w:t>, the associated credit</w:t>
      </w:r>
      <w:r w:rsidR="00794376">
        <w:t xml:space="preserve"> risks are viewed as minimal.</w:t>
      </w:r>
      <w:r w:rsidR="00874144">
        <w:t xml:space="preserve"> </w:t>
      </w:r>
    </w:p>
    <w:p w14:paraId="2D7DC7C7" w14:textId="77777777" w:rsidR="004225B1" w:rsidRDefault="004225B1" w:rsidP="00177F03"/>
    <w:p w14:paraId="3395829B" w14:textId="1FC79565" w:rsidR="004225B1" w:rsidRDefault="004225B1" w:rsidP="00177F03">
      <w:r>
        <w:t>The Acadia Principals Committee will be comprise</w:t>
      </w:r>
      <w:r w:rsidR="009531F8">
        <w:t xml:space="preserve">d of the Managing Partner, the </w:t>
      </w:r>
      <w:r>
        <w:t>R</w:t>
      </w:r>
      <w:r w:rsidR="008B392B">
        <w:t xml:space="preserve">isk </w:t>
      </w:r>
      <w:r>
        <w:t>O</w:t>
      </w:r>
      <w:r w:rsidR="008B392B">
        <w:t>fficer</w:t>
      </w:r>
      <w:r>
        <w:t xml:space="preserve"> and any Acadia Principals with ownership positions in the fund.</w:t>
      </w:r>
    </w:p>
    <w:p w14:paraId="33A398B3" w14:textId="6ED011C6" w:rsidR="00F70B6F" w:rsidRDefault="00F70B6F" w:rsidP="00177F03"/>
    <w:p w14:paraId="3F46D815" w14:textId="77777777" w:rsidR="00C5435B" w:rsidRPr="00177F03" w:rsidRDefault="00C5435B" w:rsidP="00177F03"/>
    <w:p w14:paraId="2625E2D9" w14:textId="77777777" w:rsidR="00177F03" w:rsidRDefault="00177F03" w:rsidP="00177F03">
      <w:pPr>
        <w:pStyle w:val="Heading2"/>
      </w:pPr>
      <w:bookmarkStart w:id="3" w:name="_Toc482795718"/>
      <w:r>
        <w:lastRenderedPageBreak/>
        <w:t>Risk Policy Approval</w:t>
      </w:r>
      <w:bookmarkEnd w:id="3"/>
    </w:p>
    <w:p w14:paraId="167C64D1" w14:textId="77777777" w:rsidR="00177F03" w:rsidRDefault="00177F03" w:rsidP="00177F03"/>
    <w:p w14:paraId="3D34726E" w14:textId="77777777" w:rsidR="00177F03" w:rsidRDefault="00177F03" w:rsidP="00177F03">
      <w:r>
        <w:t>The Acadia Risk Management Policy is approved by the Acadia Steering Committe</w:t>
      </w:r>
      <w:r w:rsidR="00F70B6F">
        <w:t>e.</w:t>
      </w:r>
      <w:r w:rsidR="00794376">
        <w:t xml:space="preserve"> Any changes to this Risk Policy must receive unanimous approval from the Steering Committee.</w:t>
      </w:r>
    </w:p>
    <w:p w14:paraId="2016AAE6" w14:textId="77777777" w:rsidR="00F70B6F" w:rsidRDefault="00F70B6F" w:rsidP="00177F03"/>
    <w:p w14:paraId="20A6F13B" w14:textId="15BE2C93" w:rsidR="00F70B6F" w:rsidRDefault="00255E2C" w:rsidP="00177F03">
      <w:r>
        <w:t>Separate policies on Compliance and</w:t>
      </w:r>
      <w:r w:rsidR="00433110">
        <w:t xml:space="preserve"> Code of Conduct will be prepared</w:t>
      </w:r>
      <w:r w:rsidR="00511CAC">
        <w:t xml:space="preserve"> for Acadia.</w:t>
      </w:r>
    </w:p>
    <w:p w14:paraId="3F811656" w14:textId="77777777" w:rsidR="00F70B6F" w:rsidRDefault="00F70B6F" w:rsidP="00177F03"/>
    <w:p w14:paraId="5642BA08" w14:textId="7BE2F672" w:rsidR="000E5FE1" w:rsidRDefault="00F70B6F" w:rsidP="00177F03">
      <w:r>
        <w:t>All Ac</w:t>
      </w:r>
      <w:r w:rsidR="00C93BC9">
        <w:t>adia employees</w:t>
      </w:r>
      <w:r>
        <w:t xml:space="preserve"> covered by this Risk Policy</w:t>
      </w:r>
      <w:r w:rsidR="00404D47">
        <w:t xml:space="preserve"> should be f</w:t>
      </w:r>
      <w:r w:rsidR="000E5FE1">
        <w:t>amiliar with all aspects of the</w:t>
      </w:r>
      <w:r w:rsidR="004A6D49">
        <w:t xml:space="preserve"> Risk Policy and any </w:t>
      </w:r>
      <w:r w:rsidR="000E5FE1">
        <w:t>other</w:t>
      </w:r>
      <w:r w:rsidR="004A6D49">
        <w:t xml:space="preserve"> associated</w:t>
      </w:r>
      <w:r w:rsidR="000E5FE1">
        <w:t xml:space="preserve"> policies or procedures. All such employees will acknowledge receipt of the Risk Policy and comply with all the terms of the Risk Policy.</w:t>
      </w:r>
    </w:p>
    <w:p w14:paraId="58E7A81C" w14:textId="77777777" w:rsidR="000E5FE1" w:rsidRDefault="000E5FE1" w:rsidP="00177F03"/>
    <w:p w14:paraId="4A2926E4" w14:textId="138AA17E" w:rsidR="00F70B6F" w:rsidRDefault="000E5FE1" w:rsidP="00177F03">
      <w:r>
        <w:t xml:space="preserve">Violations of the Risk Policy by any employee may result in disciplinary action up to and including termination. Any and all violations of the Risk Policy will be reported in </w:t>
      </w:r>
      <w:r w:rsidR="009531F8">
        <w:t xml:space="preserve">the first instance to the </w:t>
      </w:r>
      <w:r>
        <w:t>Risk Officer</w:t>
      </w:r>
      <w:r w:rsidR="00511CAC">
        <w:t xml:space="preserve"> and the Managing Partner</w:t>
      </w:r>
      <w:r>
        <w:t xml:space="preserve"> and </w:t>
      </w:r>
      <w:r w:rsidR="00794376">
        <w:t>subsequently to the Steering Committee.</w:t>
      </w:r>
      <w:r w:rsidR="00404D47">
        <w:t xml:space="preserve"> </w:t>
      </w:r>
    </w:p>
    <w:p w14:paraId="27C5E82C" w14:textId="77777777" w:rsidR="00794376" w:rsidRDefault="00794376" w:rsidP="00177F03"/>
    <w:p w14:paraId="6E68B6AD" w14:textId="77777777" w:rsidR="00794376" w:rsidRDefault="00794376" w:rsidP="00794376">
      <w:pPr>
        <w:pStyle w:val="Heading2"/>
      </w:pPr>
      <w:bookmarkStart w:id="4" w:name="_Toc482795719"/>
      <w:r>
        <w:t>Organizational Structure</w:t>
      </w:r>
      <w:bookmarkEnd w:id="4"/>
    </w:p>
    <w:p w14:paraId="4234EAC2" w14:textId="77777777" w:rsidR="00794376" w:rsidRDefault="00794376" w:rsidP="00794376"/>
    <w:p w14:paraId="255DCD46" w14:textId="57DB86E3" w:rsidR="00511CAC" w:rsidRDefault="00794376" w:rsidP="00794376">
      <w:r>
        <w:t xml:space="preserve">All Acadia staff </w:t>
      </w:r>
      <w:r w:rsidR="00097E49">
        <w:t xml:space="preserve">report up through the Managing Partner </w:t>
      </w:r>
      <w:r w:rsidR="009531F8">
        <w:t xml:space="preserve">with the exception of the </w:t>
      </w:r>
      <w:r w:rsidR="00097E49">
        <w:t xml:space="preserve">Risk Officer </w:t>
      </w:r>
      <w:r w:rsidR="009531F8">
        <w:t xml:space="preserve">and any staff reporting to the </w:t>
      </w:r>
      <w:r w:rsidR="00316A87">
        <w:t>Risk Officer</w:t>
      </w:r>
      <w:r w:rsidR="00097E49">
        <w:t>.</w:t>
      </w:r>
      <w:r w:rsidR="00511CAC">
        <w:t xml:space="preserve"> </w:t>
      </w:r>
    </w:p>
    <w:p w14:paraId="6DFD237A" w14:textId="77777777" w:rsidR="00511CAC" w:rsidRDefault="00511CAC" w:rsidP="00794376"/>
    <w:p w14:paraId="51C98C34" w14:textId="76CC9881" w:rsidR="00392E58" w:rsidRDefault="009531F8" w:rsidP="00794376">
      <w:r>
        <w:t xml:space="preserve">All Risk staff including the </w:t>
      </w:r>
      <w:r w:rsidR="00511CAC">
        <w:t>R</w:t>
      </w:r>
      <w:r w:rsidR="00316A87">
        <w:t xml:space="preserve">isk </w:t>
      </w:r>
      <w:r w:rsidR="00511CAC">
        <w:t>O</w:t>
      </w:r>
      <w:r w:rsidR="00316A87">
        <w:t>fficer</w:t>
      </w:r>
      <w:r w:rsidR="00511CAC">
        <w:t xml:space="preserve"> will report to the designated Argus representative. </w:t>
      </w:r>
    </w:p>
    <w:p w14:paraId="220383B4" w14:textId="2552EB71" w:rsidR="00256A49" w:rsidRDefault="00256A49" w:rsidP="00794376"/>
    <w:p w14:paraId="791F0E1C" w14:textId="5CA4DB28" w:rsidR="00256A49" w:rsidRDefault="00256A49" w:rsidP="00794376">
      <w:r>
        <w:t>Risk staff will not under an</w:t>
      </w:r>
      <w:r w:rsidR="003C26B6">
        <w:t>y circumstance be given trade authority. Risk staff will not be allowed to trade.</w:t>
      </w:r>
    </w:p>
    <w:p w14:paraId="3B787ADA" w14:textId="72107906" w:rsidR="003C26B6" w:rsidRDefault="003C26B6" w:rsidP="00794376"/>
    <w:p w14:paraId="7CFFD84E" w14:textId="23836463" w:rsidR="003C26B6" w:rsidRDefault="003C26B6" w:rsidP="00794376">
      <w:r>
        <w:t xml:space="preserve">No Acadia staff will be allowed to trade commodities and instruments approved by this Risk Policy in their own personal accounts. </w:t>
      </w:r>
    </w:p>
    <w:p w14:paraId="7B4A271D" w14:textId="0F76676E" w:rsidR="00097E49" w:rsidRDefault="00392E58" w:rsidP="00794376">
      <w:r>
        <w:br w:type="page"/>
      </w:r>
    </w:p>
    <w:p w14:paraId="3C149377" w14:textId="77777777" w:rsidR="00097E49" w:rsidRDefault="00097E49" w:rsidP="00097E49">
      <w:pPr>
        <w:pStyle w:val="Heading1"/>
      </w:pPr>
      <w:bookmarkStart w:id="5" w:name="_Toc482795720"/>
      <w:r>
        <w:lastRenderedPageBreak/>
        <w:t>Risk Limits</w:t>
      </w:r>
      <w:bookmarkEnd w:id="5"/>
    </w:p>
    <w:p w14:paraId="7C6A0E46" w14:textId="77777777" w:rsidR="00097E49" w:rsidRDefault="00097E49" w:rsidP="00097E49"/>
    <w:p w14:paraId="4CA31472" w14:textId="15E69371" w:rsidR="009531F8" w:rsidRDefault="009531F8" w:rsidP="00097E49">
      <w:r>
        <w:t>All Risk Limits are specified in the attached Risk Policy Schedules.</w:t>
      </w:r>
    </w:p>
    <w:p w14:paraId="49B30A0D" w14:textId="77777777" w:rsidR="009531F8" w:rsidRDefault="009531F8" w:rsidP="00097E49"/>
    <w:p w14:paraId="4B9532A9" w14:textId="0A83B664" w:rsidR="001F1347" w:rsidRDefault="009531F8" w:rsidP="00097E49">
      <w:r>
        <w:t>There are certain high level risk limits that may only be changed with Steering Committee approval. They include:</w:t>
      </w:r>
    </w:p>
    <w:p w14:paraId="59401B9D" w14:textId="3A8326A1" w:rsidR="009531F8" w:rsidRDefault="009531F8" w:rsidP="009531F8">
      <w:pPr>
        <w:pStyle w:val="ListParagraph"/>
        <w:numPr>
          <w:ilvl w:val="0"/>
          <w:numId w:val="4"/>
        </w:numPr>
      </w:pPr>
      <w:r>
        <w:t>Overall OTC Trading VaR limit</w:t>
      </w:r>
    </w:p>
    <w:p w14:paraId="79F8CBC7" w14:textId="3DDD721A" w:rsidR="009531F8" w:rsidRDefault="009531F8" w:rsidP="009531F8">
      <w:pPr>
        <w:pStyle w:val="ListParagraph"/>
        <w:numPr>
          <w:ilvl w:val="0"/>
          <w:numId w:val="4"/>
        </w:numPr>
      </w:pPr>
      <w:r>
        <w:t>Overall FTR VaR limit</w:t>
      </w:r>
    </w:p>
    <w:p w14:paraId="736F284F" w14:textId="595B5A8B" w:rsidR="009531F8" w:rsidRDefault="009531F8" w:rsidP="009531F8">
      <w:pPr>
        <w:pStyle w:val="ListParagraph"/>
        <w:numPr>
          <w:ilvl w:val="0"/>
          <w:numId w:val="4"/>
        </w:numPr>
      </w:pPr>
      <w:r>
        <w:t>Overall Virtual Bidding Limit</w:t>
      </w:r>
    </w:p>
    <w:p w14:paraId="772EA689" w14:textId="77777777" w:rsidR="009531F8" w:rsidRDefault="009531F8" w:rsidP="00097E49"/>
    <w:p w14:paraId="2FA225E1" w14:textId="1D28AF8A" w:rsidR="00177F42" w:rsidRDefault="0083173F" w:rsidP="00097E49">
      <w:r>
        <w:t>Initial limits for each of these high level limits have been included in Schedule 3.</w:t>
      </w:r>
    </w:p>
    <w:p w14:paraId="246F790C" w14:textId="77777777" w:rsidR="0083173F" w:rsidRDefault="0083173F" w:rsidP="00097E49"/>
    <w:p w14:paraId="0BB28FAA" w14:textId="0ED22A01" w:rsidR="00097E49" w:rsidRDefault="001F1347" w:rsidP="00097E49">
      <w:r>
        <w:t>Sub-limits app</w:t>
      </w:r>
      <w:r w:rsidR="003A3815">
        <w:t>earing in the</w:t>
      </w:r>
      <w:r>
        <w:t xml:space="preserve"> Risk Policy</w:t>
      </w:r>
      <w:r w:rsidR="003A3815">
        <w:t xml:space="preserve"> Schedules</w:t>
      </w:r>
      <w:r>
        <w:t xml:space="preserve"> may be changed with Managing Partner a</w:t>
      </w:r>
      <w:r w:rsidR="009531F8">
        <w:t xml:space="preserve">nd </w:t>
      </w:r>
      <w:r w:rsidR="00A133EE">
        <w:t xml:space="preserve">Risk Officer approval. Any changes to the sub-limits will be communicated to the Argus representative </w:t>
      </w:r>
      <w:r w:rsidR="00B062A4">
        <w:t xml:space="preserve">on the Steering Committee </w:t>
      </w:r>
      <w:r w:rsidR="00EB2E24">
        <w:t>at the earliest opportunity.</w:t>
      </w:r>
    </w:p>
    <w:p w14:paraId="0F9F36C8" w14:textId="733B2CBB" w:rsidR="009531F8" w:rsidRDefault="009531F8" w:rsidP="00097E49"/>
    <w:p w14:paraId="402FE4D7" w14:textId="08B033DC" w:rsidR="009531F8" w:rsidRDefault="00177F42" w:rsidP="00097E49">
      <w:r>
        <w:t>Prior to the appointment of a Risk Officer all sublimit changes occurring in the Risk Policy Schedules will require Steering Committee approval.</w:t>
      </w:r>
    </w:p>
    <w:p w14:paraId="0EC19E08" w14:textId="77777777" w:rsidR="00EB2E24" w:rsidRDefault="00EB2E24" w:rsidP="00097E49"/>
    <w:p w14:paraId="682266D7" w14:textId="4B1E81B0" w:rsidR="00EB2E24" w:rsidRDefault="00EB2E24" w:rsidP="00097E49">
      <w:r>
        <w:t>A complete list of trade</w:t>
      </w:r>
      <w:r w:rsidR="00C93BC9">
        <w:t xml:space="preserve"> books is provided in Schedule 3</w:t>
      </w:r>
    </w:p>
    <w:p w14:paraId="54D224B6" w14:textId="3964C601" w:rsidR="00C93BC9" w:rsidRDefault="00C93BC9" w:rsidP="00097E49"/>
    <w:p w14:paraId="6A0CF22C" w14:textId="57AF1BAB" w:rsidR="003A3815" w:rsidRDefault="003A3815">
      <w:r>
        <w:br w:type="page"/>
      </w:r>
    </w:p>
    <w:p w14:paraId="0444184E" w14:textId="4EC3F14C" w:rsidR="00C45D23" w:rsidRPr="00C45D23" w:rsidRDefault="00097E49" w:rsidP="00C45D23">
      <w:pPr>
        <w:pStyle w:val="Heading2"/>
      </w:pPr>
      <w:bookmarkStart w:id="6" w:name="_Toc482795721"/>
      <w:r>
        <w:lastRenderedPageBreak/>
        <w:t>FTRs Limits</w:t>
      </w:r>
      <w:bookmarkEnd w:id="6"/>
    </w:p>
    <w:p w14:paraId="5758E49B" w14:textId="77777777" w:rsidR="00097E49" w:rsidRDefault="00097E49" w:rsidP="00097E49"/>
    <w:p w14:paraId="4FABEA49" w14:textId="21EF4462" w:rsidR="001F1347" w:rsidRDefault="001F1347" w:rsidP="00097E49">
      <w:r>
        <w:t xml:space="preserve">There will be a </w:t>
      </w:r>
      <w:r w:rsidR="00EB2E24">
        <w:t xml:space="preserve">trade </w:t>
      </w:r>
      <w:r>
        <w:t>book for each FTR region</w:t>
      </w:r>
      <w:r w:rsidR="00EB2E24">
        <w:t xml:space="preserve"> and each type of auction</w:t>
      </w:r>
      <w:r>
        <w:t>.</w:t>
      </w:r>
    </w:p>
    <w:p w14:paraId="39283F0F" w14:textId="52BF7E56" w:rsidR="00A133EE" w:rsidRDefault="00A133EE" w:rsidP="00097E49">
      <w:r>
        <w:t>Volume and cost limits will be specifi</w:t>
      </w:r>
      <w:r w:rsidR="00D66DAD">
        <w:t>ed for each region in Schedule 3</w:t>
      </w:r>
      <w:r w:rsidR="00FA2748">
        <w:t>.</w:t>
      </w:r>
    </w:p>
    <w:p w14:paraId="00AE8E7E" w14:textId="1C3A2367" w:rsidR="00A133EE" w:rsidRDefault="00F75BC9" w:rsidP="00097E49">
      <w:r>
        <w:t>P</w:t>
      </w:r>
      <w:r w:rsidR="00A133EE">
        <w:t>ortfolio Value at Risk limit</w:t>
      </w:r>
      <w:r>
        <w:t>s</w:t>
      </w:r>
      <w:r w:rsidR="00A133EE">
        <w:t xml:space="preserve"> will be specified for each region</w:t>
      </w:r>
      <w:r w:rsidR="00FA2748">
        <w:t xml:space="preserve"> in Schedule 3</w:t>
      </w:r>
      <w:r w:rsidR="009531F8">
        <w:t xml:space="preserve"> as well as for the FTR portfolio as a whole</w:t>
      </w:r>
      <w:r w:rsidR="00FA2748">
        <w:t>.</w:t>
      </w:r>
    </w:p>
    <w:p w14:paraId="439D3823" w14:textId="2ACB6C7D" w:rsidR="00A133EE" w:rsidRDefault="00A133EE" w:rsidP="00097E49">
      <w:r>
        <w:t>Portfolio short metrics by volu</w:t>
      </w:r>
      <w:r w:rsidR="00C31DE7">
        <w:t xml:space="preserve">me and value will be reported daily </w:t>
      </w:r>
      <w:r>
        <w:t>for each portfolio</w:t>
      </w:r>
      <w:r w:rsidR="00FA2748">
        <w:t>.</w:t>
      </w:r>
      <w:r>
        <w:t xml:space="preserve"> and for the aggregate portfolio across all regions but they will not be limiting</w:t>
      </w:r>
      <w:r w:rsidR="008C460B">
        <w:t>.</w:t>
      </w:r>
    </w:p>
    <w:p w14:paraId="590DD179" w14:textId="56E18CE7" w:rsidR="00C45D23" w:rsidRDefault="00C45D23" w:rsidP="00097E49">
      <w:r>
        <w:t>These limits will be populated prior</w:t>
      </w:r>
      <w:r w:rsidR="00AC25B9">
        <w:t xml:space="preserve"> to the commencement of trading.</w:t>
      </w:r>
    </w:p>
    <w:p w14:paraId="6ABE79E7" w14:textId="77777777" w:rsidR="001F1347" w:rsidRDefault="001F1347" w:rsidP="00097E49"/>
    <w:p w14:paraId="41946ADE" w14:textId="1090C31C" w:rsidR="001F1347" w:rsidRDefault="001F1347" w:rsidP="00097E49">
      <w:r>
        <w:t>PJM</w:t>
      </w:r>
    </w:p>
    <w:p w14:paraId="23D6F05D" w14:textId="24677622" w:rsidR="00FC7852" w:rsidRDefault="00FC7852" w:rsidP="00FC7852">
      <w:pPr>
        <w:pStyle w:val="ListParagraph"/>
        <w:numPr>
          <w:ilvl w:val="0"/>
          <w:numId w:val="2"/>
        </w:numPr>
      </w:pPr>
      <w:r>
        <w:t>L</w:t>
      </w:r>
      <w:r w:rsidR="00255E2C">
        <w:t xml:space="preserve">ong </w:t>
      </w:r>
      <w:r>
        <w:t>T</w:t>
      </w:r>
      <w:r w:rsidR="00255E2C">
        <w:t>erm</w:t>
      </w:r>
      <w:r>
        <w:t xml:space="preserve"> Auctions</w:t>
      </w:r>
    </w:p>
    <w:p w14:paraId="07CFDFC7" w14:textId="37F7558D" w:rsidR="00FC7852" w:rsidRDefault="00FC7852" w:rsidP="00FC7852">
      <w:pPr>
        <w:pStyle w:val="ListParagraph"/>
        <w:numPr>
          <w:ilvl w:val="0"/>
          <w:numId w:val="2"/>
        </w:numPr>
      </w:pPr>
      <w:r>
        <w:t>Annual Auctions</w:t>
      </w:r>
    </w:p>
    <w:p w14:paraId="411AB0A4" w14:textId="2699D120" w:rsidR="00FC7852" w:rsidRDefault="00FC7852" w:rsidP="00FC7852">
      <w:pPr>
        <w:pStyle w:val="ListParagraph"/>
        <w:numPr>
          <w:ilvl w:val="0"/>
          <w:numId w:val="2"/>
        </w:numPr>
      </w:pPr>
      <w:r>
        <w:t>Monthly Auctions</w:t>
      </w:r>
    </w:p>
    <w:p w14:paraId="7790FEED" w14:textId="77777777" w:rsidR="001F1347" w:rsidRDefault="001F1347" w:rsidP="00097E49"/>
    <w:p w14:paraId="1C99CA23" w14:textId="522CAD87" w:rsidR="001F1347" w:rsidRDefault="001F1347" w:rsidP="00097E49">
      <w:r>
        <w:t>MISO</w:t>
      </w:r>
    </w:p>
    <w:p w14:paraId="52EC66B2" w14:textId="4DC373C2" w:rsidR="001F1347" w:rsidRDefault="00FC7852" w:rsidP="00FC7852">
      <w:pPr>
        <w:pStyle w:val="ListParagraph"/>
        <w:numPr>
          <w:ilvl w:val="0"/>
          <w:numId w:val="2"/>
        </w:numPr>
      </w:pPr>
      <w:r>
        <w:t>Annual Auctions</w:t>
      </w:r>
    </w:p>
    <w:p w14:paraId="57E1C166" w14:textId="059FAFE7" w:rsidR="00FC7852" w:rsidRDefault="00FC7852" w:rsidP="00FC7852">
      <w:pPr>
        <w:pStyle w:val="ListParagraph"/>
        <w:numPr>
          <w:ilvl w:val="0"/>
          <w:numId w:val="2"/>
        </w:numPr>
      </w:pPr>
      <w:r>
        <w:t>Monthly Auctions</w:t>
      </w:r>
    </w:p>
    <w:p w14:paraId="75F8765D" w14:textId="77777777" w:rsidR="00FC7852" w:rsidRDefault="00FC7852" w:rsidP="00097E49"/>
    <w:p w14:paraId="1709FF58" w14:textId="04F48DD9" w:rsidR="001F1347" w:rsidRDefault="001F1347" w:rsidP="00097E49">
      <w:r>
        <w:t>New York</w:t>
      </w:r>
    </w:p>
    <w:p w14:paraId="75958AA3" w14:textId="10746E2B" w:rsidR="001F1347" w:rsidRDefault="00FC7852" w:rsidP="00253782">
      <w:pPr>
        <w:pStyle w:val="ListParagraph"/>
        <w:numPr>
          <w:ilvl w:val="0"/>
          <w:numId w:val="2"/>
        </w:numPr>
      </w:pPr>
      <w:r>
        <w:t>Capability Period Auction</w:t>
      </w:r>
      <w:r w:rsidR="00A133EE">
        <w:t>s</w:t>
      </w:r>
    </w:p>
    <w:p w14:paraId="44E4E681" w14:textId="0B297D35" w:rsidR="00253782" w:rsidRDefault="00253782" w:rsidP="00253782">
      <w:pPr>
        <w:pStyle w:val="ListParagraph"/>
        <w:numPr>
          <w:ilvl w:val="0"/>
          <w:numId w:val="2"/>
        </w:numPr>
      </w:pPr>
      <w:r>
        <w:t>Monthly Auctions</w:t>
      </w:r>
    </w:p>
    <w:p w14:paraId="62755663" w14:textId="77777777" w:rsidR="00FC7852" w:rsidRDefault="00FC7852" w:rsidP="00097E49"/>
    <w:p w14:paraId="34F27069" w14:textId="4F7AE036" w:rsidR="001F1347" w:rsidRDefault="001F1347" w:rsidP="00097E49">
      <w:r>
        <w:t>California</w:t>
      </w:r>
    </w:p>
    <w:p w14:paraId="53CF36EC" w14:textId="5DB3231D" w:rsidR="001F1347" w:rsidRDefault="00253782" w:rsidP="00253782">
      <w:pPr>
        <w:pStyle w:val="ListParagraph"/>
        <w:numPr>
          <w:ilvl w:val="0"/>
          <w:numId w:val="2"/>
        </w:numPr>
      </w:pPr>
      <w:r>
        <w:t>Annual Auction</w:t>
      </w:r>
      <w:r w:rsidR="00A133EE">
        <w:t>s</w:t>
      </w:r>
    </w:p>
    <w:p w14:paraId="2994B3D7" w14:textId="3882E413" w:rsidR="00253782" w:rsidRDefault="00253782" w:rsidP="00253782">
      <w:pPr>
        <w:pStyle w:val="ListParagraph"/>
        <w:numPr>
          <w:ilvl w:val="0"/>
          <w:numId w:val="2"/>
        </w:numPr>
      </w:pPr>
      <w:r>
        <w:t>Monthly Auction</w:t>
      </w:r>
      <w:r w:rsidR="00A133EE">
        <w:t>s</w:t>
      </w:r>
    </w:p>
    <w:p w14:paraId="51B50BDB" w14:textId="77777777" w:rsidR="00253782" w:rsidRDefault="00253782" w:rsidP="00097E49"/>
    <w:p w14:paraId="37F867B6" w14:textId="1AEBBC44" w:rsidR="001F1347" w:rsidRDefault="001F1347" w:rsidP="00097E49">
      <w:r>
        <w:t>ERCOT</w:t>
      </w:r>
    </w:p>
    <w:p w14:paraId="755A9863" w14:textId="02FFE860" w:rsidR="00985681" w:rsidRDefault="00985681" w:rsidP="00985681">
      <w:pPr>
        <w:pStyle w:val="ListParagraph"/>
        <w:numPr>
          <w:ilvl w:val="0"/>
          <w:numId w:val="2"/>
        </w:numPr>
      </w:pPr>
      <w:r>
        <w:t>2 year - 6 Month Auction cycles</w:t>
      </w:r>
    </w:p>
    <w:p w14:paraId="4FAF80C4" w14:textId="76A87AFB" w:rsidR="001F1347" w:rsidRDefault="00985681" w:rsidP="00985681">
      <w:pPr>
        <w:pStyle w:val="ListParagraph"/>
        <w:numPr>
          <w:ilvl w:val="0"/>
          <w:numId w:val="2"/>
        </w:numPr>
      </w:pPr>
      <w:r>
        <w:t xml:space="preserve">Monthly </w:t>
      </w:r>
      <w:r w:rsidR="00A133EE">
        <w:t>Auctions</w:t>
      </w:r>
      <w:r>
        <w:t xml:space="preserve"> </w:t>
      </w:r>
    </w:p>
    <w:p w14:paraId="6C6F18A9" w14:textId="77777777" w:rsidR="00985681" w:rsidRDefault="00985681" w:rsidP="00097E49"/>
    <w:p w14:paraId="60A2471B" w14:textId="1B3AE989" w:rsidR="001F1347" w:rsidRDefault="001F1347" w:rsidP="00097E49">
      <w:r>
        <w:t xml:space="preserve">SPP </w:t>
      </w:r>
    </w:p>
    <w:p w14:paraId="4C8EBECF" w14:textId="3C56F1EB" w:rsidR="001F1347" w:rsidRDefault="00A133EE" w:rsidP="00A133EE">
      <w:pPr>
        <w:pStyle w:val="ListParagraph"/>
        <w:numPr>
          <w:ilvl w:val="0"/>
          <w:numId w:val="2"/>
        </w:numPr>
      </w:pPr>
      <w:r>
        <w:t>Annual Auctions</w:t>
      </w:r>
    </w:p>
    <w:p w14:paraId="61E37E5D" w14:textId="6E8B8ACD" w:rsidR="00A133EE" w:rsidRDefault="00A133EE" w:rsidP="00A133EE">
      <w:pPr>
        <w:pStyle w:val="ListParagraph"/>
        <w:numPr>
          <w:ilvl w:val="0"/>
          <w:numId w:val="2"/>
        </w:numPr>
      </w:pPr>
      <w:r>
        <w:t>Monthly Auctions</w:t>
      </w:r>
    </w:p>
    <w:p w14:paraId="38139115" w14:textId="77777777" w:rsidR="00A133EE" w:rsidRDefault="00A133EE" w:rsidP="00097E49"/>
    <w:p w14:paraId="3E1DFA8C" w14:textId="7CAC045A" w:rsidR="001F1347" w:rsidRDefault="001F1347" w:rsidP="00097E49">
      <w:r>
        <w:t>New England</w:t>
      </w:r>
      <w:r w:rsidR="00B062A4">
        <w:t xml:space="preserve"> (most likely inactive)</w:t>
      </w:r>
    </w:p>
    <w:p w14:paraId="75D49625" w14:textId="2AD13E16" w:rsidR="001F1347" w:rsidRDefault="00A133EE" w:rsidP="00A133EE">
      <w:pPr>
        <w:pStyle w:val="ListParagraph"/>
        <w:numPr>
          <w:ilvl w:val="0"/>
          <w:numId w:val="2"/>
        </w:numPr>
      </w:pPr>
      <w:r>
        <w:t>Annual Auctions</w:t>
      </w:r>
    </w:p>
    <w:p w14:paraId="7A58D0C8" w14:textId="1DBB3B77" w:rsidR="00A133EE" w:rsidRDefault="00A133EE" w:rsidP="00A133EE">
      <w:pPr>
        <w:pStyle w:val="ListParagraph"/>
        <w:numPr>
          <w:ilvl w:val="0"/>
          <w:numId w:val="2"/>
        </w:numPr>
      </w:pPr>
      <w:r>
        <w:t>Monthly Auctions</w:t>
      </w:r>
    </w:p>
    <w:p w14:paraId="6DFFD502" w14:textId="77777777" w:rsidR="003A3815" w:rsidRDefault="003A3815">
      <w:pPr>
        <w:rPr>
          <w:rFonts w:asciiTheme="majorHAnsi" w:eastAsiaTheme="majorEastAsia" w:hAnsiTheme="majorHAnsi" w:cstheme="majorBidi"/>
          <w:b/>
          <w:bCs/>
          <w:color w:val="4F81BD" w:themeColor="accent1"/>
          <w:sz w:val="26"/>
          <w:szCs w:val="26"/>
        </w:rPr>
      </w:pPr>
      <w:r>
        <w:br w:type="page"/>
      </w:r>
    </w:p>
    <w:p w14:paraId="3D56916D" w14:textId="5BC063EF" w:rsidR="00C45D23" w:rsidRPr="00C45D23" w:rsidRDefault="00097E49" w:rsidP="00C45D23">
      <w:pPr>
        <w:pStyle w:val="Heading2"/>
      </w:pPr>
      <w:bookmarkStart w:id="7" w:name="_Toc482795722"/>
      <w:r>
        <w:lastRenderedPageBreak/>
        <w:t>Virtual Bidding Limits</w:t>
      </w:r>
      <w:r w:rsidR="004A6D49">
        <w:t xml:space="preserve"> – Not </w:t>
      </w:r>
      <w:r w:rsidR="00C45D23">
        <w:t>Yet</w:t>
      </w:r>
      <w:r w:rsidR="004A6D49">
        <w:t xml:space="preserve"> Active</w:t>
      </w:r>
      <w:bookmarkEnd w:id="7"/>
    </w:p>
    <w:p w14:paraId="23110DCE" w14:textId="77777777" w:rsidR="00097E49" w:rsidRDefault="00097E49" w:rsidP="00097E49"/>
    <w:p w14:paraId="5397E7BF" w14:textId="472100A2" w:rsidR="00F75BC9" w:rsidRDefault="00F75BC9" w:rsidP="00097E49">
      <w:r>
        <w:t>Virtual bidding will involve two potential forms of participation: fundamentally based virtual bidding and automated virtual trading,</w:t>
      </w:r>
    </w:p>
    <w:p w14:paraId="4624A832" w14:textId="77777777" w:rsidR="00F75BC9" w:rsidRDefault="00F75BC9" w:rsidP="00097E49"/>
    <w:p w14:paraId="4C40B96F" w14:textId="5E73F10C" w:rsidR="00253782" w:rsidRDefault="00253782" w:rsidP="00097E49">
      <w:r>
        <w:t xml:space="preserve">There will be a book for each </w:t>
      </w:r>
      <w:r w:rsidR="00F75BC9">
        <w:t xml:space="preserve">fundamentally based </w:t>
      </w:r>
      <w:r>
        <w:t xml:space="preserve">virtual bidding region. Virtual bids in those books will be subject to </w:t>
      </w:r>
      <w:r w:rsidR="00F75BC9">
        <w:t>the Virtual Bidding Compliance Policy. That policy requires that the fundamental reason</w:t>
      </w:r>
      <w:r w:rsidR="00B062A4">
        <w:t>(</w:t>
      </w:r>
      <w:r w:rsidR="00F75BC9">
        <w:t>s</w:t>
      </w:r>
      <w:r w:rsidR="00B062A4">
        <w:t>)</w:t>
      </w:r>
      <w:r w:rsidR="00F75BC9">
        <w:t xml:space="preserve"> behind each virtual trade is recor</w:t>
      </w:r>
      <w:r w:rsidR="00B062A4">
        <w:t xml:space="preserve">ded contemporaneously with the bid </w:t>
      </w:r>
      <w:r w:rsidR="00F75BC9">
        <w:t>submittal</w:t>
      </w:r>
      <w:r w:rsidR="00B062A4">
        <w:t>s</w:t>
      </w:r>
      <w:r w:rsidR="00F75BC9">
        <w:t>.</w:t>
      </w:r>
    </w:p>
    <w:p w14:paraId="6A16A21A" w14:textId="77777777" w:rsidR="00253782" w:rsidRDefault="00253782" w:rsidP="00097E49"/>
    <w:p w14:paraId="2D6E7C2A" w14:textId="77E60756" w:rsidR="00D0345C" w:rsidRDefault="00D0345C" w:rsidP="00097E49">
      <w:r>
        <w:t>Volume</w:t>
      </w:r>
      <w:r w:rsidR="00C31DE7">
        <w:t>tric fundamental</w:t>
      </w:r>
      <w:r>
        <w:t xml:space="preserve"> </w:t>
      </w:r>
      <w:r w:rsidR="00C31DE7">
        <w:t xml:space="preserve">virtual bidding </w:t>
      </w:r>
      <w:r>
        <w:t>limits</w:t>
      </w:r>
      <w:r w:rsidR="00C31DE7">
        <w:t xml:space="preserve"> for will be specifi</w:t>
      </w:r>
      <w:r w:rsidR="00177F42">
        <w:t>ed in Schedule</w:t>
      </w:r>
      <w:r w:rsidR="00EB2E24">
        <w:t xml:space="preserve"> 3</w:t>
      </w:r>
      <w:r w:rsidR="00C31DE7">
        <w:t xml:space="preserve"> for </w:t>
      </w:r>
      <w:r w:rsidR="00E61150">
        <w:t>each ISO</w:t>
      </w:r>
      <w:r w:rsidR="00C31DE7">
        <w:t>.</w:t>
      </w:r>
    </w:p>
    <w:p w14:paraId="712F497A" w14:textId="48B879FE" w:rsidR="00AC25B9" w:rsidRDefault="00AC25B9" w:rsidP="00097E49"/>
    <w:p w14:paraId="1184AA4D" w14:textId="77777777" w:rsidR="00AC25B9" w:rsidRDefault="00AC25B9" w:rsidP="00AC25B9">
      <w:r>
        <w:t>These limits will be populated prior to the commencement of trading.</w:t>
      </w:r>
    </w:p>
    <w:p w14:paraId="4D7E84D4" w14:textId="731289BD" w:rsidR="00253782" w:rsidRDefault="00253782" w:rsidP="00097E49"/>
    <w:p w14:paraId="09BA88AB" w14:textId="5156893B" w:rsidR="00253782" w:rsidRDefault="00C31DE7" w:rsidP="00097E49">
      <w:r>
        <w:t>To the extent that</w:t>
      </w:r>
      <w:r w:rsidR="00F75BC9">
        <w:t xml:space="preserve"> automated virtual bidding constructs</w:t>
      </w:r>
      <w:r>
        <w:t xml:space="preserve"> are developed</w:t>
      </w:r>
      <w:r w:rsidR="00F75BC9">
        <w:t xml:space="preserve"> they will reside in their own books.</w:t>
      </w:r>
      <w:r w:rsidR="00253782">
        <w:t xml:space="preserve"> </w:t>
      </w:r>
      <w:r>
        <w:t xml:space="preserve"> They will receive different treatment under the Virtual Bidding Compliance Policy requiring </w:t>
      </w:r>
      <w:r w:rsidR="00B062A4">
        <w:t xml:space="preserve">only </w:t>
      </w:r>
      <w:r>
        <w:t>an exception report for any instance where the virtual bids are not submitted.</w:t>
      </w:r>
    </w:p>
    <w:p w14:paraId="48647481" w14:textId="77777777" w:rsidR="003A3815" w:rsidRDefault="003A3815">
      <w:pPr>
        <w:rPr>
          <w:rFonts w:asciiTheme="majorHAnsi" w:eastAsiaTheme="majorEastAsia" w:hAnsiTheme="majorHAnsi" w:cstheme="majorBidi"/>
          <w:b/>
          <w:bCs/>
          <w:color w:val="4F81BD" w:themeColor="accent1"/>
          <w:sz w:val="26"/>
          <w:szCs w:val="26"/>
        </w:rPr>
      </w:pPr>
      <w:r>
        <w:br w:type="page"/>
      </w:r>
    </w:p>
    <w:p w14:paraId="604B6EAD" w14:textId="69D26B1F" w:rsidR="00097E49" w:rsidRDefault="00097E49" w:rsidP="00097E49">
      <w:pPr>
        <w:pStyle w:val="Heading2"/>
      </w:pPr>
      <w:bookmarkStart w:id="8" w:name="_Toc482795723"/>
      <w:r>
        <w:lastRenderedPageBreak/>
        <w:t>OTC Limits</w:t>
      </w:r>
      <w:bookmarkEnd w:id="8"/>
    </w:p>
    <w:p w14:paraId="48E1D0B1" w14:textId="77777777" w:rsidR="00097E49" w:rsidRDefault="00097E49" w:rsidP="00097E49"/>
    <w:p w14:paraId="2228E3E3" w14:textId="1B2D30A0" w:rsidR="003A3815" w:rsidRDefault="003A3815" w:rsidP="000A35CA">
      <w:r>
        <w:t>The o</w:t>
      </w:r>
      <w:r w:rsidR="00AC25B9">
        <w:t>ve</w:t>
      </w:r>
      <w:r>
        <w:t>rall OTC Trading VaR limit is specified in Schedule 3</w:t>
      </w:r>
      <w:r w:rsidR="000A35CA">
        <w:t>.</w:t>
      </w:r>
      <w:r w:rsidR="00AC25B9">
        <w:t xml:space="preserve"> </w:t>
      </w:r>
    </w:p>
    <w:p w14:paraId="7A36341D" w14:textId="677A239A" w:rsidR="000A35CA" w:rsidRDefault="000A35CA" w:rsidP="00097E49"/>
    <w:p w14:paraId="5CB71846" w14:textId="77777777" w:rsidR="00AC25B9" w:rsidRDefault="00496833" w:rsidP="00097E49">
      <w:r>
        <w:t>The primary measure of OTC risk for term positions will be</w:t>
      </w:r>
      <w:r w:rsidR="000A35CA">
        <w:t xml:space="preserve"> VaR</w:t>
      </w:r>
      <w:r>
        <w:t xml:space="preserve"> measured at a 1-day 95% confidence level.</w:t>
      </w:r>
      <w:r w:rsidR="00AC25B9">
        <w:t xml:space="preserve"> </w:t>
      </w:r>
    </w:p>
    <w:p w14:paraId="18680470" w14:textId="77777777" w:rsidR="00AC25B9" w:rsidRDefault="00AC25B9" w:rsidP="00097E49"/>
    <w:p w14:paraId="7B870E36" w14:textId="05E42271" w:rsidR="00AC25B9" w:rsidRDefault="00AC25B9" w:rsidP="00097E49">
      <w:r>
        <w:t>During initial operations and until all risk reporting is in place</w:t>
      </w:r>
      <w:r w:rsidR="000A35CA">
        <w:t xml:space="preserve"> </w:t>
      </w:r>
      <w:r>
        <w:t>we will use the initial margin calculations provided by ICE using a 99% 2-day VaR methodology to limit our positions. This methodology is a much tighter restriction and will more tightly limit our participation in the initial stages.</w:t>
      </w:r>
    </w:p>
    <w:p w14:paraId="1C0A054C" w14:textId="6C59957B" w:rsidR="003A3815" w:rsidRDefault="003A3815" w:rsidP="00097E49"/>
    <w:p w14:paraId="0DD6F55C" w14:textId="7BF10C87" w:rsidR="00496833" w:rsidRDefault="00496833" w:rsidP="00097E49">
      <w:r>
        <w:t xml:space="preserve">Short-term risk will be modeled using a 60 </w:t>
      </w:r>
      <w:r w:rsidR="008C460B">
        <w:t xml:space="preserve">day </w:t>
      </w:r>
      <w:r>
        <w:t>look-back on the most recent relevant period of pricing adjusted for historical underlying fuel prices</w:t>
      </w:r>
    </w:p>
    <w:p w14:paraId="666450F6" w14:textId="77777777" w:rsidR="001F1347" w:rsidRDefault="001F1347" w:rsidP="00097E49"/>
    <w:p w14:paraId="3182CC01" w14:textId="6C42CF8A" w:rsidR="001F1347" w:rsidRDefault="001F1347" w:rsidP="00097E49">
      <w:r>
        <w:t>There will be a book for each trader</w:t>
      </w:r>
      <w:r w:rsidR="000A35CA">
        <w:t xml:space="preserve"> authorized for OTC trades.</w:t>
      </w:r>
      <w:r w:rsidR="00EB2E24">
        <w:t xml:space="preserve"> A complete list of  OTC</w:t>
      </w:r>
      <w:r w:rsidR="00AC25B9">
        <w:t xml:space="preserve"> books is provided in Schedule 2.</w:t>
      </w:r>
    </w:p>
    <w:p w14:paraId="0C7A29EF" w14:textId="77777777" w:rsidR="000A35CA" w:rsidRDefault="000A35CA" w:rsidP="00097E49"/>
    <w:p w14:paraId="1A0FFB15" w14:textId="497551A1" w:rsidR="00392E58" w:rsidRDefault="000A35CA" w:rsidP="00097E49">
      <w:r>
        <w:t>To the extent that FTRs are bought at liquid locations those FTRs may be moved to the OTC books</w:t>
      </w:r>
      <w:r w:rsidR="00433110">
        <w:t xml:space="preserve"> if they are offsetting OTC risk.</w:t>
      </w:r>
    </w:p>
    <w:p w14:paraId="0A00A82A" w14:textId="77777777" w:rsidR="0081764F" w:rsidRDefault="0081764F" w:rsidP="00097E49"/>
    <w:p w14:paraId="2F056941" w14:textId="7C7E1516" w:rsidR="0081764F" w:rsidRDefault="0081764F" w:rsidP="00097E49">
      <w:r>
        <w:t>The tenor of products is a rolling 36 months. Products with a longer time horizon than 36 months wil</w:t>
      </w:r>
      <w:r w:rsidR="00177F42">
        <w:t xml:space="preserve">l require approval by both the </w:t>
      </w:r>
      <w:r>
        <w:t>R</w:t>
      </w:r>
      <w:r w:rsidR="000A423E">
        <w:t xml:space="preserve">isk </w:t>
      </w:r>
      <w:r>
        <w:t>O</w:t>
      </w:r>
      <w:r w:rsidR="000A423E">
        <w:t>fficer</w:t>
      </w:r>
      <w:r>
        <w:t xml:space="preserve"> and the Managing Partner.</w:t>
      </w:r>
    </w:p>
    <w:p w14:paraId="6BD13634" w14:textId="77777777" w:rsidR="00255E2C" w:rsidRDefault="00255E2C" w:rsidP="00097E49"/>
    <w:p w14:paraId="1AA1FFDE" w14:textId="24F9BC1A" w:rsidR="0083173F" w:rsidRDefault="0043043C" w:rsidP="0083173F">
      <w:r>
        <w:t>A list of approved products and loc</w:t>
      </w:r>
      <w:r w:rsidR="0083173F">
        <w:t>ations is provided in Schedule 4. Schedule 4 may be modified by Managing Partner and Risk Officer approval. Any changes to the Schedule 4 will be communicated to the Argus representative on the Steering Committee at the earliest opportunity.</w:t>
      </w:r>
    </w:p>
    <w:p w14:paraId="53E1A04B" w14:textId="77777777" w:rsidR="0083173F" w:rsidRDefault="0083173F" w:rsidP="0083173F"/>
    <w:p w14:paraId="11CF4360" w14:textId="2C56053F" w:rsidR="0083173F" w:rsidRDefault="0083173F" w:rsidP="0083173F">
      <w:r>
        <w:t>Prior to the appointment of a Risk Officer, Schedule 4 changes may be made by the Managing Partner concurrent with email notification to the Steering Committee.</w:t>
      </w:r>
    </w:p>
    <w:p w14:paraId="2702D35A" w14:textId="5F91F4A7" w:rsidR="0043043C" w:rsidRDefault="0043043C" w:rsidP="00097E49"/>
    <w:p w14:paraId="5B50E530" w14:textId="30BE2E76" w:rsidR="00E11E79" w:rsidRDefault="00392E58" w:rsidP="00097E49">
      <w:r>
        <w:br w:type="page"/>
      </w:r>
    </w:p>
    <w:p w14:paraId="722013DE" w14:textId="77777777" w:rsidR="00097E49" w:rsidRDefault="00097E49" w:rsidP="00097E49">
      <w:pPr>
        <w:pStyle w:val="Heading1"/>
      </w:pPr>
      <w:bookmarkStart w:id="9" w:name="_Toc482795724"/>
      <w:r>
        <w:lastRenderedPageBreak/>
        <w:t>Trader Execution Procedures and Limits</w:t>
      </w:r>
      <w:bookmarkEnd w:id="9"/>
    </w:p>
    <w:p w14:paraId="53A7112D" w14:textId="77777777" w:rsidR="00097E49" w:rsidRDefault="00097E49" w:rsidP="00097E49"/>
    <w:p w14:paraId="47569ADE" w14:textId="767817A8" w:rsidR="00A34042" w:rsidRDefault="00A34042" w:rsidP="00097E49">
      <w:r>
        <w:t xml:space="preserve">In order to be authorized to trade </w:t>
      </w:r>
      <w:r w:rsidR="00FD69FF">
        <w:t>a</w:t>
      </w:r>
      <w:r>
        <w:t xml:space="preserve"> trader must</w:t>
      </w:r>
      <w:r w:rsidR="00FD69FF">
        <w:t xml:space="preserve">: </w:t>
      </w:r>
      <w:r w:rsidR="0009622F">
        <w:t>(</w:t>
      </w:r>
      <w:r w:rsidR="00FD69FF">
        <w:t>i)</w:t>
      </w:r>
      <w:r>
        <w:t xml:space="preserve"> receive email confirmation from the </w:t>
      </w:r>
      <w:r w:rsidR="00FD69FF">
        <w:t>Managing Partner that they are authorized to trade</w:t>
      </w:r>
      <w:r w:rsidR="0009622F">
        <w:t>; (ii) receive, read and review the Acadia Energy Partners Risk Management Policy; (iii) sign the Acadia Energy Partners Risk Management Policy Consent.</w:t>
      </w:r>
    </w:p>
    <w:p w14:paraId="48AADC4D" w14:textId="3F1297CE" w:rsidR="00A34042" w:rsidRDefault="00A34042" w:rsidP="00097E49">
      <w:r>
        <w:t xml:space="preserve"> </w:t>
      </w:r>
    </w:p>
    <w:p w14:paraId="4B4AC9FB" w14:textId="63ACDCEF" w:rsidR="00097E49" w:rsidRDefault="00D0345C" w:rsidP="00097E49">
      <w:r>
        <w:t xml:space="preserve">Each </w:t>
      </w:r>
      <w:r w:rsidR="008B392B">
        <w:t xml:space="preserve">OTC </w:t>
      </w:r>
      <w:r>
        <w:t>trader will be a</w:t>
      </w:r>
      <w:r w:rsidR="0009622F">
        <w:t>ssigned an individual VaR limit by the Managing Partner.</w:t>
      </w:r>
    </w:p>
    <w:p w14:paraId="772A9829" w14:textId="1BDA2BFF" w:rsidR="00D0345C" w:rsidRDefault="00D0345C" w:rsidP="00097E49">
      <w:r>
        <w:t xml:space="preserve">The sum of the individual </w:t>
      </w:r>
      <w:r w:rsidR="00F44EE4">
        <w:t xml:space="preserve">trader </w:t>
      </w:r>
      <w:r>
        <w:t>VaR limits</w:t>
      </w:r>
      <w:r w:rsidR="00F44EE4">
        <w:t xml:space="preserve"> may exceed the </w:t>
      </w:r>
      <w:r w:rsidR="00F75BC9">
        <w:t>overall VaR limit.</w:t>
      </w:r>
    </w:p>
    <w:p w14:paraId="5DA957B8" w14:textId="4C5B5C42" w:rsidR="00B1075D" w:rsidRDefault="00B1075D" w:rsidP="00097E49">
      <w:r>
        <w:t xml:space="preserve">The individual trader VaR limits can be revised by the Managing </w:t>
      </w:r>
      <w:r w:rsidR="00433110">
        <w:t>P</w:t>
      </w:r>
      <w:r>
        <w:t>artner</w:t>
      </w:r>
      <w:r w:rsidR="006A41D2">
        <w:t xml:space="preserve"> at any time, with an email notification to the Steering Committee</w:t>
      </w:r>
      <w:r w:rsidR="00433110">
        <w:t>.</w:t>
      </w:r>
    </w:p>
    <w:p w14:paraId="6B25728F" w14:textId="77777777" w:rsidR="00B062A4" w:rsidRDefault="00B062A4" w:rsidP="00097E49"/>
    <w:p w14:paraId="16A8BB02" w14:textId="0A309FDE" w:rsidR="00B062A4" w:rsidRDefault="00F30349" w:rsidP="00097E49">
      <w:r>
        <w:t xml:space="preserve">Each </w:t>
      </w:r>
      <w:r w:rsidR="008B392B">
        <w:t xml:space="preserve">OTC </w:t>
      </w:r>
      <w:r>
        <w:t>trader may</w:t>
      </w:r>
      <w:r w:rsidR="00B062A4">
        <w:t xml:space="preserve"> also be assigned </w:t>
      </w:r>
      <w:r>
        <w:t>two trading thresholds in addition to their VaR limit.</w:t>
      </w:r>
    </w:p>
    <w:p w14:paraId="28067BCA" w14:textId="77777777" w:rsidR="00F30349" w:rsidRDefault="00F30349" w:rsidP="00097E49"/>
    <w:p w14:paraId="597EC68D" w14:textId="05EBF19F" w:rsidR="00F30349" w:rsidRDefault="00F30349" w:rsidP="00097E49">
      <w:r>
        <w:t xml:space="preserve">Threshold 1 is the level at which they must seek </w:t>
      </w:r>
      <w:r w:rsidR="0009622F">
        <w:t xml:space="preserve">execution </w:t>
      </w:r>
      <w:r>
        <w:t>confirmation from the Managing Partner or Supervising Trader</w:t>
      </w:r>
      <w:r w:rsidR="0009622F">
        <w:t xml:space="preserve"> prior to executing the trade</w:t>
      </w:r>
      <w:r w:rsidR="00814B5B">
        <w:t>.</w:t>
      </w:r>
    </w:p>
    <w:p w14:paraId="6F9405AF" w14:textId="77777777" w:rsidR="00F30349" w:rsidRDefault="00F30349" w:rsidP="00097E49"/>
    <w:p w14:paraId="7B099B53" w14:textId="77777777" w:rsidR="00814B5B" w:rsidRDefault="00F30349" w:rsidP="00097E49">
      <w:r>
        <w:t xml:space="preserve">Threshold 2 will </w:t>
      </w:r>
      <w:r w:rsidR="00EB2E24">
        <w:t xml:space="preserve">generally </w:t>
      </w:r>
      <w:r>
        <w:t>be set at 25% of the Trader’s VaR limit.</w:t>
      </w:r>
    </w:p>
    <w:p w14:paraId="0F316BFC" w14:textId="77777777" w:rsidR="00814B5B" w:rsidRDefault="00814B5B" w:rsidP="00097E49"/>
    <w:p w14:paraId="64095CAB" w14:textId="0E3CE69D" w:rsidR="00F30349" w:rsidRDefault="00814B5B" w:rsidP="00097E49">
      <w:r>
        <w:t xml:space="preserve">Threshold 1 and 2 are set by the Managing Partner and may be specified in either volumetric, </w:t>
      </w:r>
      <w:r w:rsidR="00781566">
        <w:t xml:space="preserve">$ </w:t>
      </w:r>
      <w:r>
        <w:t>value</w:t>
      </w:r>
      <w:r w:rsidR="00781566">
        <w:t>, potential loss</w:t>
      </w:r>
      <w:r>
        <w:t xml:space="preserve"> or VaR form.  </w:t>
      </w:r>
    </w:p>
    <w:p w14:paraId="621AF44C" w14:textId="77777777" w:rsidR="00B062A4" w:rsidRDefault="00B062A4" w:rsidP="00097E49"/>
    <w:p w14:paraId="0613E145" w14:textId="7344CA6E" w:rsidR="00B062A4" w:rsidRDefault="00B062A4" w:rsidP="00097E49">
      <w:r>
        <w:t xml:space="preserve">Trades that exceed the minimum of </w:t>
      </w:r>
      <w:r w:rsidR="00EB2E24">
        <w:t>Threshold 2</w:t>
      </w:r>
      <w:r>
        <w:t xml:space="preserve"> or $500,000</w:t>
      </w:r>
      <w:r w:rsidR="00781566">
        <w:t xml:space="preserve"> potential loss</w:t>
      </w:r>
      <w:r>
        <w:t xml:space="preserve"> must</w:t>
      </w:r>
      <w:r w:rsidR="00DD54B5">
        <w:t xml:space="preserve"> be reviewed by the Trading Committee prior to their execution</w:t>
      </w:r>
      <w:r w:rsidR="004225B1">
        <w:t>.</w:t>
      </w:r>
    </w:p>
    <w:p w14:paraId="6289929F" w14:textId="77777777" w:rsidR="00814B5B" w:rsidRDefault="00814B5B" w:rsidP="00097E49"/>
    <w:p w14:paraId="150E38E5" w14:textId="2F61E68C" w:rsidR="00B1075D" w:rsidRDefault="00814B5B" w:rsidP="00097E49">
      <w:r>
        <w:t xml:space="preserve">Individual </w:t>
      </w:r>
      <w:r w:rsidR="008B392B">
        <w:t xml:space="preserve">OTC </w:t>
      </w:r>
      <w:r>
        <w:t>trader VaR limits, threshold 1, threshold 2 and the Supervising Traders</w:t>
      </w:r>
      <w:r w:rsidR="0043043C">
        <w:t xml:space="preserve"> are all specified</w:t>
      </w:r>
      <w:r w:rsidR="00781566">
        <w:t xml:space="preserve"> in Schedule 2</w:t>
      </w:r>
      <w:r>
        <w:t xml:space="preserve"> of this Risk Policy. </w:t>
      </w:r>
    </w:p>
    <w:p w14:paraId="59D64999" w14:textId="7059F026" w:rsidR="008B392B" w:rsidRDefault="008B392B" w:rsidP="00097E49"/>
    <w:p w14:paraId="455EC828" w14:textId="4F1019D1" w:rsidR="008B392B" w:rsidRDefault="008B392B" w:rsidP="00097E49">
      <w:r>
        <w:t>Each FTR/VB trader must be trained in their market prior to receiving trade authority. Limits for FTR and VB activity are defined by book not by trader. Multiple traders may be active in a book at any one time. Authorized FTR/VB traders are listed in Schedule 2a) of this Risk Policy.</w:t>
      </w:r>
    </w:p>
    <w:p w14:paraId="7FDB821C" w14:textId="594E3A43" w:rsidR="00B062A4" w:rsidRDefault="00DD54B5" w:rsidP="00B062A4">
      <w:pPr>
        <w:pStyle w:val="Heading2"/>
      </w:pPr>
      <w:bookmarkStart w:id="10" w:name="_Toc482795725"/>
      <w:r>
        <w:t>Trading Committee</w:t>
      </w:r>
      <w:bookmarkEnd w:id="10"/>
    </w:p>
    <w:p w14:paraId="5729C9C0" w14:textId="77777777" w:rsidR="00F75BC9" w:rsidRDefault="00F75BC9" w:rsidP="00097E49"/>
    <w:p w14:paraId="673844B7" w14:textId="4A6C257E" w:rsidR="00F75BC9" w:rsidRDefault="00DD54B5" w:rsidP="00097E49">
      <w:r>
        <w:t>The Trading Committee will meet every morning to</w:t>
      </w:r>
      <w:r w:rsidR="00685723">
        <w:t xml:space="preserve">: review prior day performance; </w:t>
      </w:r>
      <w:r>
        <w:t xml:space="preserve">discuss </w:t>
      </w:r>
      <w:r w:rsidR="00685723">
        <w:t>the current state of the market;</w:t>
      </w:r>
      <w:r>
        <w:t xml:space="preserve"> review any loss triggers</w:t>
      </w:r>
      <w:r w:rsidR="00685723">
        <w:t>; and present new trade ideas.</w:t>
      </w:r>
    </w:p>
    <w:p w14:paraId="5AD8CE38" w14:textId="77777777" w:rsidR="00685723" w:rsidRDefault="00685723" w:rsidP="00097E49"/>
    <w:p w14:paraId="31E722DF" w14:textId="3EDAB7B1" w:rsidR="00685723" w:rsidRDefault="00685723" w:rsidP="00097E49">
      <w:r>
        <w:t>The Trading Committee will comprise of all Acadia staff with trading authority.</w:t>
      </w:r>
    </w:p>
    <w:p w14:paraId="44CB1B14" w14:textId="77777777" w:rsidR="00685723" w:rsidRDefault="00685723" w:rsidP="00097E49"/>
    <w:p w14:paraId="67C5CA94" w14:textId="6C87106A" w:rsidR="00685723" w:rsidRDefault="00685723" w:rsidP="00097E49">
      <w:r>
        <w:t>By design, the Trading Committee is intended to be t</w:t>
      </w:r>
      <w:r w:rsidR="004225B1">
        <w:t>he forum where core strategy dis</w:t>
      </w:r>
      <w:r>
        <w:t>cussions</w:t>
      </w:r>
      <w:r w:rsidR="004225B1">
        <w:t xml:space="preserve"> are held</w:t>
      </w:r>
      <w:r>
        <w:t xml:space="preserve"> and </w:t>
      </w:r>
      <w:r w:rsidR="004225B1">
        <w:t xml:space="preserve">where core strategy </w:t>
      </w:r>
      <w:r>
        <w:t>approvals are sought</w:t>
      </w:r>
      <w:r w:rsidR="004225B1">
        <w:t>.</w:t>
      </w:r>
      <w:r>
        <w:t xml:space="preserve">  </w:t>
      </w:r>
    </w:p>
    <w:p w14:paraId="148D9424" w14:textId="56711CC4" w:rsidR="00177F42" w:rsidRDefault="00177F42" w:rsidP="00097E49"/>
    <w:p w14:paraId="4C697287" w14:textId="42B321BF" w:rsidR="00177F42" w:rsidRDefault="00177F42" w:rsidP="00097E49"/>
    <w:p w14:paraId="6D226776" w14:textId="77777777" w:rsidR="00177F42" w:rsidRDefault="00177F42" w:rsidP="00097E49"/>
    <w:p w14:paraId="2F63A57D" w14:textId="77777777" w:rsidR="00D0345C" w:rsidRDefault="00D0345C" w:rsidP="00097E49"/>
    <w:p w14:paraId="0428D48B" w14:textId="7D4E47F6" w:rsidR="00D0345C" w:rsidRDefault="004225B1" w:rsidP="004225B1">
      <w:pPr>
        <w:pStyle w:val="Heading2"/>
      </w:pPr>
      <w:bookmarkStart w:id="11" w:name="_Toc482795726"/>
      <w:r>
        <w:t>Trader X Positions</w:t>
      </w:r>
      <w:bookmarkEnd w:id="11"/>
    </w:p>
    <w:p w14:paraId="19E95E23" w14:textId="77777777" w:rsidR="004225B1" w:rsidRDefault="004225B1" w:rsidP="004225B1"/>
    <w:p w14:paraId="28CD2408" w14:textId="17C2BC83" w:rsidR="004225B1" w:rsidRDefault="004225B1" w:rsidP="004225B1">
      <w:r>
        <w:t>In addition to the trader books there will also be a Trader X book designed to hold large core pos</w:t>
      </w:r>
      <w:r w:rsidR="00814B5B">
        <w:t>ition strategies that are entered into as a group</w:t>
      </w:r>
      <w:r>
        <w:t>. Entry into th</w:t>
      </w:r>
      <w:r w:rsidR="00814B5B">
        <w:t>ese positions is</w:t>
      </w:r>
      <w:r>
        <w:t xml:space="preserve"> approved</w:t>
      </w:r>
      <w:r w:rsidR="00814B5B">
        <w:t xml:space="preserve"> only</w:t>
      </w:r>
      <w:r>
        <w:t xml:space="preserve"> by the Principals Committee.</w:t>
      </w:r>
    </w:p>
    <w:p w14:paraId="24C6AF61" w14:textId="11224044" w:rsidR="00177F42" w:rsidRDefault="00177F42" w:rsidP="004225B1"/>
    <w:p w14:paraId="6A081F02" w14:textId="47C4EFCA" w:rsidR="00177F42" w:rsidRPr="004225B1" w:rsidRDefault="00177F42" w:rsidP="004225B1">
      <w:r>
        <w:t>These positions will be separately tracked and reported in position reporting, risk reporting and P&amp;L reporting. Trader X positions may be executed with anyone with trade authority at the request of the Managing Partner or Principals Committee.</w:t>
      </w:r>
    </w:p>
    <w:p w14:paraId="0D48C904" w14:textId="77777777" w:rsidR="003A3815" w:rsidRDefault="003A3815">
      <w:pPr>
        <w:rPr>
          <w:rFonts w:asciiTheme="majorHAnsi" w:eastAsiaTheme="majorEastAsia" w:hAnsiTheme="majorHAnsi" w:cstheme="majorBidi"/>
          <w:b/>
          <w:bCs/>
          <w:color w:val="345A8A" w:themeColor="accent1" w:themeShade="B5"/>
          <w:sz w:val="32"/>
          <w:szCs w:val="32"/>
        </w:rPr>
      </w:pPr>
      <w:r>
        <w:br w:type="page"/>
      </w:r>
    </w:p>
    <w:p w14:paraId="0F338BD6" w14:textId="12D194DE" w:rsidR="00097E49" w:rsidRDefault="00097E49" w:rsidP="00097E49">
      <w:pPr>
        <w:pStyle w:val="Heading1"/>
      </w:pPr>
      <w:bookmarkStart w:id="12" w:name="_Toc482795727"/>
      <w:r>
        <w:lastRenderedPageBreak/>
        <w:t>Risk Reporting</w:t>
      </w:r>
      <w:bookmarkEnd w:id="12"/>
    </w:p>
    <w:p w14:paraId="47884890" w14:textId="77777777" w:rsidR="00E11E79" w:rsidRDefault="00E11E79" w:rsidP="00E11E79"/>
    <w:p w14:paraId="5254A284" w14:textId="77777777" w:rsidR="00E11E79" w:rsidRDefault="00E11E79" w:rsidP="00E11E79">
      <w:pPr>
        <w:pStyle w:val="Heading2"/>
      </w:pPr>
      <w:bookmarkStart w:id="13" w:name="_Toc482795728"/>
      <w:r>
        <w:t>Daily Reporting</w:t>
      </w:r>
      <w:bookmarkEnd w:id="13"/>
    </w:p>
    <w:p w14:paraId="13EB7281" w14:textId="77777777" w:rsidR="00E11E79" w:rsidRDefault="00E11E79" w:rsidP="00E11E79"/>
    <w:p w14:paraId="237C09F7" w14:textId="722E74D0" w:rsidR="00F44EE4" w:rsidRDefault="00F44EE4" w:rsidP="00E11E79">
      <w:r>
        <w:t>Daily reports will be produ</w:t>
      </w:r>
      <w:r w:rsidR="00B062A4">
        <w:t>ced by Risk</w:t>
      </w:r>
      <w:r w:rsidR="008C460B">
        <w:t xml:space="preserve"> including</w:t>
      </w:r>
      <w:r w:rsidR="008B392B">
        <w:t xml:space="preserve"> but not limited to</w:t>
      </w:r>
      <w:r w:rsidR="00B062A4">
        <w:t>:</w:t>
      </w:r>
    </w:p>
    <w:p w14:paraId="591AF217" w14:textId="153BCA3A" w:rsidR="00DD54B5" w:rsidRDefault="00DD54B5" w:rsidP="00B062A4">
      <w:pPr>
        <w:pStyle w:val="ListParagraph"/>
        <w:numPr>
          <w:ilvl w:val="0"/>
          <w:numId w:val="2"/>
        </w:numPr>
      </w:pPr>
      <w:r>
        <w:t>P&amp;L reporting for all positions and books</w:t>
      </w:r>
    </w:p>
    <w:p w14:paraId="14512AE8" w14:textId="1F78B26D" w:rsidR="0081764F" w:rsidRDefault="0081764F" w:rsidP="0081764F">
      <w:pPr>
        <w:pStyle w:val="ListParagraph"/>
        <w:numPr>
          <w:ilvl w:val="0"/>
          <w:numId w:val="2"/>
        </w:numPr>
      </w:pPr>
      <w:r>
        <w:t>Credit report indicating where all money is sitting with ISOs/FCMs</w:t>
      </w:r>
    </w:p>
    <w:p w14:paraId="7461B3AC" w14:textId="62FAAABF" w:rsidR="0081764F" w:rsidRDefault="0081764F" w:rsidP="0081764F">
      <w:pPr>
        <w:pStyle w:val="ListParagraph"/>
        <w:numPr>
          <w:ilvl w:val="0"/>
          <w:numId w:val="2"/>
        </w:numPr>
      </w:pPr>
      <w:r>
        <w:t>Trade summary report indicating all trades executed</w:t>
      </w:r>
      <w:r w:rsidR="008C460B">
        <w:t xml:space="preserve"> on the prior day</w:t>
      </w:r>
    </w:p>
    <w:p w14:paraId="4A8DB7C9" w14:textId="697BB793" w:rsidR="00B062A4" w:rsidRDefault="00B062A4" w:rsidP="00B062A4">
      <w:pPr>
        <w:pStyle w:val="ListParagraph"/>
        <w:numPr>
          <w:ilvl w:val="0"/>
          <w:numId w:val="2"/>
        </w:numPr>
      </w:pPr>
      <w:r>
        <w:t xml:space="preserve">Overall </w:t>
      </w:r>
      <w:r w:rsidR="00DD54B5">
        <w:t xml:space="preserve">OTC </w:t>
      </w:r>
      <w:r>
        <w:t>Portfolio Position</w:t>
      </w:r>
      <w:r w:rsidR="00DD54B5">
        <w:t xml:space="preserve"> </w:t>
      </w:r>
      <w:r w:rsidR="00685723">
        <w:t>including VaR</w:t>
      </w:r>
    </w:p>
    <w:p w14:paraId="5ED4A224" w14:textId="4A3E7F4F" w:rsidR="00B062A4" w:rsidRDefault="00DD54B5" w:rsidP="00B062A4">
      <w:pPr>
        <w:pStyle w:val="ListParagraph"/>
        <w:numPr>
          <w:ilvl w:val="0"/>
          <w:numId w:val="2"/>
        </w:numPr>
      </w:pPr>
      <w:r>
        <w:t xml:space="preserve">OTC </w:t>
      </w:r>
      <w:r w:rsidR="00B062A4">
        <w:t>Portfolio Position by Trader</w:t>
      </w:r>
      <w:r w:rsidR="00685723">
        <w:t xml:space="preserve"> including VaR</w:t>
      </w:r>
    </w:p>
    <w:p w14:paraId="5EADC79E" w14:textId="1D5EAC2A" w:rsidR="00B062A4" w:rsidRDefault="00DD54B5" w:rsidP="00B062A4">
      <w:pPr>
        <w:pStyle w:val="ListParagraph"/>
        <w:numPr>
          <w:ilvl w:val="0"/>
          <w:numId w:val="2"/>
        </w:numPr>
      </w:pPr>
      <w:r>
        <w:t xml:space="preserve">OTC </w:t>
      </w:r>
      <w:r w:rsidR="00B062A4">
        <w:t>Net Delta report for overall portfolio and by trader.</w:t>
      </w:r>
    </w:p>
    <w:p w14:paraId="0E3F83C1" w14:textId="53FF873F" w:rsidR="00B062A4" w:rsidRDefault="00DD54B5" w:rsidP="00B062A4">
      <w:pPr>
        <w:pStyle w:val="ListParagraph"/>
        <w:numPr>
          <w:ilvl w:val="0"/>
          <w:numId w:val="2"/>
        </w:numPr>
      </w:pPr>
      <w:r>
        <w:t>OTC Gas position report</w:t>
      </w:r>
    </w:p>
    <w:p w14:paraId="31C9D323" w14:textId="6C6ED825" w:rsidR="00DD54B5" w:rsidRDefault="00DD54B5" w:rsidP="00B062A4">
      <w:pPr>
        <w:pStyle w:val="ListParagraph"/>
        <w:numPr>
          <w:ilvl w:val="0"/>
          <w:numId w:val="2"/>
        </w:numPr>
      </w:pPr>
      <w:r>
        <w:t>OTC Gas options report (strike table, greeks and stress cases)</w:t>
      </w:r>
    </w:p>
    <w:p w14:paraId="6CBA3ADB" w14:textId="0CF45A60" w:rsidR="00DD54B5" w:rsidRDefault="00DD54B5" w:rsidP="00B062A4">
      <w:pPr>
        <w:pStyle w:val="ListParagraph"/>
        <w:numPr>
          <w:ilvl w:val="0"/>
          <w:numId w:val="2"/>
        </w:numPr>
      </w:pPr>
      <w:r>
        <w:t>OTC Power position report</w:t>
      </w:r>
    </w:p>
    <w:p w14:paraId="253B7CE6" w14:textId="2F91A857" w:rsidR="00DD54B5" w:rsidRDefault="00DD54B5" w:rsidP="00B062A4">
      <w:pPr>
        <w:pStyle w:val="ListParagraph"/>
        <w:numPr>
          <w:ilvl w:val="0"/>
          <w:numId w:val="2"/>
        </w:numPr>
      </w:pPr>
      <w:r>
        <w:t>OTC Power options report (strike table, greeks and stress cases)</w:t>
      </w:r>
    </w:p>
    <w:p w14:paraId="7E906207" w14:textId="77777777" w:rsidR="00B062A4" w:rsidRDefault="00B062A4" w:rsidP="00B062A4"/>
    <w:p w14:paraId="512B3239" w14:textId="6C2603C8" w:rsidR="00B062A4" w:rsidRDefault="00B062A4" w:rsidP="00B062A4">
      <w:r>
        <w:t>Risk will also constantly be monitoring for concentration</w:t>
      </w:r>
      <w:r w:rsidR="001764C8">
        <w:t xml:space="preserve"> and liquidity</w:t>
      </w:r>
      <w:r>
        <w:t xml:space="preserve"> risks</w:t>
      </w:r>
      <w:r w:rsidR="00DD54B5">
        <w:t xml:space="preserve"> within the portfolio.</w:t>
      </w:r>
    </w:p>
    <w:p w14:paraId="6D5FF154" w14:textId="77777777" w:rsidR="004225B1" w:rsidRDefault="004225B1" w:rsidP="00B062A4"/>
    <w:p w14:paraId="14BA10C4" w14:textId="667203AD" w:rsidR="004225B1" w:rsidRDefault="004225B1" w:rsidP="00B062A4">
      <w:r>
        <w:t>Additional report</w:t>
      </w:r>
      <w:r w:rsidR="0043043C">
        <w:t>s will be produced as necessary including stress tests, scenario analysis and look-back analysis.</w:t>
      </w:r>
    </w:p>
    <w:p w14:paraId="3F03FDAE" w14:textId="77777777" w:rsidR="0043043C" w:rsidRDefault="0043043C" w:rsidP="00B062A4"/>
    <w:p w14:paraId="1727E364" w14:textId="7A81BC23" w:rsidR="0043043C" w:rsidRDefault="0043043C" w:rsidP="00B062A4">
      <w:r>
        <w:t>Risk will also be responsible for periodic stress analysis on the FTR portfolio</w:t>
      </w:r>
      <w:r w:rsidR="0081764F">
        <w:t>s</w:t>
      </w:r>
      <w:r>
        <w:t>.</w:t>
      </w:r>
    </w:p>
    <w:p w14:paraId="441F7D11" w14:textId="77777777" w:rsidR="0081764F" w:rsidRDefault="0081764F" w:rsidP="00B062A4"/>
    <w:p w14:paraId="070DD457" w14:textId="7076DC5C" w:rsidR="0081764F" w:rsidRDefault="0081764F" w:rsidP="00B062A4">
      <w:r>
        <w:t>We will use third party sources for pricing curves. To the extent that there is a dispute between the Traders and Risk about the validity of a particular price curve it may be modified solely at the discretion of the Risk group.</w:t>
      </w:r>
    </w:p>
    <w:p w14:paraId="1AF0A691" w14:textId="30ADB4EB" w:rsidR="000A423E" w:rsidRDefault="000A423E" w:rsidP="00B062A4"/>
    <w:p w14:paraId="130258AA" w14:textId="06A67F37" w:rsidR="000A423E" w:rsidRDefault="000A423E" w:rsidP="00B062A4">
      <w:r>
        <w:t>OTC positions will be marked daily according to exchange published prices for all positions. To the extent that a price is not available or is considered unreasonable by the Risk Group the Risk Group will use reasonable normal business practices to determine a suitable replacement mark.</w:t>
      </w:r>
    </w:p>
    <w:p w14:paraId="68CB72C1" w14:textId="34EA3F84" w:rsidR="000A423E" w:rsidRDefault="000A423E" w:rsidP="00B062A4"/>
    <w:p w14:paraId="19938445" w14:textId="380834C1" w:rsidR="000A423E" w:rsidRDefault="000A423E" w:rsidP="00B062A4">
      <w:r>
        <w:t>FTR positions will be marked at the conclusion of any auction that changes the price of existing FTR obligation or option positions. P&amp;L for that change will be reflected in the next published daily P&amp;L report.</w:t>
      </w:r>
    </w:p>
    <w:p w14:paraId="07499F05" w14:textId="1ACDCD77" w:rsidR="000A423E" w:rsidRDefault="000A423E" w:rsidP="00B062A4"/>
    <w:p w14:paraId="64501C3B" w14:textId="08D257CD" w:rsidR="000A423E" w:rsidRDefault="000A423E" w:rsidP="00B062A4">
      <w:r>
        <w:t>FTR and VB P&amp;L realizations using day-ahead and real-time posted ISO prices will be included in the next day’s daily P&amp;L report. To the extent the ISOs revise or correct DA or RT prices those adjustments would be included in the next published daily P&amp;L report following the price adjustment.</w:t>
      </w:r>
    </w:p>
    <w:p w14:paraId="087F1AE2" w14:textId="42FE94F3" w:rsidR="000A423E" w:rsidRDefault="000A423E" w:rsidP="00B062A4"/>
    <w:p w14:paraId="3BA51933" w14:textId="77777777" w:rsidR="000A423E" w:rsidRDefault="000A423E" w:rsidP="00B062A4"/>
    <w:p w14:paraId="4A947C74" w14:textId="77777777" w:rsidR="00E11E79" w:rsidRDefault="00E11E79" w:rsidP="00E11E79">
      <w:pPr>
        <w:pStyle w:val="Heading2"/>
      </w:pPr>
      <w:bookmarkStart w:id="14" w:name="_Toc482795729"/>
      <w:r>
        <w:lastRenderedPageBreak/>
        <w:t>Loss Triggers</w:t>
      </w:r>
      <w:bookmarkEnd w:id="14"/>
    </w:p>
    <w:p w14:paraId="75199081" w14:textId="77777777" w:rsidR="00DD54B5" w:rsidRDefault="00DD54B5" w:rsidP="00DD54B5"/>
    <w:p w14:paraId="70C996E7" w14:textId="37842B44" w:rsidR="00DD54B5" w:rsidRDefault="00685723" w:rsidP="00DD54B5">
      <w:r>
        <w:t>1-day l</w:t>
      </w:r>
      <w:r w:rsidR="00DD54B5">
        <w:t>osses by a trader exceeding 50% of their VaR</w:t>
      </w:r>
      <w:r w:rsidR="001764C8">
        <w:t xml:space="preserve"> limit will be reported by</w:t>
      </w:r>
      <w:r w:rsidR="00177F42">
        <w:t xml:space="preserve"> the </w:t>
      </w:r>
      <w:r w:rsidR="00DD54B5">
        <w:t>R</w:t>
      </w:r>
      <w:r w:rsidR="008B392B">
        <w:t xml:space="preserve">isk </w:t>
      </w:r>
      <w:r w:rsidR="00DD54B5">
        <w:t>O</w:t>
      </w:r>
      <w:r w:rsidR="008B392B">
        <w:t>fficer</w:t>
      </w:r>
      <w:r w:rsidR="001764C8">
        <w:t xml:space="preserve"> to the Principals Committee and the Steering Committee. The positions</w:t>
      </w:r>
      <w:r w:rsidR="00DD54B5">
        <w:t xml:space="preserve"> will be </w:t>
      </w:r>
      <w:r w:rsidR="001764C8">
        <w:t xml:space="preserve">specifically </w:t>
      </w:r>
      <w:r w:rsidR="00DD54B5">
        <w:t>reviewed in the first schedule</w:t>
      </w:r>
      <w:r w:rsidR="008C460B">
        <w:t>d</w:t>
      </w:r>
      <w:r w:rsidR="00DD54B5">
        <w:t xml:space="preserve"> Trading Committee meeting following the occurrence of the loss trigger.</w:t>
      </w:r>
    </w:p>
    <w:p w14:paraId="047A9973" w14:textId="77777777" w:rsidR="00685723" w:rsidRDefault="00685723" w:rsidP="00DD54B5"/>
    <w:p w14:paraId="6E5D7F88" w14:textId="2DAF80C1" w:rsidR="00685723" w:rsidRDefault="00685723" w:rsidP="00DD54B5">
      <w:r>
        <w:t>3-day cumulative losses exceeding 100% of their VaR</w:t>
      </w:r>
      <w:r w:rsidR="00177F42">
        <w:t xml:space="preserve"> limit will be reported </w:t>
      </w:r>
      <w:r w:rsidR="001764C8">
        <w:t>by the Risk Officer to the Principals Committee and the Steering Committee. The positions</w:t>
      </w:r>
      <w:r>
        <w:t xml:space="preserve"> will be reviewed in the first schedule</w:t>
      </w:r>
      <w:r w:rsidR="008C460B">
        <w:t>d</w:t>
      </w:r>
      <w:r>
        <w:t xml:space="preserve"> Trading Committee meeting following the occurrence of the loss trigger.</w:t>
      </w:r>
      <w:r w:rsidR="001764C8">
        <w:t xml:space="preserve"> A specific meeting of the Principals Committee will also review the positions in this instance including an independent review of the positions prepared with the Risk Group.</w:t>
      </w:r>
    </w:p>
    <w:p w14:paraId="1C76CA7E" w14:textId="77777777" w:rsidR="00685723" w:rsidRDefault="00685723" w:rsidP="00DD54B5"/>
    <w:p w14:paraId="1442FC33" w14:textId="3157924E" w:rsidR="00EC46BE" w:rsidRDefault="004225B1" w:rsidP="00DD54B5">
      <w:r>
        <w:t xml:space="preserve">The </w:t>
      </w:r>
      <w:r w:rsidR="00685723">
        <w:t>Managing Partner</w:t>
      </w:r>
      <w:r>
        <w:t>, after discussion with the Principals Committee,</w:t>
      </w:r>
      <w:r w:rsidR="00685723">
        <w:t xml:space="preserve"> will have sole discretion in determining when positions must be closed.</w:t>
      </w:r>
    </w:p>
    <w:p w14:paraId="079489D7" w14:textId="77777777" w:rsidR="00EC46BE" w:rsidRDefault="00EC46BE">
      <w:r>
        <w:br w:type="page"/>
      </w:r>
    </w:p>
    <w:p w14:paraId="1097F9D1" w14:textId="5CD0F77B" w:rsidR="00685723" w:rsidRDefault="00EC46BE" w:rsidP="00EC46BE">
      <w:pPr>
        <w:pStyle w:val="Heading1"/>
      </w:pPr>
      <w:bookmarkStart w:id="15" w:name="_Toc482795730"/>
      <w:r>
        <w:lastRenderedPageBreak/>
        <w:t>Document History</w:t>
      </w:r>
      <w:bookmarkEnd w:id="15"/>
    </w:p>
    <w:p w14:paraId="57B31D86" w14:textId="1608D695" w:rsidR="00EC46BE" w:rsidRDefault="00EC46BE" w:rsidP="00EC46BE"/>
    <w:p w14:paraId="6C1CCFB8" w14:textId="2A3FC3CC" w:rsidR="00EC46BE" w:rsidRDefault="00EC46BE" w:rsidP="00EC46BE">
      <w:r>
        <w:t>Version 1.0 – Author: Andrew Hartshorn; March 15</w:t>
      </w:r>
      <w:r w:rsidRPr="00EC46BE">
        <w:rPr>
          <w:vertAlign w:val="superscript"/>
        </w:rPr>
        <w:t>th</w:t>
      </w:r>
      <w:r>
        <w:t xml:space="preserve"> 2017 effective date</w:t>
      </w:r>
    </w:p>
    <w:p w14:paraId="16821D76" w14:textId="2F1E371D" w:rsidR="00EC46BE" w:rsidRDefault="00EC46BE" w:rsidP="00EC46BE">
      <w:pPr>
        <w:pStyle w:val="ListParagraph"/>
        <w:numPr>
          <w:ilvl w:val="0"/>
          <w:numId w:val="3"/>
        </w:numPr>
      </w:pPr>
      <w:r>
        <w:t>Initial framework</w:t>
      </w:r>
    </w:p>
    <w:p w14:paraId="25327519" w14:textId="27013E9E" w:rsidR="00EC46BE" w:rsidRDefault="00EC46BE" w:rsidP="00EC46BE"/>
    <w:p w14:paraId="75CBFED9" w14:textId="3F3A7C7C" w:rsidR="00EC46BE" w:rsidRDefault="00EC46BE" w:rsidP="00EC46BE">
      <w:r>
        <w:t>Version 1.1 – Changes: Andrew Hartshorn; April 17</w:t>
      </w:r>
      <w:r w:rsidRPr="00EC46BE">
        <w:rPr>
          <w:vertAlign w:val="superscript"/>
        </w:rPr>
        <w:t>th</w:t>
      </w:r>
      <w:r>
        <w:t xml:space="preserve"> 2017 effective date</w:t>
      </w:r>
    </w:p>
    <w:p w14:paraId="41C673EB" w14:textId="16743658" w:rsidR="00EC46BE" w:rsidRDefault="00EC46BE" w:rsidP="00EC46BE">
      <w:pPr>
        <w:pStyle w:val="ListParagraph"/>
        <w:numPr>
          <w:ilvl w:val="0"/>
          <w:numId w:val="3"/>
        </w:numPr>
      </w:pPr>
      <w:r>
        <w:t>Add Document History tracking section</w:t>
      </w:r>
    </w:p>
    <w:p w14:paraId="03558D83" w14:textId="495BFF06" w:rsidR="0083173F" w:rsidRDefault="0083173F" w:rsidP="00EC46BE">
      <w:pPr>
        <w:pStyle w:val="ListParagraph"/>
        <w:numPr>
          <w:ilvl w:val="0"/>
          <w:numId w:val="3"/>
        </w:numPr>
      </w:pPr>
      <w:r>
        <w:t>Added references to Trading Policy Schedules</w:t>
      </w:r>
    </w:p>
    <w:p w14:paraId="69535D19" w14:textId="7432ADFB" w:rsidR="0083173F" w:rsidRDefault="0083173F" w:rsidP="00EC46BE">
      <w:pPr>
        <w:pStyle w:val="ListParagraph"/>
        <w:numPr>
          <w:ilvl w:val="0"/>
          <w:numId w:val="3"/>
        </w:numPr>
      </w:pPr>
      <w:r>
        <w:t>Tightened a lot of the language</w:t>
      </w:r>
    </w:p>
    <w:p w14:paraId="574961EE" w14:textId="56E5E614" w:rsidR="0083173F" w:rsidRDefault="0083173F" w:rsidP="00EC46BE">
      <w:pPr>
        <w:pStyle w:val="ListParagraph"/>
        <w:numPr>
          <w:ilvl w:val="0"/>
          <w:numId w:val="3"/>
        </w:numPr>
      </w:pPr>
      <w:r>
        <w:t>Added language for initial operations</w:t>
      </w:r>
    </w:p>
    <w:p w14:paraId="4CB88321" w14:textId="27E8D378" w:rsidR="0083173F" w:rsidRDefault="0083173F" w:rsidP="00EC46BE">
      <w:pPr>
        <w:pStyle w:val="ListParagraph"/>
        <w:numPr>
          <w:ilvl w:val="0"/>
          <w:numId w:val="3"/>
        </w:numPr>
      </w:pPr>
      <w:r>
        <w:t>Reduced CRO to RO in case we start with more junior Risk Officer</w:t>
      </w:r>
    </w:p>
    <w:p w14:paraId="2A0567C1" w14:textId="138265CD" w:rsidR="0083173F" w:rsidRDefault="0083173F" w:rsidP="00EC46BE">
      <w:pPr>
        <w:pStyle w:val="ListParagraph"/>
        <w:numPr>
          <w:ilvl w:val="0"/>
          <w:numId w:val="3"/>
        </w:numPr>
      </w:pPr>
      <w:r>
        <w:t>Added language to allow for operations prior to Risk Office appointment</w:t>
      </w:r>
    </w:p>
    <w:p w14:paraId="0C881921" w14:textId="46D76432" w:rsidR="004A6D49" w:rsidRDefault="004A6D49" w:rsidP="004A6D49"/>
    <w:p w14:paraId="502BAD47" w14:textId="24314D32" w:rsidR="004A6D49" w:rsidRDefault="004A6D49" w:rsidP="004A6D49">
      <w:r>
        <w:t>Version 1.2 – Changes: Andrew Hartshorn; May 15</w:t>
      </w:r>
      <w:r w:rsidRPr="004A6D49">
        <w:rPr>
          <w:vertAlign w:val="superscript"/>
        </w:rPr>
        <w:t>th</w:t>
      </w:r>
      <w:r>
        <w:t xml:space="preserve"> 2017 effective date</w:t>
      </w:r>
    </w:p>
    <w:p w14:paraId="126B3642" w14:textId="37D2D70E" w:rsidR="004A6D49" w:rsidRDefault="004A6D49" w:rsidP="004A6D49">
      <w:pPr>
        <w:pStyle w:val="ListParagraph"/>
        <w:numPr>
          <w:ilvl w:val="0"/>
          <w:numId w:val="5"/>
        </w:numPr>
      </w:pPr>
      <w:r>
        <w:t>Minor edits for wording in a few sections</w:t>
      </w:r>
    </w:p>
    <w:p w14:paraId="2E910DC7" w14:textId="08B32CA2" w:rsidR="008B392B" w:rsidRDefault="008B392B" w:rsidP="004A6D49">
      <w:pPr>
        <w:pStyle w:val="ListParagraph"/>
        <w:numPr>
          <w:ilvl w:val="0"/>
          <w:numId w:val="5"/>
        </w:numPr>
      </w:pPr>
      <w:r>
        <w:t>Added FTR/VB trader limit language</w:t>
      </w:r>
    </w:p>
    <w:p w14:paraId="5CC3F56D" w14:textId="23F00391" w:rsidR="000A423E" w:rsidRDefault="000A423E" w:rsidP="004A6D49">
      <w:pPr>
        <w:pStyle w:val="ListParagraph"/>
        <w:numPr>
          <w:ilvl w:val="0"/>
          <w:numId w:val="5"/>
        </w:numPr>
      </w:pPr>
      <w:r>
        <w:t>Added mtm methodology for OTC and FTRs</w:t>
      </w:r>
    </w:p>
    <w:p w14:paraId="49C59A5B" w14:textId="78C2522D" w:rsidR="003C26B6" w:rsidRDefault="003C26B6" w:rsidP="003C26B6"/>
    <w:p w14:paraId="5361CFFD" w14:textId="77777777" w:rsidR="003C26B6" w:rsidRDefault="003C26B6" w:rsidP="003C26B6">
      <w:bookmarkStart w:id="16" w:name="_Hlk482794296"/>
      <w:r>
        <w:t>Version 1.3 – Changes: Andrew Hartshorn; May 17</w:t>
      </w:r>
      <w:r w:rsidRPr="003C26B6">
        <w:rPr>
          <w:vertAlign w:val="superscript"/>
        </w:rPr>
        <w:t>th</w:t>
      </w:r>
      <w:r>
        <w:t xml:space="preserve"> 2017 effective date</w:t>
      </w:r>
    </w:p>
    <w:p w14:paraId="51D7875A" w14:textId="641C0B67" w:rsidR="003C26B6" w:rsidRDefault="003C26B6" w:rsidP="003C26B6">
      <w:pPr>
        <w:pStyle w:val="ListParagraph"/>
        <w:numPr>
          <w:ilvl w:val="0"/>
          <w:numId w:val="6"/>
        </w:numPr>
      </w:pPr>
      <w:r>
        <w:t>Added specific language disallowing trading authority to Risk staff</w:t>
      </w:r>
      <w:r w:rsidR="00C20EE5">
        <w:t xml:space="preserve"> (Section I</w:t>
      </w:r>
      <w:r w:rsidR="001764C8">
        <w:t xml:space="preserve"> Part C)</w:t>
      </w:r>
    </w:p>
    <w:p w14:paraId="69EC80C2" w14:textId="15ABC04B" w:rsidR="003C26B6" w:rsidRDefault="003C26B6" w:rsidP="003C26B6">
      <w:pPr>
        <w:pStyle w:val="ListParagraph"/>
        <w:numPr>
          <w:ilvl w:val="0"/>
          <w:numId w:val="6"/>
        </w:numPr>
      </w:pPr>
      <w:r>
        <w:t>Added language disallowing all Acadia staff from trading approved products in their own accounts</w:t>
      </w:r>
      <w:r w:rsidR="001764C8">
        <w:t xml:space="preserve"> </w:t>
      </w:r>
      <w:r w:rsidR="00C20EE5">
        <w:t>(Section I</w:t>
      </w:r>
      <w:r w:rsidR="001764C8">
        <w:t xml:space="preserve"> Part C)</w:t>
      </w:r>
    </w:p>
    <w:p w14:paraId="295C9176" w14:textId="549F5705" w:rsidR="003C26B6" w:rsidRDefault="003C26B6" w:rsidP="003C26B6">
      <w:pPr>
        <w:pStyle w:val="ListParagraph"/>
        <w:numPr>
          <w:ilvl w:val="0"/>
          <w:numId w:val="6"/>
        </w:numPr>
      </w:pPr>
      <w:r>
        <w:t>Modified the loss trigger section such that all triggers are reported to the Principals Committee and the Steering Committee.</w:t>
      </w:r>
      <w:r w:rsidR="001764C8">
        <w:t xml:space="preserve"> Added an independent Risk Group review of positions incurring 3-day loss.</w:t>
      </w:r>
      <w:r w:rsidR="00C20EE5">
        <w:t xml:space="preserve"> (Section IV</w:t>
      </w:r>
      <w:r w:rsidR="001764C8">
        <w:t xml:space="preserve"> Part B)</w:t>
      </w:r>
    </w:p>
    <w:p w14:paraId="01A8E69B" w14:textId="586E06B9" w:rsidR="001764C8" w:rsidRPr="00EC46BE" w:rsidRDefault="001764C8" w:rsidP="003C26B6">
      <w:pPr>
        <w:pStyle w:val="ListParagraph"/>
        <w:numPr>
          <w:ilvl w:val="0"/>
          <w:numId w:val="6"/>
        </w:numPr>
      </w:pPr>
      <w:r>
        <w:t>Added liquidity to the list of aspects the Risk Reporting is responsible for performing.</w:t>
      </w:r>
      <w:r w:rsidR="00C20EE5">
        <w:t xml:space="preserve"> (Section IV</w:t>
      </w:r>
      <w:r>
        <w:t xml:space="preserve"> Part A).</w:t>
      </w:r>
      <w:bookmarkEnd w:id="16"/>
    </w:p>
    <w:sectPr w:rsidR="001764C8" w:rsidRPr="00EC46BE" w:rsidSect="004B1A5B">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169F6" w14:textId="77777777" w:rsidR="008E4E21" w:rsidRDefault="008E4E21" w:rsidP="00814B5B">
      <w:r>
        <w:separator/>
      </w:r>
    </w:p>
  </w:endnote>
  <w:endnote w:type="continuationSeparator" w:id="0">
    <w:p w14:paraId="65C22621" w14:textId="77777777" w:rsidR="008E4E21" w:rsidRDefault="008E4E21" w:rsidP="0081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02F94" w14:textId="77777777" w:rsidR="00255E2C" w:rsidRDefault="00255E2C" w:rsidP="00814B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978259" w14:textId="77777777" w:rsidR="00255E2C" w:rsidRDefault="00255E2C" w:rsidP="00814B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1EC16" w14:textId="2BF1722A" w:rsidR="00255E2C" w:rsidRDefault="00255E2C" w:rsidP="00814B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E43">
      <w:rPr>
        <w:rStyle w:val="PageNumber"/>
        <w:noProof/>
      </w:rPr>
      <w:t>1</w:t>
    </w:r>
    <w:r>
      <w:rPr>
        <w:rStyle w:val="PageNumber"/>
      </w:rPr>
      <w:fldChar w:fldCharType="end"/>
    </w:r>
  </w:p>
  <w:p w14:paraId="7036FA6C" w14:textId="77777777" w:rsidR="00255E2C" w:rsidRDefault="00255E2C" w:rsidP="00814B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B8E72" w14:textId="77777777" w:rsidR="008E4E21" w:rsidRDefault="008E4E21" w:rsidP="00814B5B">
      <w:r>
        <w:separator/>
      </w:r>
    </w:p>
  </w:footnote>
  <w:footnote w:type="continuationSeparator" w:id="0">
    <w:p w14:paraId="40090165" w14:textId="77777777" w:rsidR="008E4E21" w:rsidRDefault="008E4E21" w:rsidP="00814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2301"/>
    <w:multiLevelType w:val="hybridMultilevel"/>
    <w:tmpl w:val="1BF626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1361BBF"/>
    <w:multiLevelType w:val="hybridMultilevel"/>
    <w:tmpl w:val="44A4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D533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454943CB"/>
    <w:multiLevelType w:val="hybridMultilevel"/>
    <w:tmpl w:val="73167B6A"/>
    <w:lvl w:ilvl="0" w:tplc="E7CE4BC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B134C"/>
    <w:multiLevelType w:val="hybridMultilevel"/>
    <w:tmpl w:val="1916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06843"/>
    <w:multiLevelType w:val="hybridMultilevel"/>
    <w:tmpl w:val="A026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3NTI3MjMwNzQ1MTdV0lEKTi0uzszPAykwqgUA6FuqqywAAAA="/>
  </w:docVars>
  <w:rsids>
    <w:rsidRoot w:val="00177F03"/>
    <w:rsid w:val="00011398"/>
    <w:rsid w:val="0009622F"/>
    <w:rsid w:val="00097E49"/>
    <w:rsid w:val="000A35CA"/>
    <w:rsid w:val="000A423E"/>
    <w:rsid w:val="000E5FE1"/>
    <w:rsid w:val="001764C8"/>
    <w:rsid w:val="00177F03"/>
    <w:rsid w:val="00177F42"/>
    <w:rsid w:val="001F1347"/>
    <w:rsid w:val="002420E0"/>
    <w:rsid w:val="00253782"/>
    <w:rsid w:val="00255E2C"/>
    <w:rsid w:val="00256A49"/>
    <w:rsid w:val="00316A87"/>
    <w:rsid w:val="00392E58"/>
    <w:rsid w:val="003A3815"/>
    <w:rsid w:val="003C26B6"/>
    <w:rsid w:val="00404D47"/>
    <w:rsid w:val="00421739"/>
    <w:rsid w:val="004225B1"/>
    <w:rsid w:val="0043043C"/>
    <w:rsid w:val="00433110"/>
    <w:rsid w:val="00496833"/>
    <w:rsid w:val="004A6D49"/>
    <w:rsid w:val="004B1A5B"/>
    <w:rsid w:val="004C49A4"/>
    <w:rsid w:val="00511CAC"/>
    <w:rsid w:val="00587D4D"/>
    <w:rsid w:val="00612E0E"/>
    <w:rsid w:val="00685723"/>
    <w:rsid w:val="006A41D2"/>
    <w:rsid w:val="006D1BE8"/>
    <w:rsid w:val="00781566"/>
    <w:rsid w:val="00794376"/>
    <w:rsid w:val="00814B5B"/>
    <w:rsid w:val="0081764F"/>
    <w:rsid w:val="0083173F"/>
    <w:rsid w:val="00874144"/>
    <w:rsid w:val="00886469"/>
    <w:rsid w:val="008B392B"/>
    <w:rsid w:val="008C460B"/>
    <w:rsid w:val="008D0294"/>
    <w:rsid w:val="008E4E21"/>
    <w:rsid w:val="008E7ED2"/>
    <w:rsid w:val="009531F8"/>
    <w:rsid w:val="00985681"/>
    <w:rsid w:val="00A133EE"/>
    <w:rsid w:val="00A31933"/>
    <w:rsid w:val="00A34042"/>
    <w:rsid w:val="00AC25B9"/>
    <w:rsid w:val="00B00E43"/>
    <w:rsid w:val="00B04748"/>
    <w:rsid w:val="00B062A4"/>
    <w:rsid w:val="00B1075D"/>
    <w:rsid w:val="00C06BC9"/>
    <w:rsid w:val="00C20EE5"/>
    <w:rsid w:val="00C31DE7"/>
    <w:rsid w:val="00C45D23"/>
    <w:rsid w:val="00C5435B"/>
    <w:rsid w:val="00C93BC9"/>
    <w:rsid w:val="00CD2CC3"/>
    <w:rsid w:val="00D0345C"/>
    <w:rsid w:val="00D66DAD"/>
    <w:rsid w:val="00D85E69"/>
    <w:rsid w:val="00DC6F45"/>
    <w:rsid w:val="00DD54B5"/>
    <w:rsid w:val="00DF48AD"/>
    <w:rsid w:val="00E11E79"/>
    <w:rsid w:val="00E61150"/>
    <w:rsid w:val="00E8245C"/>
    <w:rsid w:val="00EB2E24"/>
    <w:rsid w:val="00EC3A3C"/>
    <w:rsid w:val="00EC46BE"/>
    <w:rsid w:val="00EE2AB1"/>
    <w:rsid w:val="00F30349"/>
    <w:rsid w:val="00F44EE4"/>
    <w:rsid w:val="00F70B6F"/>
    <w:rsid w:val="00F75BC9"/>
    <w:rsid w:val="00FA20D2"/>
    <w:rsid w:val="00FA2748"/>
    <w:rsid w:val="00FC7852"/>
    <w:rsid w:val="00FD6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7656D"/>
  <w14:defaultImageDpi w14:val="330"/>
  <w15:docId w15:val="{71FD7A49-4DDC-4F7A-9FF6-B5D8A57D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F0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7F0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7F0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7F0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7F0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7F0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7F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7F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7F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77F03"/>
  </w:style>
  <w:style w:type="paragraph" w:styleId="TOC2">
    <w:name w:val="toc 2"/>
    <w:basedOn w:val="Normal"/>
    <w:next w:val="Normal"/>
    <w:autoRedefine/>
    <w:uiPriority w:val="39"/>
    <w:unhideWhenUsed/>
    <w:rsid w:val="00177F03"/>
    <w:pPr>
      <w:ind w:left="240"/>
    </w:pPr>
  </w:style>
  <w:style w:type="paragraph" w:styleId="TOC3">
    <w:name w:val="toc 3"/>
    <w:basedOn w:val="Normal"/>
    <w:next w:val="Normal"/>
    <w:autoRedefine/>
    <w:uiPriority w:val="39"/>
    <w:unhideWhenUsed/>
    <w:rsid w:val="00177F03"/>
    <w:pPr>
      <w:ind w:left="480"/>
    </w:pPr>
  </w:style>
  <w:style w:type="paragraph" w:styleId="TOC4">
    <w:name w:val="toc 4"/>
    <w:basedOn w:val="Normal"/>
    <w:next w:val="Normal"/>
    <w:autoRedefine/>
    <w:uiPriority w:val="39"/>
    <w:unhideWhenUsed/>
    <w:rsid w:val="00177F03"/>
    <w:pPr>
      <w:ind w:left="720"/>
    </w:pPr>
  </w:style>
  <w:style w:type="paragraph" w:styleId="TOC5">
    <w:name w:val="toc 5"/>
    <w:basedOn w:val="Normal"/>
    <w:next w:val="Normal"/>
    <w:autoRedefine/>
    <w:uiPriority w:val="39"/>
    <w:unhideWhenUsed/>
    <w:rsid w:val="00177F03"/>
    <w:pPr>
      <w:ind w:left="960"/>
    </w:pPr>
  </w:style>
  <w:style w:type="paragraph" w:styleId="TOC6">
    <w:name w:val="toc 6"/>
    <w:basedOn w:val="Normal"/>
    <w:next w:val="Normal"/>
    <w:autoRedefine/>
    <w:uiPriority w:val="39"/>
    <w:unhideWhenUsed/>
    <w:rsid w:val="00177F03"/>
    <w:pPr>
      <w:ind w:left="1200"/>
    </w:pPr>
  </w:style>
  <w:style w:type="paragraph" w:styleId="TOC7">
    <w:name w:val="toc 7"/>
    <w:basedOn w:val="Normal"/>
    <w:next w:val="Normal"/>
    <w:autoRedefine/>
    <w:uiPriority w:val="39"/>
    <w:unhideWhenUsed/>
    <w:rsid w:val="00177F03"/>
    <w:pPr>
      <w:ind w:left="1440"/>
    </w:pPr>
  </w:style>
  <w:style w:type="paragraph" w:styleId="TOC8">
    <w:name w:val="toc 8"/>
    <w:basedOn w:val="Normal"/>
    <w:next w:val="Normal"/>
    <w:autoRedefine/>
    <w:uiPriority w:val="39"/>
    <w:unhideWhenUsed/>
    <w:rsid w:val="00177F03"/>
    <w:pPr>
      <w:ind w:left="1680"/>
    </w:pPr>
  </w:style>
  <w:style w:type="paragraph" w:styleId="TOC9">
    <w:name w:val="toc 9"/>
    <w:basedOn w:val="Normal"/>
    <w:next w:val="Normal"/>
    <w:autoRedefine/>
    <w:uiPriority w:val="39"/>
    <w:unhideWhenUsed/>
    <w:rsid w:val="00177F03"/>
    <w:pPr>
      <w:ind w:left="1920"/>
    </w:pPr>
  </w:style>
  <w:style w:type="character" w:customStyle="1" w:styleId="Heading1Char">
    <w:name w:val="Heading 1 Char"/>
    <w:basedOn w:val="DefaultParagraphFont"/>
    <w:link w:val="Heading1"/>
    <w:uiPriority w:val="9"/>
    <w:rsid w:val="00177F0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7F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77F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7F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7F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7F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7F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7F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7F0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C7852"/>
    <w:pPr>
      <w:ind w:left="720"/>
      <w:contextualSpacing/>
    </w:pPr>
  </w:style>
  <w:style w:type="paragraph" w:styleId="Footer">
    <w:name w:val="footer"/>
    <w:basedOn w:val="Normal"/>
    <w:link w:val="FooterChar"/>
    <w:uiPriority w:val="99"/>
    <w:unhideWhenUsed/>
    <w:rsid w:val="00814B5B"/>
    <w:pPr>
      <w:tabs>
        <w:tab w:val="center" w:pos="4320"/>
        <w:tab w:val="right" w:pos="8640"/>
      </w:tabs>
    </w:pPr>
  </w:style>
  <w:style w:type="character" w:customStyle="1" w:styleId="FooterChar">
    <w:name w:val="Footer Char"/>
    <w:basedOn w:val="DefaultParagraphFont"/>
    <w:link w:val="Footer"/>
    <w:uiPriority w:val="99"/>
    <w:rsid w:val="00814B5B"/>
  </w:style>
  <w:style w:type="character" w:styleId="PageNumber">
    <w:name w:val="page number"/>
    <w:basedOn w:val="DefaultParagraphFont"/>
    <w:uiPriority w:val="99"/>
    <w:semiHidden/>
    <w:unhideWhenUsed/>
    <w:rsid w:val="0081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38CD231A5A44D961F213EF8C9A133" ma:contentTypeVersion="2" ma:contentTypeDescription="Create a new document." ma:contentTypeScope="" ma:versionID="6eee90d83ae32fe980d184a9505d218c">
  <xsd:schema xmlns:xsd="http://www.w3.org/2001/XMLSchema" xmlns:xs="http://www.w3.org/2001/XMLSchema" xmlns:p="http://schemas.microsoft.com/office/2006/metadata/properties" xmlns:ns2="a484ebfe-6c92-44d0-9b1e-350c463cfacd" targetNamespace="http://schemas.microsoft.com/office/2006/metadata/properties" ma:root="true" ma:fieldsID="8f10408335dceeefa8bdb4acb98e086e" ns2:_="">
    <xsd:import namespace="a484ebfe-6c92-44d0-9b1e-350c463cfac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84ebfe-6c92-44d0-9b1e-350c463cfac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38FF2-0C3D-42A7-9604-0AE10C630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84ebfe-6c92-44d0-9b1e-350c463cf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C05FAE-97F2-4E46-B21D-3C8536C2D3D4}">
  <ds:schemaRefs>
    <ds:schemaRef ds:uri="http://schemas.microsoft.com/sharepoint/v3/contenttype/forms"/>
  </ds:schemaRefs>
</ds:datastoreItem>
</file>

<file path=customXml/itemProps3.xml><?xml version="1.0" encoding="utf-8"?>
<ds:datastoreItem xmlns:ds="http://schemas.openxmlformats.org/officeDocument/2006/customXml" ds:itemID="{F3EFA499-C8AF-43CC-8822-F10DB5390C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814039-CDF1-4BC7-9ECE-8A02E1B45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Hartshorn</dc:creator>
  <cp:keywords/>
  <dc:description/>
  <cp:lastModifiedBy>Kevin Morgan</cp:lastModifiedBy>
  <cp:revision>5</cp:revision>
  <dcterms:created xsi:type="dcterms:W3CDTF">2017-07-05T18:28:00Z</dcterms:created>
  <dcterms:modified xsi:type="dcterms:W3CDTF">2017-07-06T13:13:00Z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0x01010075238CD231A5A44D961F213EF8C9A133</vt:lpwstr>
  </property>
</Properties>
</file>