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esson-12"/>
    <w:p>
      <w:pPr>
        <w:pStyle w:val="Heading2"/>
      </w:pPr>
      <w:r>
        <w:t xml:space="preserve">LESSON 12</w:t>
      </w:r>
    </w:p>
    <w:bookmarkStart w:id="31" w:name="X563c1cc414bb850b62621c67ff76045236dbbe8"/>
    <w:p>
      <w:pPr>
        <w:pStyle w:val="Heading3"/>
      </w:pPr>
      <w:r>
        <w:t xml:space="preserve">Fringes of Syntax: Demonstratives, Numbers, and Conditionals</w:t>
      </w:r>
    </w:p>
    <w:p>
      <w:r>
        <w:pict>
          <v:rect style="width:0;height:1.5pt" o:hralign="center" o:hrstd="t" o:hr="t"/>
        </w:pict>
      </w:r>
    </w:p>
    <w:bookmarkStart w:id="20" w:name="section-1-review-of-lesson-11"/>
    <w:p>
      <w:pPr>
        <w:pStyle w:val="Heading4"/>
      </w:pPr>
      <w:r>
        <w:t xml:space="preserve">Section 1: Review of Lesson 11</w:t>
      </w:r>
    </w:p>
    <w:p>
      <w:pPr>
        <w:pStyle w:val="FirstParagraph"/>
      </w:pPr>
      <w:r>
        <w:rPr>
          <w:b/>
          <w:bCs/>
        </w:rPr>
        <w:t xml:space="preserve">Quick Summary</w:t>
      </w:r>
    </w:p>
    <w:p>
      <w:pPr>
        <w:pStyle w:val="BodyText"/>
      </w:pPr>
      <w:r>
        <w:t xml:space="preserve">In Lesson 11, we examined how Syriac attaches direct object pronouns directly to the verb, creating a highly compressed</w:t>
      </w:r>
      <w:r>
        <w:t xml:space="preserve"> </w:t>
      </w:r>
      <w:r>
        <w:t xml:space="preserve">“fast direct object”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qaṭl-eh</w:t>
      </w:r>
      <w:r>
        <w:t xml:space="preserve">,</w:t>
      </w:r>
      <w:r>
        <w:t xml:space="preserve"> </w:t>
      </w:r>
      <w:r>
        <w:t xml:space="preserve">“he killed him”</w:t>
      </w:r>
      <w:r>
        <w:t xml:space="preserve"> </w:t>
      </w:r>
      <w:r>
        <w:t xml:space="preserve">vs. </w:t>
      </w:r>
      <w:r>
        <w:rPr>
          <w:i/>
          <w:iCs/>
        </w:rPr>
        <w:t xml:space="preserve">qṭal l-ēh</w:t>
      </w:r>
      <w:r>
        <w:t xml:space="preserve">,</w:t>
      </w:r>
      <w:r>
        <w:t xml:space="preserve"> </w:t>
      </w:r>
      <w:r>
        <w:t xml:space="preserve">“he killed to-him”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5-Question Warm-Up Drill</w:t>
      </w:r>
    </w:p>
    <w:p>
      <w:pPr>
        <w:pStyle w:val="BodyText"/>
      </w:pPr>
      <w:r>
        <w:rPr>
          <w:i/>
          <w:iCs/>
        </w:rPr>
        <w:t xml:space="preserve">(Answers in Section 9)</w:t>
      </w:r>
    </w:p>
    <w:p>
      <w:pPr>
        <w:pStyle w:val="Compact"/>
        <w:numPr>
          <w:ilvl w:val="0"/>
          <w:numId w:val="1001"/>
        </w:numPr>
      </w:pPr>
      <w:r>
        <w:t xml:space="preserve">How does Syriac buffer the 1st person singular object suffix on a Peal perfect verb?</w:t>
      </w:r>
    </w:p>
    <w:p>
      <w:pPr>
        <w:pStyle w:val="Compact"/>
        <w:numPr>
          <w:ilvl w:val="0"/>
          <w:numId w:val="1001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Parq-anī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Break down the components of</w:t>
      </w:r>
      <w:r>
        <w:t xml:space="preserve"> </w:t>
      </w:r>
      <w:r>
        <w:rPr>
          <w:i/>
          <w:iCs/>
        </w:rPr>
        <w:t xml:space="preserve">qaṭlhūn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Why does</w:t>
      </w:r>
      <w:r>
        <w:t xml:space="preserve"> </w:t>
      </w:r>
      <w:r>
        <w:rPr>
          <w:i/>
          <w:iCs/>
        </w:rPr>
        <w:t xml:space="preserve">qṭal</w:t>
      </w:r>
      <w:r>
        <w:t xml:space="preserve"> </w:t>
      </w:r>
      <w:r>
        <w:t xml:space="preserve">become</w:t>
      </w:r>
      <w:r>
        <w:t xml:space="preserve"> </w:t>
      </w:r>
      <w:r>
        <w:rPr>
          <w:i/>
          <w:iCs/>
        </w:rPr>
        <w:t xml:space="preserve">qaṭl-</w:t>
      </w:r>
      <w:r>
        <w:t xml:space="preserve"> </w:t>
      </w:r>
      <w:r>
        <w:t xml:space="preserve">when adding a suffix?</w:t>
      </w:r>
    </w:p>
    <w:p>
      <w:pPr>
        <w:pStyle w:val="Compact"/>
        <w:numPr>
          <w:ilvl w:val="0"/>
          <w:numId w:val="1001"/>
        </w:numPr>
      </w:pPr>
      <w:r>
        <w:t xml:space="preserve">Translate the double-determined phrase:</w:t>
      </w:r>
      <w:r>
        <w:t xml:space="preserve"> </w:t>
      </w:r>
      <w:r>
        <w:rPr>
          <w:i/>
          <w:iCs/>
        </w:rPr>
        <w:t xml:space="preserve">ʾAsyeh Alāhā l-malkā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23d3cc63806c11a5d2877cc7788ac0b71505ddf"/>
    <w:p>
      <w:pPr>
        <w:pStyle w:val="Heading4"/>
      </w:pPr>
      <w:r>
        <w:t xml:space="preserve">Section 2: Demonstratives and Numbers — Overview</w:t>
      </w:r>
    </w:p>
    <w:p>
      <w:pPr>
        <w:pStyle w:val="FirstParagraph"/>
      </w:pPr>
      <w:r>
        <w:t xml:space="preserve">As we wrap up our core tour of Syriac syntax, we encounter the final few connective tissues that hold sentences together: Demonstrative pronouns (this, that, these, those) and Numbers.</w:t>
      </w:r>
    </w:p>
    <w:p>
      <w:pPr>
        <w:pStyle w:val="BodyText"/>
      </w:pPr>
      <w:r>
        <w:rPr>
          <w:b/>
          <w:bCs/>
        </w:rPr>
        <w:t xml:space="preserve">Cross-Linguistic Comparison: Demonstratives</w:t>
      </w:r>
    </w:p>
    <w:p>
      <w:pPr>
        <w:pStyle w:val="BodyText"/>
      </w:pPr>
      <w:r>
        <w:t xml:space="preserve">Semitic languages feature a close-range pointing word (</w:t>
      </w:r>
      <w:r>
        <w:t xml:space="preserve">“this”</w:t>
      </w:r>
      <w:r>
        <w:t xml:space="preserve">) and a far-range pointing word (</w:t>
      </w:r>
      <w:r>
        <w:t xml:space="preserve">“that”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Hebrew</w:t>
      </w:r>
      <w:r>
        <w:t xml:space="preserve">: זֶה (</w:t>
      </w:r>
      <w:r>
        <w:rPr>
          <w:i/>
          <w:iCs/>
        </w:rPr>
        <w:t xml:space="preserve">zeh</w:t>
      </w:r>
      <w:r>
        <w:t xml:space="preserve"> </w:t>
      </w:r>
      <w:r>
        <w:t xml:space="preserve">— this, m), הַהוּא (</w:t>
      </w:r>
      <w:r>
        <w:rPr>
          <w:i/>
          <w:iCs/>
        </w:rPr>
        <w:t xml:space="preserve">hahūʾ</w:t>
      </w:r>
      <w:r>
        <w:t xml:space="preserve"> </w:t>
      </w:r>
      <w:r>
        <w:t xml:space="preserve">— that, 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Arabic</w:t>
      </w:r>
      <w:r>
        <w:t xml:space="preserve">: هَذَا (</w:t>
      </w:r>
      <w:r>
        <w:rPr>
          <w:i/>
          <w:iCs/>
        </w:rPr>
        <w:t xml:space="preserve">hādhā</w:t>
      </w:r>
      <w:r>
        <w:t xml:space="preserve"> </w:t>
      </w:r>
      <w:r>
        <w:t xml:space="preserve">— this, m), ذٰلِكَ (</w:t>
      </w:r>
      <w:r>
        <w:rPr>
          <w:i/>
          <w:iCs/>
        </w:rPr>
        <w:t xml:space="preserve">dhālika</w:t>
      </w:r>
      <w:r>
        <w:t xml:space="preserve"> </w:t>
      </w:r>
      <w:r>
        <w:t xml:space="preserve">— that, 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Syriac</w:t>
      </w:r>
      <w:r>
        <w:t xml:space="preserve">: ܗܢܐ (</w:t>
      </w:r>
      <w:r>
        <w:rPr>
          <w:i/>
          <w:iCs/>
        </w:rPr>
        <w:t xml:space="preserve">hānā</w:t>
      </w:r>
      <w:r>
        <w:t xml:space="preserve"> </w:t>
      </w:r>
      <w:r>
        <w:t xml:space="preserve">— this, m), ܗܘ (</w:t>
      </w:r>
      <w:r>
        <w:rPr>
          <w:i/>
          <w:iCs/>
        </w:rPr>
        <w:t xml:space="preserve">haw</w:t>
      </w:r>
      <w:r>
        <w:t xml:space="preserve"> </w:t>
      </w:r>
      <w:r>
        <w:t xml:space="preserve">— that, m).</w:t>
      </w:r>
    </w:p>
    <w:p>
      <w:pPr>
        <w:pStyle w:val="FirstParagraph"/>
      </w:pPr>
      <w:r>
        <w:rPr>
          <w:i/>
          <w:iCs/>
        </w:rPr>
        <w:t xml:space="preserve">Syriac Trick</w:t>
      </w:r>
      <w:r>
        <w:t xml:space="preserve">: The far demonstrative (</w:t>
      </w:r>
      <w:r>
        <w:t xml:space="preserve">“that”</w:t>
      </w:r>
      <w:r>
        <w:t xml:space="preserve">) is spelled and pronounced exactly like the 3rd person independent pronoun (</w:t>
      </w:r>
      <w:r>
        <w:rPr>
          <w:i/>
          <w:iCs/>
        </w:rPr>
        <w:t xml:space="preserve">hū</w:t>
      </w:r>
      <w:r>
        <w:t xml:space="preserve"> </w:t>
      </w:r>
      <w:r>
        <w:t xml:space="preserve">= he/it;</w:t>
      </w:r>
      <w:r>
        <w:t xml:space="preserve"> </w:t>
      </w:r>
      <w:r>
        <w:rPr>
          <w:i/>
          <w:iCs/>
        </w:rPr>
        <w:t xml:space="preserve">haw</w:t>
      </w:r>
      <w:r>
        <w:t xml:space="preserve"> </w:t>
      </w:r>
      <w:r>
        <w:t xml:space="preserve">= that). Context dictates the meaning.</w:t>
      </w:r>
    </w:p>
    <w:p>
      <w:r>
        <w:pict>
          <v:rect style="width:0;height:1.5pt" o:hralign="center" o:hrstd="t" o:hr="t"/>
        </w:pict>
      </w:r>
    </w:p>
    <w:bookmarkEnd w:id="21"/>
    <w:bookmarkStart w:id="22" w:name="section-3-demonstratives-syntax-rules"/>
    <w:p>
      <w:pPr>
        <w:pStyle w:val="Heading4"/>
      </w:pPr>
      <w:r>
        <w:t xml:space="preserve">Section 3: Demonstratives &amp; Syntax Rules</w:t>
      </w:r>
    </w:p>
    <w:p>
      <w:pPr>
        <w:pStyle w:val="FirstParagraph"/>
      </w:pPr>
      <w:r>
        <w:rPr>
          <w:b/>
          <w:bCs/>
        </w:rPr>
        <w:t xml:space="preserve">1. Pointing Words (Demonstratives)</w:t>
      </w:r>
    </w:p>
    <w:p>
      <w:pPr>
        <w:pStyle w:val="BodyText"/>
      </w:pPr>
      <w:r>
        <w:t xml:space="preserve">Demonstratives in Syriac must agree with the noun they modify in gender and number.</w:t>
      </w:r>
      <w:r>
        <w:t xml:space="preserve"> </w:t>
      </w:r>
      <w:r>
        <w:t xml:space="preserve">Unlike English (which puts</w:t>
      </w:r>
      <w:r>
        <w:t xml:space="preserve"> </w:t>
      </w:r>
      <w:r>
        <w:t xml:space="preserve">“this”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noun:</w:t>
      </w:r>
      <w:r>
        <w:t xml:space="preserve"> </w:t>
      </w:r>
      <w:r>
        <w:t xml:space="preserve">“this king”</w:t>
      </w:r>
      <w:r>
        <w:t xml:space="preserve">), Syriac prefers to place the demonstrative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noun, or even isolated at the front of a sentence.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Malkā hānā</w:t>
      </w:r>
      <w:r>
        <w:t xml:space="preserve"> </w:t>
      </w:r>
      <w:r>
        <w:t xml:space="preserve">= This king (The king, this one).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Malkūttā hādē</w:t>
      </w:r>
      <w:r>
        <w:t xml:space="preserve"> </w:t>
      </w:r>
      <w:r>
        <w:t xml:space="preserve">= This kingdom.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Gabrē hāllēn</w:t>
      </w:r>
      <w:r>
        <w:t xml:space="preserve"> </w:t>
      </w:r>
      <w:r>
        <w:t xml:space="preserve">= These men.</w:t>
      </w:r>
    </w:p>
    <w:p>
      <w:pPr>
        <w:pStyle w:val="FirstParagraph"/>
      </w:pPr>
      <w:r>
        <w:rPr>
          <w:b/>
          <w:bCs/>
        </w:rPr>
        <w:t xml:space="preserve">2. Conditional Clauses (</w:t>
      </w:r>
      <w:r>
        <w:rPr>
          <w:rStyle w:val="VerbatimChar"/>
          <w:b/>
          <w:bCs/>
        </w:rPr>
        <w:t xml:space="preserve">ʾen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Syriac expresses</w:t>
      </w:r>
      <w:r>
        <w:t xml:space="preserve"> </w:t>
      </w:r>
      <w:r>
        <w:t xml:space="preserve">“If X, then Y”</w:t>
      </w:r>
      <w:r>
        <w:t xml:space="preserve"> </w:t>
      </w:r>
      <w:r>
        <w:t xml:space="preserve">using the particle</w:t>
      </w:r>
      <w:r>
        <w:t xml:space="preserve"> </w:t>
      </w:r>
      <w:r>
        <w:rPr>
          <w:i/>
          <w:iCs/>
        </w:rPr>
        <w:t xml:space="preserve">ʾen</w:t>
      </w:r>
      <w:r>
        <w:t xml:space="preserve"> </w:t>
      </w:r>
      <w:r>
        <w:t xml:space="preserve">(if).</w:t>
      </w:r>
      <w:r>
        <w:t xml:space="preserve"> </w:t>
      </w:r>
      <w:r>
        <w:t xml:space="preserve">The</w:t>
      </w:r>
      <w:r>
        <w:t xml:space="preserve"> </w:t>
      </w:r>
      <w:r>
        <w:t xml:space="preserve">“if”</w:t>
      </w:r>
      <w:r>
        <w:t xml:space="preserve"> </w:t>
      </w:r>
      <w:r>
        <w:t xml:space="preserve">half of the sentence is the</w:t>
      </w:r>
      <w:r>
        <w:t xml:space="preserve"> </w:t>
      </w:r>
      <w:r>
        <w:rPr>
          <w:i/>
          <w:iCs/>
        </w:rPr>
        <w:t xml:space="preserve">protasis</w:t>
      </w:r>
      <w:r>
        <w:t xml:space="preserve">, and the</w:t>
      </w:r>
      <w:r>
        <w:t xml:space="preserve"> </w:t>
      </w:r>
      <w:r>
        <w:t xml:space="preserve">“then”</w:t>
      </w:r>
      <w:r>
        <w:t xml:space="preserve"> </w:t>
      </w:r>
      <w:r>
        <w:t xml:space="preserve">half is the</w:t>
      </w:r>
      <w:r>
        <w:t xml:space="preserve"> </w:t>
      </w:r>
      <w:r>
        <w:rPr>
          <w:i/>
          <w:iCs/>
        </w:rPr>
        <w:t xml:space="preserve">apodosis</w:t>
      </w:r>
      <w:r>
        <w:t xml:space="preserve">. Usually, Syriac doesn’t even use a word for</w:t>
      </w:r>
      <w:r>
        <w:t xml:space="preserve"> </w:t>
      </w:r>
      <w:r>
        <w:t xml:space="preserve">“then”</w:t>
      </w:r>
      <w:r>
        <w:t xml:space="preserve">; it simply starts the second clause, often with</w:t>
      </w:r>
      <w:r>
        <w:t xml:space="preserve"> </w:t>
      </w:r>
      <w:r>
        <w:rPr>
          <w:rStyle w:val="VerbatimChar"/>
        </w:rPr>
        <w:t xml:space="preserve">w-</w:t>
      </w:r>
      <w:r>
        <w:t xml:space="preserve"> </w:t>
      </w:r>
      <w:r>
        <w:t xml:space="preserve">(and).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ʾEn teḥzē, teidaʿ</w:t>
      </w:r>
      <w:r>
        <w:t xml:space="preserve"> </w:t>
      </w:r>
      <w:r>
        <w:t xml:space="preserve">(If you see, [then] you will know).</w:t>
      </w:r>
    </w:p>
    <w:p>
      <w:pPr>
        <w:pStyle w:val="FirstParagraph"/>
      </w:pPr>
      <w:r>
        <w:rPr>
          <w:b/>
          <w:bCs/>
        </w:rPr>
        <w:t xml:space="preserve">3. Comparatives (</w:t>
      </w:r>
      <w:r>
        <w:rPr>
          <w:rStyle w:val="VerbatimChar"/>
          <w:b/>
          <w:bCs/>
        </w:rPr>
        <w:t xml:space="preserve">men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Syriac lacks special adjective forms for</w:t>
      </w:r>
      <w:r>
        <w:t xml:space="preserve"> </w:t>
      </w:r>
      <w:r>
        <w:t xml:space="preserve">“bigger,”</w:t>
      </w:r>
      <w:r>
        <w:t xml:space="preserve"> </w:t>
      </w:r>
      <w:r>
        <w:t xml:space="preserve">“faster,”</w:t>
      </w:r>
      <w:r>
        <w:t xml:space="preserve"> </w:t>
      </w:r>
      <w:r>
        <w:t xml:space="preserve">or</w:t>
      </w:r>
      <w:r>
        <w:t xml:space="preserve"> </w:t>
      </w:r>
      <w:r>
        <w:t xml:space="preserve">“better”</w:t>
      </w:r>
      <w:r>
        <w:t xml:space="preserve"> </w:t>
      </w:r>
      <w:r>
        <w:t xml:space="preserve">(like Greek’s -τερος or English’s -er). Instead, it uses the standard adjective and the preposition</w:t>
      </w:r>
      <w:r>
        <w:t xml:space="preserve"> </w:t>
      </w:r>
      <w:r>
        <w:rPr>
          <w:rStyle w:val="VerbatimChar"/>
        </w:rPr>
        <w:t xml:space="preserve">men</w:t>
      </w:r>
      <w:r>
        <w:t xml:space="preserve"> </w:t>
      </w:r>
      <w:r>
        <w:t xml:space="preserve">(from/than).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Nūhrā ṭābā hū men ḥešūḵā</w:t>
      </w:r>
      <w:r>
        <w:t xml:space="preserve"> </w:t>
      </w:r>
      <w:r>
        <w:t xml:space="preserve">(Light is good from darkness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Light is</w:t>
      </w:r>
      <w:r>
        <w:t xml:space="preserve"> </w:t>
      </w:r>
      <w:r>
        <w:rPr>
          <w:b/>
          <w:bCs/>
        </w:rPr>
        <w:t xml:space="preserve">better than</w:t>
      </w:r>
      <w:r>
        <w:t xml:space="preserve"> </w:t>
      </w:r>
      <w:r>
        <w:t xml:space="preserve">darkness).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Rabbā hī men malkūttā</w:t>
      </w:r>
      <w:r>
        <w:t xml:space="preserve"> </w:t>
      </w:r>
      <w:r>
        <w:t xml:space="preserve">(She is great from the kingdom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She is</w:t>
      </w:r>
      <w:r>
        <w:t xml:space="preserve"> </w:t>
      </w:r>
      <w:r>
        <w:rPr>
          <w:b/>
          <w:bCs/>
        </w:rPr>
        <w:t xml:space="preserve">greater than</w:t>
      </w:r>
      <w:r>
        <w:t xml:space="preserve"> </w:t>
      </w:r>
      <w:r>
        <w:t xml:space="preserve">the kingdom).</w:t>
      </w:r>
    </w:p>
    <w:p>
      <w:r>
        <w:pict>
          <v:rect style="width:0;height:1.5pt" o:hralign="center" o:hrstd="t" o:hr="t"/>
        </w:pict>
      </w:r>
    </w:p>
    <w:bookmarkEnd w:id="22"/>
    <w:bookmarkStart w:id="23" w:name="section-4-demonstrative-pronoun-paradigm"/>
    <w:p>
      <w:pPr>
        <w:pStyle w:val="Heading4"/>
      </w:pPr>
      <w:r>
        <w:t xml:space="preserve">Section 4: Demonstrative Pronoun Paradigm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 /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 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 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hādē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(f)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ܗܠܝܢ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hāllēn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 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 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(f)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ܗܢܘܢ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hānōn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ܗܢܝܢ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hānēn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(f)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ction-5-the-numbers-1-10"/>
    <w:p>
      <w:pPr>
        <w:pStyle w:val="Heading4"/>
      </w:pPr>
      <w:r>
        <w:t xml:space="preserve">Section 5: The Numbers 1-10</w:t>
      </w:r>
    </w:p>
    <w:p>
      <w:pPr>
        <w:pStyle w:val="FirstParagraph"/>
      </w:pPr>
      <w:r>
        <w:t xml:space="preserve">Semitic numbers famously exhibit</w:t>
      </w:r>
      <w:r>
        <w:t xml:space="preserve"> </w:t>
      </w:r>
      <w:r>
        <w:t xml:space="preserve">“gender polarity”</w:t>
      </w:r>
      <w:r>
        <w:t xml:space="preserve">—masculine nouns often take what looks like the feminine absolute number ending, and vice versa. However, you only need to recognize them to read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 Form (used with fem nouns)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 Form (used with masc nouns)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ܚܕ (ḥad)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ܚܕܐ (ḥdā)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ܬܪܝܢ (trēn)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ܬܪܬܝܢ (tartēn)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(Two)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ܬܠܬ (tlāt)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ܬܠܬܐ (tlātā)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(Three)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ܐܪܒܥ (ʾarbaʿ)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ܐܪܒܥܐ (ʾarbaʿā)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(Four)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ܚܡܫ (ḥameš)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ܚܡܫܐ (ḥamšā)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ܫܬ (šet)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ܫܬܐ (štā)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ܫܒܥ (šbaʿ)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ܫܒܥܐ (šabʿā)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ܬܡܢܐ (tmānē)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ܬܡܢܝܐ (tmānyā)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ܬܫܥ (tšaʿ)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ܬܫܥܐ (tešʿā)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ܥܣܪ (ʿsar)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ܥܣܪܐ (ʿesrā)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(Ten)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9122da04f3c31178b708a5a0e1af9757fb2b9da"/>
    <w:p>
      <w:pPr>
        <w:pStyle w:val="Heading4"/>
      </w:pPr>
      <w:r>
        <w:t xml:space="preserve">Section 6: Vocabulary (Concepts &amp; Concluding Words)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ܫܪܪܐ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šrārā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truth, 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š-r-r (to be firm). Cf. Heb</w:t>
            </w:r>
            <w:r>
              <w:t xml:space="preserve"> </w:t>
            </w:r>
            <w:r>
              <w:rPr>
                <w:i/>
                <w:iCs/>
              </w:rPr>
              <w:t xml:space="preserve">ʾĕmet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šlāmā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peace, greeting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š-l-m. Heb</w:t>
            </w:r>
            <w:r>
              <w:t xml:space="preserve"> </w:t>
            </w:r>
            <w:r>
              <w:rPr>
                <w:i/>
                <w:iCs/>
              </w:rPr>
              <w:t xml:space="preserve">Shalom</w:t>
            </w:r>
            <w:r>
              <w:t xml:space="preserve">, Arabic</w:t>
            </w:r>
            <w:r>
              <w:t xml:space="preserve"> </w:t>
            </w:r>
            <w:r>
              <w:rPr>
                <w:i/>
                <w:iCs/>
              </w:rPr>
              <w:t xml:space="preserve">Salam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ḥayyē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heavily by John in the 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ʿālmā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world, eternity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and spatial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ܗܟܢ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hākannā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thus, 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ܚܫܘܟܐ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ḥešūḵā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Antonym of</w:t>
            </w:r>
            <w:r>
              <w:t xml:space="preserve"> </w:t>
            </w:r>
            <w:r>
              <w:rPr>
                <w:i/>
                <w:iCs/>
              </w:rPr>
              <w:t xml:space="preserve">nūhrā</w:t>
            </w:r>
            <w:r>
              <w:t xml:space="preserve"> </w:t>
            </w:r>
            <w:r>
              <w:t xml:space="preserve">(light)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šlaḥ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strip off / cast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removing garments or sin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ction-7-the-story-part-12"/>
    <w:p>
      <w:pPr>
        <w:pStyle w:val="Heading4"/>
      </w:pPr>
      <w:r>
        <w:t xml:space="preserve">Section 7: The Story — Part 12</w:t>
      </w:r>
    </w:p>
    <w:p>
      <w:pPr>
        <w:pStyle w:val="FirstParagraph"/>
      </w:pPr>
      <w:r>
        <w:rPr>
          <w:b/>
          <w:bCs/>
        </w:rPr>
        <w:t xml:space="preserve">The Departure</w:t>
      </w:r>
    </w:p>
    <w:p>
      <w:pPr>
        <w:pStyle w:val="BodyText"/>
      </w:pPr>
      <w:r>
        <w:rPr>
          <w:i/>
          <w:iCs/>
        </w:rPr>
        <w:t xml:space="preserve">Narrative note: The conclusion of the initial cycle of Mar Yukhannan’s acts. The king uses a conditional statement (</w:t>
      </w:r>
      <w:r>
        <w:rPr>
          <w:i/>
          <w:iCs/>
        </w:rPr>
        <w:t xml:space="preserve">“If any man…”</w:t>
      </w:r>
      <w:r>
        <w:rPr>
          <w:i/>
          <w:iCs/>
        </w:rPr>
        <w:t xml:space="preserve">) to establish a new decree. The section closes with a demonstrative and thematic</w:t>
      </w:r>
      <w:r>
        <w:rPr>
          <w:i/>
          <w:iCs/>
        </w:rPr>
        <w:t xml:space="preserve"> </w:t>
      </w:r>
      <w:r>
        <w:rPr>
          <w:i/>
          <w:iCs/>
        </w:rPr>
        <w:t xml:space="preserve">“peace”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Sentence 1</w:t>
      </w:r>
    </w:p>
    <w:p>
      <w:pPr>
        <w:pStyle w:val="BodyText"/>
      </w:pPr>
      <w:r>
        <w:t xml:space="preserve">ܟܕ ܐܣܝܗ ܝܘܚܢܢ ܠܡܠܟܐ ܡܠܟܐ ܩܡ</w:t>
      </w:r>
      <w:r>
        <w:t xml:space="preserve"> </w:t>
      </w:r>
      <w:r>
        <w:t xml:space="preserve">kad ʾasy-eh Yūḥannan l-malkā, malkā qām.</w:t>
      </w:r>
      <w:r>
        <w:t xml:space="preserve"> </w:t>
      </w:r>
      <w:r>
        <w:t xml:space="preserve">kad (when) ʾasy-eh (he-healed-him) Yūḥannan (John) l-malkā (to/the-king), malkā (the-king) qām (stood-up).</w:t>
      </w:r>
      <w:r>
        <w:t xml:space="preserve"> </w:t>
      </w:r>
      <w:r>
        <w:t xml:space="preserve">→ When Yukhannan healed the king, the king stood up.</w:t>
      </w:r>
    </w:p>
    <w:p>
      <w:pPr>
        <w:pStyle w:val="BodyText"/>
      </w:pPr>
      <w:r>
        <w:rPr>
          <w:b/>
          <w:bCs/>
        </w:rPr>
        <w:t xml:space="preserve">Sentence 2</w:t>
      </w:r>
    </w:p>
    <w:p>
      <w:pPr>
        <w:pStyle w:val="BodyText"/>
      </w:pPr>
      <w:r>
        <w:t xml:space="preserve">ܘܐܡܪ ܠܥܡܐ ܕܝܠܗ ܗܟܢ</w:t>
      </w:r>
      <w:r>
        <w:t xml:space="preserve"> </w:t>
      </w:r>
      <w:r>
        <w:t xml:space="preserve">w-ʾemar l-ʿammā d-īl-eh hākannā:</w:t>
      </w:r>
      <w:r>
        <w:t xml:space="preserve"> </w:t>
      </w:r>
      <w:r>
        <w:t xml:space="preserve">w-ʾemar (and-said) l-ʿammā (to-the-people) d-īl-eh (which-were-his) hākannā (thus):</w:t>
      </w:r>
      <w:r>
        <w:t xml:space="preserve"> </w:t>
      </w:r>
      <w:r>
        <w:t xml:space="preserve">→ And he said to his people thus:</w:t>
      </w:r>
    </w:p>
    <w:p>
      <w:pPr>
        <w:pStyle w:val="BodyText"/>
      </w:pPr>
      <w:r>
        <w:rPr>
          <w:b/>
          <w:bCs/>
        </w:rPr>
        <w:t xml:space="preserve">Sentence 3</w:t>
      </w:r>
    </w:p>
    <w:p>
      <w:pPr>
        <w:pStyle w:val="BodyText"/>
      </w:pPr>
      <w:r>
        <w:t xml:space="preserve">ܐܢ ܐܝܢܐ ܒܪܢܫܐ ܠܐ ܢܫܠܚ ܚܛܝܬܐ ܕܝܠܗ ܢܩܛܠܘܢܝܗܝ</w:t>
      </w:r>
      <w:r>
        <w:t xml:space="preserve"> </w:t>
      </w:r>
      <w:r>
        <w:t xml:space="preserve">ʾen ʾaynā barnāšā lā nešlaḥ ḥṭīttā d-īl-eh, neqṭlūn-yhy!</w:t>
      </w:r>
      <w:r>
        <w:t xml:space="preserve"> </w:t>
      </w:r>
      <w:r>
        <w:t xml:space="preserve">ʾen (If) ʾaynā (which/any) barnāšā (man) lā (not) nešlaḥ (will-cast-away) ḥṭīttā (sin) d-īl-eh (which-[is]-his), neqṭlūn-yhy (they-will-kill-him)!</w:t>
      </w:r>
      <w:r>
        <w:t xml:space="preserve"> </w:t>
      </w:r>
      <w:r>
        <w:t xml:space="preserve">→</w:t>
      </w:r>
      <w:r>
        <w:t xml:space="preserve"> </w:t>
      </w:r>
      <w:r>
        <w:t xml:space="preserve">“If any man does not cast away his sin, they shall kill him!”</w:t>
      </w:r>
    </w:p>
    <w:p>
      <w:pPr>
        <w:pStyle w:val="BodyText"/>
      </w:pPr>
      <w:r>
        <w:rPr>
          <w:b/>
          <w:bCs/>
        </w:rPr>
        <w:t xml:space="preserve">Sentence 4</w:t>
      </w:r>
    </w:p>
    <w:p>
      <w:pPr>
        <w:pStyle w:val="BodyText"/>
      </w:pPr>
      <w:r>
        <w:t xml:space="preserve">ܝܘܚܢܢ ܐܡܪ ܠܡܠܟܐ ܠܐ ܗܟܢ</w:t>
      </w:r>
      <w:r>
        <w:t xml:space="preserve"> </w:t>
      </w:r>
      <w:r>
        <w:t xml:space="preserve">Yūḥannan ʾemar l-malkā: lā hākannā.</w:t>
      </w:r>
      <w:r>
        <w:t xml:space="preserve"> </w:t>
      </w:r>
      <w:r>
        <w:t xml:space="preserve">Yūḥannan (John) ʾemar (said) l-malkā (to-the-king): lā (not) hākannā (thus/so).</w:t>
      </w:r>
      <w:r>
        <w:t xml:space="preserve"> </w:t>
      </w:r>
      <w:r>
        <w:t xml:space="preserve">→ Yukhannan said to the king:</w:t>
      </w:r>
      <w:r>
        <w:t xml:space="preserve"> </w:t>
      </w:r>
      <w:r>
        <w:t xml:space="preserve">“Not so.”</w:t>
      </w:r>
    </w:p>
    <w:p>
      <w:pPr>
        <w:pStyle w:val="BodyText"/>
      </w:pPr>
      <w:r>
        <w:rPr>
          <w:b/>
          <w:bCs/>
        </w:rPr>
        <w:t xml:space="preserve">Sentence 5</w:t>
      </w:r>
    </w:p>
    <w:p>
      <w:pPr>
        <w:pStyle w:val="BodyText"/>
      </w:pPr>
      <w:r>
        <w:t xml:space="preserve">ܐܠܗܐ ܕܫܪܪܐ ܫܒܩ ܡܢ ܒܝܫܐ</w:t>
      </w:r>
      <w:r>
        <w:t xml:space="preserve"> </w:t>
      </w:r>
      <w:r>
        <w:t xml:space="preserve">Alāhā d-šrārā šbaq men bīšā.</w:t>
      </w:r>
      <w:r>
        <w:t xml:space="preserve"> </w:t>
      </w:r>
      <w:r>
        <w:t xml:space="preserve">Alāhā (God) d-šrārā (of-truth) šbaq (forgave) men (from) bīšā (evil).</w:t>
      </w:r>
      <w:r>
        <w:t xml:space="preserve"> </w:t>
      </w:r>
      <w:r>
        <w:t xml:space="preserve">→</w:t>
      </w:r>
      <w:r>
        <w:t xml:space="preserve"> </w:t>
      </w:r>
      <w:r>
        <w:t xml:space="preserve">“The God of truth forgave the evil.”</w:t>
      </w:r>
    </w:p>
    <w:p>
      <w:pPr>
        <w:pStyle w:val="BodyText"/>
      </w:pPr>
      <w:r>
        <w:rPr>
          <w:b/>
          <w:bCs/>
        </w:rPr>
        <w:t xml:space="preserve">Sentence 6</w:t>
      </w:r>
    </w:p>
    <w:p>
      <w:pPr>
        <w:pStyle w:val="BodyText"/>
      </w:pPr>
      <w:r>
        <w:t xml:space="preserve">ܢܘܗܪܐ ܗܢܐ ܛܒܐ ܗܘ ܡܢ ܚܫܘܟܐ</w:t>
      </w:r>
      <w:r>
        <w:t xml:space="preserve"> </w:t>
      </w:r>
      <w:r>
        <w:t xml:space="preserve">nūhrā hānā ṭābā hū men ḥešūḵā.</w:t>
      </w:r>
      <w:r>
        <w:t xml:space="preserve"> </w:t>
      </w:r>
      <w:r>
        <w:t xml:space="preserve">nūhrā (the-light) hānā (this) ṭābā (good) hū (it-[is]) men (from) ḥešūḵā (darkness).</w:t>
      </w:r>
      <w:r>
        <w:t xml:space="preserve"> </w:t>
      </w:r>
      <w:r>
        <w:t xml:space="preserve">→</w:t>
      </w:r>
      <w:r>
        <w:t xml:space="preserve"> </w:t>
      </w:r>
      <w:r>
        <w:t xml:space="preserve">“This light is better than darkness.”</w:t>
      </w:r>
    </w:p>
    <w:p>
      <w:pPr>
        <w:pStyle w:val="BodyText"/>
      </w:pPr>
      <w:r>
        <w:rPr>
          <w:b/>
          <w:bCs/>
        </w:rPr>
        <w:t xml:space="preserve">Sentence 7</w:t>
      </w:r>
    </w:p>
    <w:p>
      <w:pPr>
        <w:pStyle w:val="BodyText"/>
      </w:pPr>
      <w:r>
        <w:t xml:space="preserve">ܘܫܒܩ ܝܘܚܢܢ ܠܡܠܟܘܬܐ ܒܫܠܡܐ ܘܐܙܠ ܒܐܘܪܚܐ ܕܥܠܡܐ</w:t>
      </w:r>
      <w:r>
        <w:t xml:space="preserve"> </w:t>
      </w:r>
      <w:r>
        <w:t xml:space="preserve">w-šbaq Yūḥannan l-malkūttā b-šlāmā, w-ʾezal b-ʾūrḥā d-ʿālmā.</w:t>
      </w:r>
      <w:r>
        <w:t xml:space="preserve"> </w:t>
      </w:r>
      <w:r>
        <w:t xml:space="preserve">w-šbaq (and-left) Yūḥannan (John) l-malkūttā (the-kingdom) b-šlāmā (in-peace), w-ʾezal (and-went) b-ʾūrḥā (in-way/road) d-ʿālmā (of-eternity/the-world).</w:t>
      </w:r>
      <w:r>
        <w:t xml:space="preserve"> </w:t>
      </w:r>
      <w:r>
        <w:t xml:space="preserve">→ And Yukhannan left the kingdom in peace, and went in the way of eternity.</w:t>
      </w:r>
    </w:p>
    <w:p>
      <w:r>
        <w:pict>
          <v:rect style="width:0;height:1.5pt" o:hralign="center" o:hrstd="t" o:hr="t"/>
        </w:pict>
      </w:r>
    </w:p>
    <w:bookmarkEnd w:id="26"/>
    <w:bookmarkStart w:id="27" w:name="section-8-exercises"/>
    <w:p>
      <w:pPr>
        <w:pStyle w:val="Heading4"/>
      </w:pPr>
      <w:r>
        <w:t xml:space="preserve">Section 8: Exercises</w:t>
      </w:r>
    </w:p>
    <w:p>
      <w:pPr>
        <w:pStyle w:val="FirstParagraph"/>
      </w:pPr>
      <w:r>
        <w:rPr>
          <w:b/>
          <w:bCs/>
        </w:rPr>
        <w:t xml:space="preserve">Exercise 1: Demonstrative &amp; Number Identification</w:t>
      </w:r>
    </w:p>
    <w:p>
      <w:pPr>
        <w:pStyle w:val="BodyText"/>
      </w:pPr>
      <w:r>
        <w:t xml:space="preserve">Identify the gender, number, and meaning of these modifiers.</w:t>
      </w:r>
    </w:p>
    <w:p>
      <w:pPr>
        <w:pStyle w:val="Compact"/>
        <w:numPr>
          <w:ilvl w:val="0"/>
          <w:numId w:val="1006"/>
        </w:numPr>
      </w:pPr>
      <w:r>
        <w:t xml:space="preserve">ܗܕܐ (hādē)</w:t>
      </w:r>
    </w:p>
    <w:p>
      <w:pPr>
        <w:pStyle w:val="Compact"/>
        <w:numPr>
          <w:ilvl w:val="0"/>
          <w:numId w:val="1006"/>
        </w:numPr>
      </w:pPr>
      <w:r>
        <w:t xml:space="preserve">ܬܠܬܐ (tlātā)</w:t>
      </w:r>
    </w:p>
    <w:p>
      <w:pPr>
        <w:pStyle w:val="Compact"/>
        <w:numPr>
          <w:ilvl w:val="0"/>
          <w:numId w:val="1006"/>
        </w:numPr>
      </w:pPr>
      <w:r>
        <w:t xml:space="preserve">ܗܢܘܢ (hānōn)</w:t>
      </w:r>
    </w:p>
    <w:p>
      <w:pPr>
        <w:pStyle w:val="Compact"/>
        <w:numPr>
          <w:ilvl w:val="0"/>
          <w:numId w:val="1006"/>
        </w:numPr>
      </w:pPr>
      <w:r>
        <w:t xml:space="preserve">ܚܕܐ (ḥdā)</w:t>
      </w:r>
    </w:p>
    <w:p>
      <w:pPr>
        <w:pStyle w:val="FirstParagraph"/>
      </w:pPr>
      <w:r>
        <w:rPr>
          <w:b/>
          <w:bCs/>
        </w:rPr>
        <w:t xml:space="preserve">Exercise 2: Comparative Translation</w:t>
      </w:r>
    </w:p>
    <w:p>
      <w:pPr>
        <w:pStyle w:val="BodyText"/>
      </w:pPr>
      <w:r>
        <w:t xml:space="preserve">Translate these sentences using</w:t>
      </w:r>
      <w:r>
        <w:t xml:space="preserve"> </w:t>
      </w:r>
      <w:r>
        <w:rPr>
          <w:rStyle w:val="VerbatimChar"/>
        </w:rPr>
        <w:t xml:space="preserve">men</w:t>
      </w:r>
      <w:r>
        <w:t xml:space="preserve"> </w:t>
      </w:r>
      <w:r>
        <w:t xml:space="preserve">as a comparative.</w:t>
      </w:r>
    </w:p>
    <w:p>
      <w:pPr>
        <w:pStyle w:val="Compact"/>
        <w:numPr>
          <w:ilvl w:val="0"/>
          <w:numId w:val="1007"/>
        </w:numPr>
      </w:pPr>
      <w:r>
        <w:t xml:space="preserve">Alāhā rabbā hū men malkā.</w:t>
      </w:r>
    </w:p>
    <w:p>
      <w:pPr>
        <w:pStyle w:val="Compact"/>
        <w:numPr>
          <w:ilvl w:val="0"/>
          <w:numId w:val="1007"/>
        </w:numPr>
      </w:pPr>
      <w:r>
        <w:t xml:space="preserve">Ḥayyē ṭābīn hennōn men mawtā.</w:t>
      </w:r>
    </w:p>
    <w:p>
      <w:pPr>
        <w:pStyle w:val="Compact"/>
        <w:numPr>
          <w:ilvl w:val="0"/>
          <w:numId w:val="1007"/>
        </w:numPr>
      </w:pPr>
      <w:r>
        <w:t xml:space="preserve">ʾArʿā hādē bīštā hī men šmayyā (heaven).</w:t>
      </w:r>
    </w:p>
    <w:p>
      <w:pPr>
        <w:pStyle w:val="FirstParagraph"/>
      </w:pPr>
      <w:r>
        <w:rPr>
          <w:b/>
          <w:bCs/>
        </w:rPr>
        <w:t xml:space="preserve">Exercise 3: Translation Drill (Syriac → English)</w:t>
      </w:r>
    </w:p>
    <w:p>
      <w:pPr>
        <w:pStyle w:val="BodyText"/>
      </w:pPr>
      <w:r>
        <w:t xml:space="preserve">Translate the following conditional and demonstrative clauses.</w:t>
      </w:r>
    </w:p>
    <w:p>
      <w:pPr>
        <w:pStyle w:val="Compact"/>
        <w:numPr>
          <w:ilvl w:val="0"/>
          <w:numId w:val="1008"/>
        </w:numPr>
      </w:pPr>
      <w:r>
        <w:t xml:space="preserve">ʾEn tešbūq l-Alāhā, neqṭūl lāḵ malkā hānā.</w:t>
      </w:r>
    </w:p>
    <w:p>
      <w:pPr>
        <w:pStyle w:val="Compact"/>
        <w:numPr>
          <w:ilvl w:val="0"/>
          <w:numId w:val="1008"/>
        </w:numPr>
      </w:pPr>
      <w:r>
        <w:t xml:space="preserve">Gabrā haw npal b-kūrā.</w:t>
      </w:r>
    </w:p>
    <w:p>
      <w:pPr>
        <w:pStyle w:val="Compact"/>
        <w:numPr>
          <w:ilvl w:val="0"/>
          <w:numId w:val="1008"/>
        </w:numPr>
      </w:pPr>
      <w:r>
        <w:t xml:space="preserve">W-ʾetaw talmīdē hāllēn l-bayteh.</w:t>
      </w:r>
    </w:p>
    <w:p>
      <w:pPr>
        <w:pStyle w:val="Compact"/>
        <w:numPr>
          <w:ilvl w:val="0"/>
          <w:numId w:val="1008"/>
        </w:numPr>
      </w:pPr>
      <w:r>
        <w:t xml:space="preserve">Lā hākannā ʾemar Yūḥannan b-šrārā.</w:t>
      </w:r>
    </w:p>
    <w:p>
      <w:pPr>
        <w:pStyle w:val="FirstParagraph"/>
      </w:pPr>
      <w:r>
        <w:rPr>
          <w:b/>
          <w:bCs/>
        </w:rPr>
        <w:t xml:space="preserve">Exercise 4: Production Drill (English → Syriac)</w:t>
      </w:r>
    </w:p>
    <w:p>
      <w:pPr>
        <w:pStyle w:val="BodyText"/>
      </w:pPr>
      <w:r>
        <w:t xml:space="preserve">Render the following sentences into Syriac transliteration.</w:t>
      </w:r>
    </w:p>
    <w:p>
      <w:pPr>
        <w:pStyle w:val="Compact"/>
        <w:numPr>
          <w:ilvl w:val="0"/>
          <w:numId w:val="1009"/>
        </w:numPr>
      </w:pPr>
      <w:r>
        <w:t xml:space="preserve">This word (f.sg) is better than that word.</w:t>
      </w:r>
    </w:p>
    <w:p>
      <w:pPr>
        <w:pStyle w:val="Compact"/>
        <w:numPr>
          <w:ilvl w:val="0"/>
          <w:numId w:val="1009"/>
        </w:numPr>
      </w:pPr>
      <w:r>
        <w:t xml:space="preserve">If you (m.pl) hear the voice, you will live (ḥ-y-y, imperfect).</w:t>
      </w:r>
    </w:p>
    <w:p>
      <w:pPr>
        <w:pStyle w:val="Compact"/>
        <w:numPr>
          <w:ilvl w:val="0"/>
          <w:numId w:val="1009"/>
        </w:numPr>
      </w:pPr>
      <w:r>
        <w:t xml:space="preserve">The three men went out from the kingdom. (Three =</w:t>
      </w:r>
      <w:r>
        <w:t xml:space="preserve"> </w:t>
      </w:r>
      <w:r>
        <w:rPr>
          <w:i/>
          <w:iCs/>
        </w:rPr>
        <w:t xml:space="preserve">tlātā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God saved this evil world (</w:t>
      </w:r>
      <w:r>
        <w:rPr>
          <w:i/>
          <w:iCs/>
        </w:rPr>
        <w:t xml:space="preserve">ʿālmā hānā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BodyText"/>
      </w:pPr>
      <w:r>
        <w:t xml:space="preserve">Re-read Section 7 and answer:</w:t>
      </w:r>
    </w:p>
    <w:p>
      <w:pPr>
        <w:pStyle w:val="Compact"/>
        <w:numPr>
          <w:ilvl w:val="0"/>
          <w:numId w:val="1010"/>
        </w:numPr>
      </w:pPr>
      <w:r>
        <w:t xml:space="preserve">What extreme punishment does the king decree for those who do not cast away their sin?</w:t>
      </w:r>
    </w:p>
    <w:p>
      <w:pPr>
        <w:pStyle w:val="Compact"/>
        <w:numPr>
          <w:ilvl w:val="0"/>
          <w:numId w:val="1010"/>
        </w:numPr>
      </w:pPr>
      <w:r>
        <w:t xml:space="preserve">How does Yukhannan correct the king’s theology?</w:t>
      </w:r>
    </w:p>
    <w:p>
      <w:pPr>
        <w:pStyle w:val="Compact"/>
        <w:numPr>
          <w:ilvl w:val="0"/>
          <w:numId w:val="1010"/>
        </w:numPr>
      </w:pPr>
      <w:r>
        <w:t xml:space="preserve">With what emotion or state does Yukhannan depart the kingdom?</w:t>
      </w:r>
    </w:p>
    <w:p>
      <w:r>
        <w:pict>
          <v:rect style="width:0;height:1.5pt" o:hralign="center" o:hrstd="t" o:hr="t"/>
        </w:pict>
      </w:r>
    </w:p>
    <w:bookmarkEnd w:id="27"/>
    <w:bookmarkStart w:id="28" w:name="section-9-answer-key"/>
    <w:p>
      <w:pPr>
        <w:pStyle w:val="Heading4"/>
      </w:pPr>
      <w:r>
        <w:t xml:space="preserve">Section 9: Answer Key</w:t>
      </w:r>
    </w:p>
    <w:p>
      <w:pPr>
        <w:pStyle w:val="FirstParagraph"/>
      </w:pPr>
      <w:r>
        <w:rPr>
          <w:b/>
          <w:bCs/>
        </w:rPr>
        <w:t xml:space="preserve">Section 1 Warm-Up</w:t>
      </w:r>
    </w:p>
    <w:p>
      <w:pPr>
        <w:pStyle w:val="Compact"/>
        <w:numPr>
          <w:ilvl w:val="0"/>
          <w:numId w:val="1011"/>
        </w:numPr>
      </w:pPr>
      <w:r>
        <w:t xml:space="preserve">It inserts a</w:t>
      </w:r>
      <w:r>
        <w:t xml:space="preserve"> </w:t>
      </w:r>
      <w:r>
        <w:rPr>
          <w:i/>
          <w:iCs/>
        </w:rPr>
        <w:t xml:space="preserve">Nun</w:t>
      </w:r>
      <w:r>
        <w:t xml:space="preserve"> </w:t>
      </w:r>
      <w:r>
        <w:t xml:space="preserve">(n) buffer, e.g.,</w:t>
      </w:r>
      <w:r>
        <w:t xml:space="preserve"> </w:t>
      </w:r>
      <w:r>
        <w:rPr>
          <w:i/>
          <w:iCs/>
        </w:rPr>
        <w:t xml:space="preserve">qaṭlanī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Save me! (Imperative).</w:t>
      </w:r>
    </w:p>
    <w:p>
      <w:pPr>
        <w:pStyle w:val="Compact"/>
        <w:numPr>
          <w:ilvl w:val="0"/>
          <w:numId w:val="1011"/>
        </w:numPr>
      </w:pPr>
      <w:r>
        <w:t xml:space="preserve">Root</w:t>
      </w:r>
      <w:r>
        <w:t xml:space="preserve"> </w:t>
      </w:r>
      <w:r>
        <w:rPr>
          <w:i/>
          <w:iCs/>
        </w:rPr>
        <w:t xml:space="preserve">q-ṭ-l</w:t>
      </w:r>
      <w:r>
        <w:t xml:space="preserve"> </w:t>
      </w:r>
      <w:r>
        <w:t xml:space="preserve">(killed), plus 3rd masc plural suffix</w:t>
      </w:r>
      <w:r>
        <w:t xml:space="preserve"> </w:t>
      </w:r>
      <w:r>
        <w:rPr>
          <w:i/>
          <w:iCs/>
        </w:rPr>
        <w:t xml:space="preserve">hūn</w:t>
      </w:r>
      <w:r>
        <w:t xml:space="preserve"> </w:t>
      </w:r>
      <w:r>
        <w:t xml:space="preserve">(them) = He killed them.</w:t>
      </w:r>
    </w:p>
    <w:p>
      <w:pPr>
        <w:pStyle w:val="Compact"/>
        <w:numPr>
          <w:ilvl w:val="0"/>
          <w:numId w:val="1011"/>
        </w:numPr>
      </w:pPr>
      <w:r>
        <w:t xml:space="preserve">The addition of the suffix forces a shift in the stress, causing the vowel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to move forward (</w:t>
      </w:r>
      <w:r>
        <w:rPr>
          <w:i/>
          <w:iCs/>
        </w:rPr>
        <w:t xml:space="preserve">qṭa-leh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qaṭ-leh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“God healed him, the king”</w:t>
      </w:r>
      <w:r>
        <w:t xml:space="preserve"> </w:t>
      </w:r>
      <w:r>
        <w:t xml:space="preserve">(Double determination using the suffix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preposition</w:t>
      </w:r>
      <w:r>
        <w:t xml:space="preserve"> </w:t>
      </w:r>
      <w:r>
        <w:rPr>
          <w:i/>
          <w:iCs/>
        </w:rPr>
        <w:t xml:space="preserve">l-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Exercise 1: Identification</w:t>
      </w:r>
    </w:p>
    <w:p>
      <w:pPr>
        <w:pStyle w:val="Compact"/>
        <w:numPr>
          <w:ilvl w:val="0"/>
          <w:numId w:val="1012"/>
        </w:numPr>
      </w:pPr>
      <w:r>
        <w:t xml:space="preserve">Feminine singular close (This, f)</w:t>
      </w:r>
    </w:p>
    <w:p>
      <w:pPr>
        <w:pStyle w:val="Compact"/>
        <w:numPr>
          <w:ilvl w:val="0"/>
          <w:numId w:val="1012"/>
        </w:numPr>
      </w:pPr>
      <w:r>
        <w:t xml:space="preserve">Number three (used with masc nouns)</w:t>
      </w:r>
    </w:p>
    <w:p>
      <w:pPr>
        <w:pStyle w:val="Compact"/>
        <w:numPr>
          <w:ilvl w:val="0"/>
          <w:numId w:val="1012"/>
        </w:numPr>
      </w:pPr>
      <w:r>
        <w:t xml:space="preserve">Masculine plural far (Those, m)</w:t>
      </w:r>
    </w:p>
    <w:p>
      <w:pPr>
        <w:pStyle w:val="Compact"/>
        <w:numPr>
          <w:ilvl w:val="0"/>
          <w:numId w:val="1012"/>
        </w:numPr>
      </w:pPr>
      <w:r>
        <w:t xml:space="preserve">Number one (f)</w:t>
      </w:r>
    </w:p>
    <w:p>
      <w:pPr>
        <w:pStyle w:val="FirstParagraph"/>
      </w:pPr>
      <w:r>
        <w:rPr>
          <w:b/>
          <w:bCs/>
        </w:rPr>
        <w:t xml:space="preserve">Exercise 2: Comparative Translation</w:t>
      </w:r>
    </w:p>
    <w:p>
      <w:pPr>
        <w:pStyle w:val="Compact"/>
        <w:numPr>
          <w:ilvl w:val="0"/>
          <w:numId w:val="1013"/>
        </w:numPr>
      </w:pPr>
      <w:r>
        <w:t xml:space="preserve">God is greater than the king.</w:t>
      </w:r>
    </w:p>
    <w:p>
      <w:pPr>
        <w:pStyle w:val="Compact"/>
        <w:numPr>
          <w:ilvl w:val="0"/>
          <w:numId w:val="1013"/>
        </w:numPr>
      </w:pPr>
      <w:r>
        <w:t xml:space="preserve">Life is better than death.</w:t>
      </w:r>
    </w:p>
    <w:p>
      <w:pPr>
        <w:pStyle w:val="Compact"/>
        <w:numPr>
          <w:ilvl w:val="0"/>
          <w:numId w:val="1013"/>
        </w:numPr>
      </w:pPr>
      <w:r>
        <w:t xml:space="preserve">This earth is worse than heaven.</w:t>
      </w:r>
    </w:p>
    <w:p>
      <w:pPr>
        <w:pStyle w:val="FirstParagraph"/>
      </w:pPr>
      <w:r>
        <w:rPr>
          <w:b/>
          <w:bCs/>
        </w:rPr>
        <w:t xml:space="preserve">Exercise 3: Translation Drill</w:t>
      </w:r>
    </w:p>
    <w:p>
      <w:pPr>
        <w:pStyle w:val="Compact"/>
        <w:numPr>
          <w:ilvl w:val="0"/>
          <w:numId w:val="1014"/>
        </w:numPr>
      </w:pPr>
      <w:r>
        <w:t xml:space="preserve">If you abandon God, this king will kill you.</w:t>
      </w:r>
    </w:p>
    <w:p>
      <w:pPr>
        <w:pStyle w:val="Compact"/>
        <w:numPr>
          <w:ilvl w:val="0"/>
          <w:numId w:val="1014"/>
        </w:numPr>
      </w:pPr>
      <w:r>
        <w:t xml:space="preserve">That man fell into illness.</w:t>
      </w:r>
    </w:p>
    <w:p>
      <w:pPr>
        <w:pStyle w:val="Compact"/>
        <w:numPr>
          <w:ilvl w:val="0"/>
          <w:numId w:val="1014"/>
        </w:numPr>
      </w:pPr>
      <w:r>
        <w:t xml:space="preserve">And these disciples came to his house.</w:t>
      </w:r>
    </w:p>
    <w:p>
      <w:pPr>
        <w:pStyle w:val="Compact"/>
        <w:numPr>
          <w:ilvl w:val="0"/>
          <w:numId w:val="1014"/>
        </w:numPr>
      </w:pPr>
      <w:r>
        <w:t xml:space="preserve">“Not so”</w:t>
      </w:r>
      <w:r>
        <w:t xml:space="preserve"> </w:t>
      </w:r>
      <w:r>
        <w:t xml:space="preserve">said Yukhannan in truth.</w:t>
      </w:r>
    </w:p>
    <w:p>
      <w:pPr>
        <w:pStyle w:val="FirstParagraph"/>
      </w:pPr>
      <w:r>
        <w:rPr>
          <w:b/>
          <w:bCs/>
        </w:rPr>
        <w:t xml:space="preserve">Exercise 4: Production Drill</w:t>
      </w:r>
    </w:p>
    <w:p>
      <w:pPr>
        <w:pStyle w:val="Compact"/>
        <w:numPr>
          <w:ilvl w:val="0"/>
          <w:numId w:val="1015"/>
        </w:numPr>
      </w:pPr>
      <w:r>
        <w:t xml:space="preserve">Meltā hādē ṭābtā hī men meltā hāy.</w:t>
      </w:r>
    </w:p>
    <w:p>
      <w:pPr>
        <w:pStyle w:val="Compact"/>
        <w:numPr>
          <w:ilvl w:val="0"/>
          <w:numId w:val="1015"/>
        </w:numPr>
      </w:pPr>
      <w:r>
        <w:t xml:space="preserve">ʾEn tešmʿūn qālā, tēḥūn / teḥyūn.</w:t>
      </w:r>
    </w:p>
    <w:p>
      <w:pPr>
        <w:pStyle w:val="Compact"/>
        <w:numPr>
          <w:ilvl w:val="0"/>
          <w:numId w:val="1015"/>
        </w:numPr>
      </w:pPr>
      <w:r>
        <w:t xml:space="preserve">Tlātā gabrīn npaqū men malkūttā.</w:t>
      </w:r>
    </w:p>
    <w:p>
      <w:pPr>
        <w:pStyle w:val="Compact"/>
        <w:numPr>
          <w:ilvl w:val="0"/>
          <w:numId w:val="1015"/>
        </w:numPr>
      </w:pPr>
      <w:r>
        <w:t xml:space="preserve">Alāhā praq l-ʿālmā hānā bīšā.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Compact"/>
        <w:numPr>
          <w:ilvl w:val="0"/>
          <w:numId w:val="1016"/>
        </w:numPr>
      </w:pPr>
      <w:r>
        <w:t xml:space="preserve">They will be killed (</w:t>
      </w:r>
      <w:r>
        <w:rPr>
          <w:i/>
          <w:iCs/>
        </w:rPr>
        <w:t xml:space="preserve">neqṭlūn-yhy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By reminding him that the God of truth forgave the evil (</w:t>
      </w:r>
      <w:r>
        <w:t xml:space="preserve">“Not so,”</w:t>
      </w:r>
      <w:r>
        <w:t xml:space="preserve"> </w:t>
      </w:r>
      <w:r>
        <w:rPr>
          <w:i/>
          <w:iCs/>
        </w:rPr>
        <w:t xml:space="preserve">lā hākannā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In peace (</w:t>
      </w:r>
      <w:r>
        <w:rPr>
          <w:i/>
          <w:iCs/>
        </w:rPr>
        <w:t xml:space="preserve">b-šlāmā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section-10-grammatical-summary"/>
    <w:p>
      <w:pPr>
        <w:pStyle w:val="Heading4"/>
      </w:pPr>
      <w:r>
        <w:t xml:space="preserve">Section 10: Grammatical Summary</w:t>
      </w:r>
    </w:p>
    <w:p>
      <w:pPr>
        <w:pStyle w:val="FirstParagraph"/>
      </w:pPr>
      <w:r>
        <w:rPr>
          <w:b/>
          <w:bCs/>
        </w:rPr>
        <w:t xml:space="preserve">DEMONSTRATIVES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Close (This / These)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 (That / Those)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hānā (m) / hādē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 (m) / hāy (f)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hāllēn (pl)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hānōn (m.pl) / hānēn (f.pl)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CONDITIONALS &amp; COMPARISONS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ʾen</w:t>
            </w:r>
            <w:r>
              <w:t xml:space="preserve"> </w:t>
            </w:r>
            <w:r>
              <w:t xml:space="preserve">(If) + Imperf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ʾen teḥzē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see…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 +</w:t>
            </w:r>
            <w:r>
              <w:t xml:space="preserve"> </w:t>
            </w:r>
            <w:r>
              <w:rPr>
                <w:rStyle w:val="VerbatimChar"/>
              </w:rPr>
              <w:t xml:space="preserve">men</w:t>
            </w:r>
            <w:r>
              <w:t xml:space="preserve"> </w:t>
            </w:r>
            <w:r>
              <w:t xml:space="preserve">(from)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ṭābā men malkā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than the 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Noun + Demonstrative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malkā hānā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king</w:t>
            </w:r>
          </w:p>
        </w:tc>
      </w:tr>
    </w:tbl>
    <w:bookmarkEnd w:id="29"/>
    <w:bookmarkStart w:id="30" w:name="section-11-additional-vocabulary"/>
    <w:p>
      <w:pPr>
        <w:pStyle w:val="Heading4"/>
      </w:pPr>
      <w:r>
        <w:t xml:space="preserve">Section 11: Additional Vocabulary</w:t>
      </w:r>
    </w:p>
    <w:p>
      <w:pPr>
        <w:pStyle w:val="FirstParagraph"/>
      </w:pPr>
      <w:r>
        <w:t xml:space="preserve">The following high-frequency words round out this lesson’s vocabulary to 8 terms.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 (Estrangela)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ܬܪܘܓܡܐ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tregumā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ܐܘܟܡܐ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ʾōkmā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relative/interrogative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ܕܡܢ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that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neg_adv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negation/discourse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ܡܟܢܬܐ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makknatā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place, position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ܚܐܕܝܐ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ḥādyā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numeral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ܚܡܫܐ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ḥammšā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ܥܣܪܐ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ʿesrā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numeral</w:t>
            </w:r>
          </w:p>
        </w:tc>
      </w:tr>
    </w:tbl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2026-10-07T00:36:38Z</dcterms:created>
  <dcterms:modified xsi:type="dcterms:W3CDTF">2026-10-07T00:36:38Z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