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Lesson 0 · Introductory/Optional</w:t>
      </w:r>
      <w:r>
        <w:t xml:space="preserve">The Syriac Alphabet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lesson is supplementary to the 12-lesson course plan. It is recommended for students with no prior exposure to Syriac script. Students who already read Estrangela may proceed directly to Lesson 1.</w:t>
      </w:r>
    </w:p>
    <w:bookmarkStart w:id="28" w:name="X0155c224e0664b5bebb96c0523aa6b2fa9a5c3c"/>
    <w:p>
      <w:pPr>
        <w:pStyle w:val="Heading3"/>
      </w:pPr>
      <w:r>
        <w:t xml:space="preserve">The Alphabet and the Light: The Estrangela Script</w:t>
      </w:r>
    </w:p>
    <w:p>
      <w:r>
        <w:pict>
          <v:rect style="width:0;height:1.5pt" o:hralign="center" o:hrstd="t" o:hr="t"/>
        </w:pict>
      </w:r>
    </w:p>
    <w:bookmarkStart w:id="20" w:name="section-1-introduction-to-the-script"/>
    <w:p>
      <w:pPr>
        <w:pStyle w:val="Heading4"/>
      </w:pPr>
      <w:r>
        <w:t xml:space="preserve">Section 1: Introduction to the Script</w:t>
      </w:r>
    </w:p>
    <w:p>
      <w:pPr>
        <w:pStyle w:val="FirstParagraph"/>
      </w:pPr>
      <w:r>
        <w:t xml:space="preserve">Syriac is written from</w:t>
      </w:r>
      <w:r>
        <w:t xml:space="preserve"> </w:t>
      </w:r>
      <w:r>
        <w:rPr>
          <w:b/>
          <w:bCs/>
        </w:rPr>
        <w:t xml:space="preserve">right to left</w:t>
      </w:r>
      <w:r>
        <w:t xml:space="preserve">. The script used in this course is</w:t>
      </w:r>
      <w:r>
        <w:t xml:space="preserve"> </w:t>
      </w:r>
      <w:r>
        <w:rPr>
          <w:b/>
          <w:bCs/>
        </w:rPr>
        <w:t xml:space="preserve">Estrangela</w:t>
      </w:r>
      <w:r>
        <w:t xml:space="preserve"> </w:t>
      </w:r>
      <w:r>
        <w:t xml:space="preserve">(ܐܣܛܪܢܓܠܐ), meaning</w:t>
      </w:r>
      <w:r>
        <w:t xml:space="preserve"> </w:t>
      </w:r>
      <w:r>
        <w:t xml:space="preserve">“</w:t>
      </w:r>
      <w:r>
        <w:t xml:space="preserve">rounded.</w:t>
      </w:r>
      <w:r>
        <w:t xml:space="preserve">”</w:t>
      </w:r>
      <w:r>
        <w:t xml:space="preserve"> </w:t>
      </w:r>
      <w:r>
        <w:t xml:space="preserve">It is the oldest and most formal of the three Syriac scripts, and it is the primary script used in the earliest manuscripts of the Peshitta and the Acts of the Martyrs.</w:t>
      </w:r>
    </w:p>
    <w:p>
      <w:pPr>
        <w:pStyle w:val="BodyText"/>
      </w:pPr>
      <w:r>
        <w:rPr>
          <w:b/>
          <w:bCs/>
        </w:rPr>
        <w:t xml:space="preserve">Core Principles: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22 Consonants</w:t>
      </w:r>
      <w:r>
        <w:t xml:space="preserve">: All letters are consonants. Vowels are indicated by separate small marks or dots (to be covered in Lesson 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Connecting Letters</w:t>
      </w:r>
      <w:r>
        <w:t xml:space="preserve">: Most letters connect to the preceding and following letters (like cursive or Arabic). However, 8 letters are</w:t>
      </w:r>
      <w:r>
        <w:t xml:space="preserve"> </w:t>
      </w:r>
      <w:r>
        <w:t xml:space="preserve">“</w:t>
      </w:r>
      <w:r>
        <w:t xml:space="preserve">non-joiners</w:t>
      </w:r>
      <w:r>
        <w:t xml:space="preserve">”</w:t>
      </w:r>
      <w:r>
        <w:t xml:space="preserve"> </w:t>
      </w:r>
      <w:r>
        <w:t xml:space="preserve">— they only connect to the letter before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Case</w:t>
      </w:r>
      <w:r>
        <w:t xml:space="preserve">: There are no capital letters.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Alaph as Carrier</w:t>
      </w:r>
      <w:r>
        <w:t xml:space="preserve">: The first letter, Alaph (ܐ), is often a silent carrier for a vowel or a glottal stop.</w:t>
      </w:r>
    </w:p>
    <w:p>
      <w:r>
        <w:pict>
          <v:rect style="width:0;height:1.5pt" o:hralign="center" o:hrstd="t" o:hr="t"/>
        </w:pict>
      </w:r>
    </w:p>
    <w:bookmarkEnd w:id="20"/>
    <w:bookmarkStart w:id="21" w:name="Xa293da3809a97d9bd77a74a59e1108d308e2916"/>
    <w:p>
      <w:pPr>
        <w:pStyle w:val="Heading4"/>
      </w:pPr>
      <w:r>
        <w:t xml:space="preserve">Section 2: The 22 Letters (The Abgad System)</w:t>
      </w:r>
    </w:p>
    <w:p>
      <w:pPr>
        <w:pStyle w:val="FirstParagraph"/>
      </w:pPr>
      <w:r>
        <w:t xml:space="preserve">Syriac letters follow the same order as Hebrew and the ancient</w:t>
      </w:r>
      <w:r>
        <w:t xml:space="preserve"> </w:t>
      </w:r>
      <w:r>
        <w:t xml:space="preserve">“</w:t>
      </w:r>
      <w:r>
        <w:t xml:space="preserve">Abgad</w:t>
      </w:r>
      <w:r>
        <w:t xml:space="preserve">”</w:t>
      </w:r>
      <w:r>
        <w:t xml:space="preserve"> </w:t>
      </w:r>
      <w:r>
        <w:t xml:space="preserve">order of Arabic.</w:t>
      </w:r>
    </w:p>
    <w:p>
      <w:pPr>
        <w:pStyle w:val="BodyText"/>
      </w:pPr>
      <w:r>
        <w:rPr>
          <w:b/>
          <w:bCs/>
        </w:rPr>
        <w:t xml:space="preserve">Letters 1–11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Glottal stop/silent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/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as in</w:t>
            </w:r>
            <w:r>
              <w:t xml:space="preserve"> </w:t>
            </w:r>
            <w:r>
              <w:t xml:space="preserve">‘</w:t>
            </w:r>
            <w:r>
              <w:t xml:space="preserve">boy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/ 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as in</w:t>
            </w:r>
            <w:r>
              <w:t xml:space="preserve"> </w:t>
            </w:r>
            <w:r>
              <w:t xml:space="preserve">‘</w:t>
            </w:r>
            <w:r>
              <w:t xml:space="preserve">go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/ 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as in</w:t>
            </w:r>
            <w:r>
              <w:t xml:space="preserve"> </w:t>
            </w:r>
            <w:r>
              <w:t xml:space="preserve">‘</w:t>
            </w:r>
            <w:r>
              <w:t xml:space="preserve">dog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as in</w:t>
            </w:r>
            <w:r>
              <w:t xml:space="preserve"> </w:t>
            </w:r>
            <w:r>
              <w:t xml:space="preserve">‘</w:t>
            </w:r>
            <w:r>
              <w:t xml:space="preserve">house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as in</w:t>
            </w:r>
            <w:r>
              <w:t xml:space="preserve"> </w:t>
            </w:r>
            <w:r>
              <w:t xml:space="preserve">‘</w:t>
            </w:r>
            <w:r>
              <w:t xml:space="preserve">water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as in</w:t>
            </w:r>
            <w:r>
              <w:t xml:space="preserve"> </w:t>
            </w:r>
            <w:r>
              <w:t xml:space="preserve">‘</w:t>
            </w:r>
            <w:r>
              <w:t xml:space="preserve">zebra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Pharyngeal</w:t>
            </w:r>
            <w:r>
              <w:t xml:space="preserve"> </w:t>
            </w:r>
            <w:r>
              <w:t xml:space="preserve">‘</w:t>
            </w:r>
            <w:r>
              <w:t xml:space="preserve">h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Emphatic</w:t>
            </w:r>
            <w:r>
              <w:t xml:space="preserve"> </w:t>
            </w:r>
            <w:r>
              <w:t xml:space="preserve">‘</w:t>
            </w:r>
            <w:r>
              <w:t xml:space="preserve">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as in</w:t>
            </w:r>
            <w:r>
              <w:t xml:space="preserve"> </w:t>
            </w:r>
            <w:r>
              <w:t xml:space="preserve">‘</w:t>
            </w:r>
            <w:r>
              <w:t xml:space="preserve">yes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/ 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as in</w:t>
            </w:r>
            <w:r>
              <w:t xml:space="preserve"> </w:t>
            </w:r>
            <w:r>
              <w:t xml:space="preserve">‘</w:t>
            </w:r>
            <w:r>
              <w:t xml:space="preserve">king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ك</w:t>
            </w:r>
          </w:p>
        </w:tc>
      </w:tr>
    </w:tbl>
    <w:p>
      <w:pPr>
        <w:pStyle w:val="BodyText"/>
      </w:pPr>
      <w:r>
        <w:rPr>
          <w:b/>
          <w:bCs/>
        </w:rPr>
        <w:t xml:space="preserve">Letters 12–22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as in</w:t>
            </w:r>
            <w:r>
              <w:t xml:space="preserve"> </w:t>
            </w:r>
            <w:r>
              <w:t xml:space="preserve">‘</w:t>
            </w:r>
            <w:r>
              <w:t xml:space="preserve">light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as in</w:t>
            </w:r>
            <w:r>
              <w:t xml:space="preserve"> </w:t>
            </w:r>
            <w:r>
              <w:t xml:space="preserve">‘</w:t>
            </w:r>
            <w:r>
              <w:t xml:space="preserve">man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as in</w:t>
            </w:r>
            <w:r>
              <w:t xml:space="preserve"> </w:t>
            </w:r>
            <w:r>
              <w:t xml:space="preserve">‘</w:t>
            </w:r>
            <w:r>
              <w:t xml:space="preserve">noon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Semkath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as in</w:t>
            </w:r>
            <w:r>
              <w:t xml:space="preserve"> </w:t>
            </w:r>
            <w:r>
              <w:t xml:space="preserve">‘</w:t>
            </w:r>
            <w:r>
              <w:t xml:space="preserve">sun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Pharyngeal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as in</w:t>
            </w:r>
            <w:r>
              <w:t xml:space="preserve"> </w:t>
            </w:r>
            <w:r>
              <w:t xml:space="preserve">‘</w:t>
            </w:r>
            <w:r>
              <w:t xml:space="preserve">paper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Emphatic</w:t>
            </w:r>
            <w:r>
              <w:t xml:space="preserve"> </w:t>
            </w:r>
            <w:r>
              <w:t xml:space="preserve">‘</w:t>
            </w:r>
            <w:r>
              <w:t xml:space="preserve">s</w:t>
            </w:r>
            <w:r>
              <w:t xml:space="preserve">’</w:t>
            </w:r>
            <w:r>
              <w:t xml:space="preserve">/</w:t>
            </w:r>
            <w:r>
              <w:t xml:space="preserve">‘</w:t>
            </w:r>
            <w:r>
              <w:t xml:space="preserve">ts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Uvular</w:t>
            </w:r>
            <w:r>
              <w:t xml:space="preserve"> </w:t>
            </w:r>
            <w:r>
              <w:t xml:space="preserve">‘</w:t>
            </w:r>
            <w:r>
              <w:t xml:space="preserve">k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Rolled</w:t>
            </w:r>
            <w:r>
              <w:t xml:space="preserve"> </w:t>
            </w:r>
            <w:r>
              <w:t xml:space="preserve">‘</w:t>
            </w:r>
            <w:r>
              <w:t xml:space="preserve">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 as in</w:t>
            </w:r>
            <w:r>
              <w:t xml:space="preserve"> </w:t>
            </w:r>
            <w:r>
              <w:t xml:space="preserve">‘</w:t>
            </w:r>
            <w:r>
              <w:t xml:space="preserve">she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/ 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as in</w:t>
            </w:r>
            <w:r>
              <w:t xml:space="preserve"> </w:t>
            </w:r>
            <w:r>
              <w:t xml:space="preserve">‘</w:t>
            </w:r>
            <w:r>
              <w:t xml:space="preserve">tall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ction-3-joiners-vs.-non-joiners"/>
    <w:p>
      <w:pPr>
        <w:pStyle w:val="Heading4"/>
      </w:pPr>
      <w:r>
        <w:t xml:space="preserve">Section 3: Joiners vs. Non-Joiners</w:t>
      </w:r>
    </w:p>
    <w:p>
      <w:pPr>
        <w:pStyle w:val="FirstParagraph"/>
      </w:pPr>
      <w:r>
        <w:t xml:space="preserve">In your reading, you will notice that certain letters never connect to the letter following them. This creates a small visual gap within a word.</w:t>
      </w:r>
    </w:p>
    <w:p>
      <w:pPr>
        <w:pStyle w:val="BodyText"/>
      </w:pPr>
      <w:r>
        <w:rPr>
          <w:b/>
          <w:bCs/>
        </w:rPr>
        <w:t xml:space="preserve">The Non-Joiners (Letters that only connect to the RIGHT):</w:t>
      </w:r>
    </w:p>
    <w:p>
      <w:pPr>
        <w:pStyle w:val="BodyText"/>
      </w:pPr>
      <w:r>
        <w:t xml:space="preserve">ܐ (Alaph), ܕ (Dalath), ܗ (He), ܘ (Waw), ܙ (Zain), ܨ (Sade), ܪ (Rish), ܬ (Taw).</w:t>
      </w:r>
    </w:p>
    <w:p>
      <w:pPr>
        <w:pStyle w:val="BodyText"/>
      </w:pPr>
      <w:r>
        <w:rPr>
          <w:i/>
          <w:iCs/>
        </w:rPr>
        <w:t xml:space="preserve">Note: Taw (ܬ) often appears to connect, but technically follows the non-joiner rule in many formal manuscripts. Dalath (ܕ) and Rish (ܪ) look identical except for a single dot: Dalath has a dot BELOW, Rish has a dot ABOVE.</w:t>
      </w:r>
    </w:p>
    <w:p>
      <w:r>
        <w:pict>
          <v:rect style="width:0;height:1.5pt" o:hralign="center" o:hrstd="t" o:hr="t"/>
        </w:pict>
      </w:r>
    </w:p>
    <w:bookmarkEnd w:id="22"/>
    <w:bookmarkStart w:id="23" w:name="Xa7a666c9d07dd2d978697f56581b7ab5b4a5880"/>
    <w:p>
      <w:pPr>
        <w:pStyle w:val="Heading4"/>
      </w:pPr>
      <w:r>
        <w:t xml:space="preserve">Section 4: Practice Table — Visual Recognition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ܐܠܗܐ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Alāhā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Alaph (NJ) + Lamad + He (NJ) + Alaph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ܡܠܟܐ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 + Lamad + Kaph + Alaph (NJ)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Alaph (NJ) + Rish (NJ) + ʿe + Alaph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 + Waw (NJ) + He (NJ) + Rish (NJ) + Alaph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ܝܘܚܢܢ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Yūḥannan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Yodh + Waw (NJ) + Heth + Nun + Nun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ction-5-the-story-part-0"/>
    <w:p>
      <w:pPr>
        <w:pStyle w:val="Heading4"/>
      </w:pPr>
      <w:r>
        <w:t xml:space="preserve">Section 5: The Story — Part 0</w:t>
      </w:r>
    </w:p>
    <w:p>
      <w:pPr>
        <w:pStyle w:val="FirstParagraph"/>
      </w:pPr>
      <w:r>
        <w:rPr>
          <w:b/>
          <w:bCs/>
        </w:rPr>
        <w:t xml:space="preserve">The Scribe’s Beginning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story in this introductory lesson (</w:t>
      </w:r>
      <w:r>
        <w:t xml:space="preserve">‘</w:t>
      </w:r>
      <w:r>
        <w:t xml:space="preserve">The Scribe’s Beginning</w:t>
      </w:r>
      <w:r>
        <w:t xml:space="preserve">’</w:t>
      </w:r>
      <w:r>
        <w:t xml:space="preserve">) is a standalone narrative used to practice the alphabet. The main course narrative (The Acts of Mar Yukhannan) begins in Lesson 1.</w:t>
      </w:r>
    </w:p>
    <w:p>
      <w:pPr>
        <w:pStyle w:val="FirstParagraph"/>
      </w:pPr>
      <w:r>
        <w:rPr>
          <w:i/>
          <w:iCs/>
        </w:rPr>
        <w:t xml:space="preserve">Narrative note: Before the Acts of Mar Yukhannan begin, we see the scribe, Addai, preparing the parchment. This part introduces the visual rhythm of the script.</w:t>
      </w:r>
    </w:p>
    <w:p>
      <w:pPr>
        <w:pStyle w:val="BodyText"/>
      </w:pPr>
      <w:r>
        <w:t xml:space="preserve">ܐܢܐ ܥܕܝ ܣܦܪܐ</w:t>
      </w:r>
      <w:r>
        <w:t xml:space="preserve"> </w:t>
      </w:r>
      <w:r>
        <w:t xml:space="preserve">ʾenā ʿAdday sāp̄rā.</w:t>
      </w:r>
      <w:r>
        <w:t xml:space="preserve"> </w:t>
      </w:r>
      <w:r>
        <w:t xml:space="preserve">ʾenā (I) ʿAdday (Addai) sāp̄rā (the-scribe)</w:t>
      </w:r>
      <w:r>
        <w:t xml:space="preserve"> </w:t>
      </w:r>
      <w:r>
        <w:t xml:space="preserve">I am Addai the scribe.</w:t>
      </w:r>
    </w:p>
    <w:p>
      <w:pPr>
        <w:pStyle w:val="BodyText"/>
      </w:pPr>
      <w:r>
        <w:t xml:space="preserve">ܟܬܒ ܐܢܐ ܡܠܬܐ ܕܐܠܗܐ</w:t>
      </w:r>
      <w:r>
        <w:t xml:space="preserve"> </w:t>
      </w:r>
      <w:r>
        <w:t xml:space="preserve">kāteb ʾenā meltā d-Alāhā.</w:t>
      </w:r>
      <w:r>
        <w:t xml:space="preserve"> </w:t>
      </w:r>
      <w:r>
        <w:t xml:space="preserve">kāteb (writing) ʾenā (I) meltā (the-word) d- (of) Alāhā (God)</w:t>
      </w:r>
      <w:r>
        <w:t xml:space="preserve"> </w:t>
      </w:r>
      <w:r>
        <w:t xml:space="preserve">I am writing the word of God.</w:t>
      </w:r>
    </w:p>
    <w:p>
      <w:pPr>
        <w:pStyle w:val="BodyText"/>
      </w:pPr>
      <w:r>
        <w:t xml:space="preserve">ܗܢܘ ܟܬܒܐ ܕܝܘܚܢܢ</w:t>
      </w:r>
      <w:r>
        <w:t xml:space="preserve"> </w:t>
      </w:r>
      <w:r>
        <w:t xml:space="preserve">hannū ktābā d-Yūḥannan.</w:t>
      </w:r>
      <w:r>
        <w:t xml:space="preserve"> </w:t>
      </w:r>
      <w:r>
        <w:t xml:space="preserve">hannū (this-is) ktābā (the-writing/book) d- (of) Yūḥannan (John)</w:t>
      </w:r>
      <w:r>
        <w:t xml:space="preserve"> </w:t>
      </w:r>
      <w:r>
        <w:t xml:space="preserve">This is the book of Yukhannan.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6-exercises"/>
    <w:p>
      <w:pPr>
        <w:pStyle w:val="Heading4"/>
      </w:pPr>
      <w:r>
        <w:t xml:space="preserve">Section 6: Exercises</w:t>
      </w:r>
    </w:p>
    <w:p>
      <w:pPr>
        <w:pStyle w:val="FirstParagraph"/>
      </w:pPr>
      <w:r>
        <w:rPr>
          <w:b/>
          <w:bCs/>
        </w:rPr>
        <w:t xml:space="preserve">Exercise 1: Alphabet Order</w:t>
      </w:r>
    </w:p>
    <w:p>
      <w:pPr>
        <w:pStyle w:val="BodyText"/>
      </w:pPr>
      <w:r>
        <w:t xml:space="preserve">Write the following three letters in their Abgad sequence (the order used in the table in Section 2).</w:t>
      </w:r>
    </w:p>
    <w:p>
      <w:pPr>
        <w:pStyle w:val="Compact"/>
        <w:numPr>
          <w:ilvl w:val="0"/>
          <w:numId w:val="1002"/>
        </w:numPr>
      </w:pPr>
      <w:r>
        <w:t xml:space="preserve">ܓ , ܐ , ܒ</w:t>
      </w:r>
    </w:p>
    <w:p>
      <w:pPr>
        <w:pStyle w:val="Compact"/>
        <w:numPr>
          <w:ilvl w:val="0"/>
          <w:numId w:val="1002"/>
        </w:numPr>
      </w:pPr>
      <w:r>
        <w:t xml:space="preserve">ܝ , ܚ , ܛ</w:t>
      </w:r>
    </w:p>
    <w:p>
      <w:pPr>
        <w:pStyle w:val="Compact"/>
        <w:numPr>
          <w:ilvl w:val="0"/>
          <w:numId w:val="1002"/>
        </w:numPr>
      </w:pPr>
      <w:r>
        <w:t xml:space="preserve">ܪ , ܩ , ܫ</w:t>
      </w:r>
    </w:p>
    <w:p>
      <w:pPr>
        <w:pStyle w:val="FirstParagraph"/>
      </w:pPr>
      <w:r>
        <w:rPr>
          <w:b/>
          <w:bCs/>
        </w:rPr>
        <w:t xml:space="preserve">Exercise 2: Identify the Non-Joiners</w:t>
      </w:r>
    </w:p>
    <w:p>
      <w:pPr>
        <w:pStyle w:val="BodyText"/>
      </w:pPr>
      <w:r>
        <w:t xml:space="preserve">In the word</w:t>
      </w:r>
      <w:r>
        <w:t xml:space="preserve"> </w:t>
      </w:r>
      <w:r>
        <w:rPr>
          <w:b/>
          <w:bCs/>
        </w:rPr>
        <w:t xml:space="preserve">ܢܘܗܪܐ</w:t>
      </w:r>
      <w:r>
        <w:t xml:space="preserve"> </w:t>
      </w:r>
      <w:r>
        <w:t xml:space="preserve">(nūhrā, Light), which letters are non-joiners (do not connect to the letter on their left)?</w:t>
      </w:r>
    </w:p>
    <w:p>
      <w:pPr>
        <w:pStyle w:val="BodyText"/>
      </w:pPr>
      <w:r>
        <w:rPr>
          <w:b/>
          <w:bCs/>
        </w:rPr>
        <w:t xml:space="preserve">Exercise 3: Transcription Practice</w:t>
      </w:r>
    </w:p>
    <w:p>
      <w:pPr>
        <w:pStyle w:val="BodyText"/>
      </w:pPr>
      <w:r>
        <w:t xml:space="preserve">Write out the Syriac letters for the following names based on Section 2:</w:t>
      </w:r>
    </w:p>
    <w:p>
      <w:pPr>
        <w:pStyle w:val="Compact"/>
        <w:numPr>
          <w:ilvl w:val="0"/>
          <w:numId w:val="1003"/>
        </w:numPr>
      </w:pPr>
      <w:r>
        <w:t xml:space="preserve">M-L-K-A (King)</w:t>
      </w:r>
    </w:p>
    <w:p>
      <w:pPr>
        <w:pStyle w:val="Compact"/>
        <w:numPr>
          <w:ilvl w:val="0"/>
          <w:numId w:val="1003"/>
        </w:numPr>
      </w:pPr>
      <w:r>
        <w:t xml:space="preserve">A-L-H-A (God)</w:t>
      </w:r>
    </w:p>
    <w:p>
      <w:pPr>
        <w:pStyle w:val="Compact"/>
        <w:numPr>
          <w:ilvl w:val="0"/>
          <w:numId w:val="1003"/>
        </w:numPr>
      </w:pPr>
      <w:r>
        <w:t xml:space="preserve">Y-W-H-N-N (Yukhannan / John)</w:t>
      </w:r>
    </w:p>
    <w:p>
      <w:pPr>
        <w:pStyle w:val="FirstParagraph"/>
      </w:pPr>
      <w:r>
        <w:rPr>
          <w:b/>
          <w:bCs/>
        </w:rPr>
        <w:t xml:space="preserve">Exercise 4: Directional Awareness</w:t>
      </w:r>
    </w:p>
    <w:p>
      <w:pPr>
        <w:pStyle w:val="BodyText"/>
      </w:pPr>
      <w:r>
        <w:t xml:space="preserve">If you are reading the word</w:t>
      </w:r>
      <w:r>
        <w:t xml:space="preserve"> </w:t>
      </w:r>
      <w:r>
        <w:rPr>
          <w:b/>
          <w:bCs/>
        </w:rPr>
        <w:t xml:space="preserve">ܐܠܗܐ</w:t>
      </w:r>
      <w:r>
        <w:t xml:space="preserve">, which letter do you read first (the one on the far right or the far left)?</w:t>
      </w:r>
    </w:p>
    <w:p>
      <w:r>
        <w:pict>
          <v:rect style="width:0;height:1.5pt" o:hralign="center" o:hrstd="t" o:hr="t"/>
        </w:pict>
      </w:r>
    </w:p>
    <w:bookmarkEnd w:id="25"/>
    <w:bookmarkStart w:id="26" w:name="section-7-answer-key"/>
    <w:p>
      <w:pPr>
        <w:pStyle w:val="Heading4"/>
      </w:pPr>
      <w:r>
        <w:t xml:space="preserve">Section 7: Answer Key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Compact"/>
        <w:numPr>
          <w:ilvl w:val="0"/>
          <w:numId w:val="1004"/>
        </w:numPr>
      </w:pPr>
      <w:r>
        <w:t xml:space="preserve">ܐ , ܒ , ܓ (A-B-G)</w:t>
      </w:r>
    </w:p>
    <w:p>
      <w:pPr>
        <w:pStyle w:val="Compact"/>
        <w:numPr>
          <w:ilvl w:val="0"/>
          <w:numId w:val="1004"/>
        </w:numPr>
      </w:pPr>
      <w:r>
        <w:t xml:space="preserve">ܚ , ܛ , ܝ (H-T-Y)</w:t>
      </w:r>
    </w:p>
    <w:p>
      <w:pPr>
        <w:pStyle w:val="Compact"/>
        <w:numPr>
          <w:ilvl w:val="0"/>
          <w:numId w:val="1004"/>
        </w:numPr>
      </w:pPr>
      <w:r>
        <w:t xml:space="preserve">ܩ , ܪ , ܫ (Q-R-S)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BodyText"/>
      </w:pPr>
      <w:r>
        <w:t xml:space="preserve">ܘ (Waw), ܗ (He), ܪ (Rish), ܐ (Alaph). All of these stop the cursive connection.</w:t>
      </w:r>
    </w:p>
    <w:p>
      <w:pPr>
        <w:pStyle w:val="BodyText"/>
      </w:pPr>
      <w:r>
        <w:rPr>
          <w:b/>
          <w:bCs/>
        </w:rPr>
        <w:t xml:space="preserve">Exercise 3</w:t>
      </w:r>
    </w:p>
    <w:p>
      <w:pPr>
        <w:pStyle w:val="Compact"/>
        <w:numPr>
          <w:ilvl w:val="0"/>
          <w:numId w:val="1005"/>
        </w:numPr>
      </w:pPr>
      <w:r>
        <w:t xml:space="preserve">ܡܠܟܐ</w:t>
      </w:r>
    </w:p>
    <w:p>
      <w:pPr>
        <w:pStyle w:val="Compact"/>
        <w:numPr>
          <w:ilvl w:val="0"/>
          <w:numId w:val="1005"/>
        </w:numPr>
      </w:pPr>
      <w:r>
        <w:t xml:space="preserve">ܐܠܗܐ</w:t>
      </w:r>
    </w:p>
    <w:p>
      <w:pPr>
        <w:pStyle w:val="Compact"/>
        <w:numPr>
          <w:ilvl w:val="0"/>
          <w:numId w:val="1005"/>
        </w:numPr>
      </w:pPr>
      <w:r>
        <w:t xml:space="preserve">ܝܘܚܢܢ</w:t>
      </w:r>
    </w:p>
    <w:p>
      <w:pPr>
        <w:pStyle w:val="FirstParagraph"/>
      </w:pPr>
      <w:r>
        <w:rPr>
          <w:b/>
          <w:bCs/>
        </w:rPr>
        <w:t xml:space="preserve">Exercise 4</w:t>
      </w:r>
    </w:p>
    <w:p>
      <w:pPr>
        <w:pStyle w:val="BodyText"/>
      </w:pPr>
      <w:r>
        <w:t xml:space="preserve">The letter on the far RIGHT (ܐ - Alaph).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additional-vocabulary"/>
    <w:p>
      <w:pPr>
        <w:pStyle w:val="Heading4"/>
      </w:pPr>
      <w:r>
        <w:t xml:space="preserve">Section 8: Additional Vocabulary</w:t>
      </w:r>
    </w:p>
    <w:p>
      <w:pPr>
        <w:pStyle w:val="FirstParagraph"/>
      </w:pPr>
      <w:r>
        <w:t xml:space="preserve">The 22 letter names learned in Section 2 (Alaph, Beth, Gamal … Taw) count as the first 22 vocabulary items of this lesson. The 8 words below complete the set of 30, all drawn from the world of scribal culture that frames this course.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Estrangela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Gender/Type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ܐܣܛܪܢܓܠܐ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Rounded</w:t>
            </w:r>
            <w:r>
              <w:t xml:space="preserve">”</w:t>
            </w:r>
            <w:r>
              <w:t xml:space="preserve"> </w:t>
            </w:r>
            <w:r>
              <w:t xml:space="preserve">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ܣܦܪܐ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sāp̄rā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Scribe, 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ܟܬܒܐ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ktābā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Book, scripture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ܡܓܠܬܐ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megalltā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ܩܪܨܐ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qarṣā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Parchment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Pen, 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dīyūtā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ܢܡܘܣܐ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nāmūsā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 (from Gk Nomos)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2026-10-06T22:57:48Z</dcterms:created>
  <dcterms:modified xsi:type="dcterms:W3CDTF">2026-10-06T22:57:48Z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