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lesson-2"/>
    <w:p>
      <w:pPr>
        <w:pStyle w:val="Heading2"/>
      </w:pPr>
      <w:r>
        <w:t xml:space="preserve">LESSON 2</w:t>
      </w:r>
    </w:p>
    <w:bookmarkStart w:id="31" w:name="Xbbd29d30b57ae3e35355623a773d8ea109b74c7"/>
    <w:p>
      <w:pPr>
        <w:pStyle w:val="Heading3"/>
      </w:pPr>
      <w:r>
        <w:t xml:space="preserve">The Narrative Present: Participles and Enclitics</w:t>
      </w:r>
    </w:p>
    <w:p>
      <w:r>
        <w:pict>
          <v:rect style="width:0;height:1.5pt" o:hralign="center" o:hrstd="t" o:hr="t"/>
        </w:pict>
      </w:r>
    </w:p>
    <w:bookmarkStart w:id="20" w:name="section-1-review-of-lesson-1"/>
    <w:p>
      <w:pPr>
        <w:pStyle w:val="Heading4"/>
      </w:pPr>
      <w:r>
        <w:t xml:space="preserve">Section 1: Review of Lesson 1</w:t>
      </w:r>
    </w:p>
    <w:p>
      <w:pPr>
        <w:pStyle w:val="FirstParagraph"/>
      </w:pPr>
      <w:r>
        <w:rPr>
          <w:b/>
          <w:bCs/>
        </w:rPr>
        <w:t xml:space="preserve">Quick Summary</w:t>
      </w:r>
    </w:p>
    <w:p>
      <w:pPr>
        <w:pStyle w:val="BodyText"/>
      </w:pPr>
      <w:r>
        <w:t xml:space="preserve">In Lesson 1, we established the basic building blocks of Syriac syntax. We learned that Syriac sentences do not strictly require a</w:t>
      </w:r>
      <w:r>
        <w:t xml:space="preserve"> </w:t>
      </w:r>
      <w:r>
        <w:t xml:space="preserve">“</w:t>
      </w:r>
      <w:r>
        <w:t xml:space="preserve">to be</w:t>
      </w:r>
      <w:r>
        <w:t xml:space="preserve">”</w:t>
      </w:r>
      <w:r>
        <w:t xml:space="preserve"> </w:t>
      </w:r>
      <w:r>
        <w:t xml:space="preserve">verb; rather, placing a subject and predicate side-by-side with a matching independent pronoun acts as an equational sentence (e.g.,</w:t>
      </w:r>
      <w:r>
        <w:t xml:space="preserve"> </w:t>
      </w:r>
      <w:r>
        <w:rPr>
          <w:i/>
          <w:iCs/>
        </w:rPr>
        <w:t xml:space="preserve">Malkā hū ṭābā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The king [is] good</w:t>
      </w:r>
      <w:r>
        <w:t xml:space="preserve">”</w:t>
      </w:r>
      <w:r>
        <w:t xml:space="preserve">). We also looked at the absolute versus empathic states of nouns, with the emphatic ending in</w:t>
      </w:r>
      <w:r>
        <w:t xml:space="preserve"> </w:t>
      </w:r>
      <w:r>
        <w:rPr>
          <w:rStyle w:val="VerbatimChar"/>
        </w:rPr>
        <w:t xml:space="preserve">ā</w:t>
      </w:r>
      <w:r>
        <w:t xml:space="preserve"> </w:t>
      </w:r>
      <w:r>
        <w:t xml:space="preserve">(Alaph) acting as the default dictionary form.</w:t>
      </w:r>
    </w:p>
    <w:p>
      <w:pPr>
        <w:pStyle w:val="BodyText"/>
      </w:pPr>
      <w:r>
        <w:rPr>
          <w:b/>
          <w:bCs/>
        </w:rPr>
        <w:t xml:space="preserve">5-Question Warm-Up Drill</w:t>
      </w:r>
    </w:p>
    <w:p>
      <w:pPr>
        <w:pStyle w:val="BodyText"/>
      </w:pPr>
      <w:r>
        <w:rPr>
          <w:i/>
          <w:iCs/>
        </w:rPr>
        <w:t xml:space="preserve">(Answers in Section 9)</w:t>
      </w:r>
    </w:p>
    <w:p>
      <w:pPr>
        <w:pStyle w:val="Compact"/>
        <w:numPr>
          <w:ilvl w:val="0"/>
          <w:numId w:val="1001"/>
        </w:numPr>
      </w:pPr>
      <w:r>
        <w:t xml:space="preserve">Translate:</w:t>
      </w:r>
      <w:r>
        <w:t xml:space="preserve"> </w:t>
      </w:r>
      <w:r>
        <w:rPr>
          <w:i/>
          <w:iCs/>
        </w:rPr>
        <w:t xml:space="preserve">Alāhā rabbā hū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Syriac absolute state for</w:t>
      </w:r>
      <w:r>
        <w:t xml:space="preserve"> </w:t>
      </w:r>
      <w:r>
        <w:t xml:space="preserve">“</w:t>
      </w:r>
      <w:r>
        <w:t xml:space="preserve">word</w:t>
      </w:r>
      <w:r>
        <w:t xml:space="preserve">”</w:t>
      </w:r>
      <w:r>
        <w:t xml:space="preserve"> </w:t>
      </w:r>
      <w:r>
        <w:t xml:space="preserve">(from</w:t>
      </w:r>
      <w:r>
        <w:t xml:space="preserve"> </w:t>
      </w:r>
      <w:r>
        <w:rPr>
          <w:i/>
          <w:iCs/>
        </w:rPr>
        <w:t xml:space="preserve">meltā</w:t>
      </w:r>
      <w:r>
        <w:t xml:space="preserve">)?</w:t>
      </w:r>
    </w:p>
    <w:p>
      <w:pPr>
        <w:pStyle w:val="Compact"/>
        <w:numPr>
          <w:ilvl w:val="0"/>
          <w:numId w:val="1001"/>
        </w:numPr>
      </w:pPr>
      <w:r>
        <w:t xml:space="preserve">How do you say</w:t>
      </w:r>
      <w:r>
        <w:t xml:space="preserve"> </w:t>
      </w:r>
      <w:r>
        <w:t xml:space="preserve">“</w:t>
      </w:r>
      <w:r>
        <w:t xml:space="preserve">We</w:t>
      </w:r>
      <w:r>
        <w:t xml:space="preserve">”</w:t>
      </w:r>
      <w:r>
        <w:t xml:space="preserve"> </w:t>
      </w:r>
      <w:r>
        <w:t xml:space="preserve">in Syriac?</w:t>
      </w:r>
    </w:p>
    <w:p>
      <w:pPr>
        <w:pStyle w:val="Compact"/>
        <w:numPr>
          <w:ilvl w:val="0"/>
          <w:numId w:val="1001"/>
        </w:numPr>
      </w:pPr>
      <w:r>
        <w:t xml:space="preserve">What particle is used to express</w:t>
      </w:r>
      <w:r>
        <w:t xml:space="preserve"> </w:t>
      </w:r>
      <w:r>
        <w:t xml:space="preserve">“</w:t>
      </w:r>
      <w:r>
        <w:t xml:space="preserve">of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who</w:t>
      </w:r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w:r>
        <w:t xml:space="preserve">that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In</w:t>
      </w:r>
      <w:r>
        <w:t xml:space="preserve"> </w:t>
      </w:r>
      <w:r>
        <w:rPr>
          <w:i/>
          <w:iCs/>
        </w:rPr>
        <w:t xml:space="preserve">Malkūttā d-Alāhā hī</w:t>
      </w:r>
      <w:r>
        <w:t xml:space="preserve">, why is the pronoun</w:t>
      </w:r>
      <w:r>
        <w:t xml:space="preserve"> </w:t>
      </w:r>
      <w:r>
        <w:rPr>
          <w:i/>
          <w:iCs/>
        </w:rPr>
        <w:t xml:space="preserve">hī</w:t>
      </w:r>
      <w:r>
        <w:t xml:space="preserve"> </w:t>
      </w:r>
      <w:r>
        <w:t xml:space="preserve">(she) used instead of</w:t>
      </w:r>
      <w:r>
        <w:t xml:space="preserve"> </w:t>
      </w:r>
      <w:r>
        <w:rPr>
          <w:i/>
          <w:iCs/>
        </w:rPr>
        <w:t xml:space="preserve">hū</w:t>
      </w:r>
      <w:r>
        <w:t xml:space="preserve"> </w:t>
      </w:r>
      <w:r>
        <w:t xml:space="preserve">(he)?</w:t>
      </w:r>
    </w:p>
    <w:p>
      <w:r>
        <w:pict>
          <v:rect style="width:0;height:1.5pt" o:hralign="center" o:hrstd="t" o:hr="t"/>
        </w:pict>
      </w:r>
    </w:p>
    <w:bookmarkEnd w:id="20"/>
    <w:bookmarkStart w:id="21" w:name="X2a7f47566e2cfb216b52aa9cd4cdc2098a633c6"/>
    <w:p>
      <w:pPr>
        <w:pStyle w:val="Heading4"/>
      </w:pPr>
      <w:r>
        <w:t xml:space="preserve">Section 2: The Participle as Present Tense — Overview</w:t>
      </w:r>
    </w:p>
    <w:p>
      <w:pPr>
        <w:pStyle w:val="FirstParagraph"/>
      </w:pPr>
      <w:r>
        <w:t xml:space="preserve">In Indo-European languages like English, and Greek, the</w:t>
      </w:r>
      <w:r>
        <w:t xml:space="preserve"> </w:t>
      </w:r>
      <w:r>
        <w:t xml:space="preserve">“</w:t>
      </w:r>
      <w:r>
        <w:t xml:space="preserve">present tense</w:t>
      </w:r>
      <w:r>
        <w:t xml:space="preserve">”</w:t>
      </w:r>
      <w:r>
        <w:t xml:space="preserve"> </w:t>
      </w:r>
      <w:r>
        <w:t xml:space="preserve">is a fully conjugated finite verb (e.g.,</w:t>
      </w:r>
      <w:r>
        <w:t xml:space="preserve"> </w:t>
      </w:r>
      <w:r>
        <w:t xml:space="preserve">“</w:t>
      </w:r>
      <w:r>
        <w:t xml:space="preserve">I walk</w:t>
      </w:r>
      <w:r>
        <w:t xml:space="preserve">”</w:t>
      </w:r>
      <w:r>
        <w:t xml:space="preserve">, περιπατῶ). Participles are verbal adjectives (e.g.,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rPr>
          <w:i/>
          <w:iCs/>
        </w:rPr>
        <w:t xml:space="preserve">walking</w:t>
      </w:r>
      <w:r>
        <w:t xml:space="preserve"> </w:t>
      </w:r>
      <w:r>
        <w:t xml:space="preserve">man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In Aramaic and Syriac, the</w:t>
      </w:r>
      <w:r>
        <w:t xml:space="preserve"> </w:t>
      </w:r>
      <w:r>
        <w:rPr>
          <w:b/>
          <w:bCs/>
        </w:rPr>
        <w:t xml:space="preserve">active participle</w:t>
      </w:r>
      <w:r>
        <w:t xml:space="preserve"> </w:t>
      </w:r>
      <w:r>
        <w:t xml:space="preserve">stepped in to take over the function of the present tense almost entirely. A Syriac speaker didn’t say</w:t>
      </w:r>
      <w:r>
        <w:t xml:space="preserve"> </w:t>
      </w:r>
      <w:r>
        <w:t xml:space="preserve">“</w:t>
      </w:r>
      <w:r>
        <w:t xml:space="preserve">I write</w:t>
      </w:r>
      <w:r>
        <w:t xml:space="preserve">”</w:t>
      </w:r>
      <w:r>
        <w:t xml:space="preserve"> </w:t>
      </w:r>
      <w:r>
        <w:t xml:space="preserve">as a finite verb; they literally said</w:t>
      </w:r>
      <w:r>
        <w:t xml:space="preserve"> </w:t>
      </w:r>
      <w:r>
        <w:t xml:space="preserve">“</w:t>
      </w:r>
      <w:r>
        <w:t xml:space="preserve">Writing [am] I.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Cross-Linguistic Comparison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Hebrew</w:t>
      </w:r>
      <w:r>
        <w:t xml:space="preserve">: Biblical Hebrew primarily used the Imperfect for ongoing action, but by the Mishnaic period (interfacing with Aramaic), Hebrew also adopted the participle for the present tense (e.g.,</w:t>
      </w:r>
      <w:r>
        <w:t xml:space="preserve"> </w:t>
      </w:r>
      <w:r>
        <w:rPr>
          <w:i/>
          <w:iCs/>
        </w:rPr>
        <w:t xml:space="preserve">ānī kōtēb</w:t>
      </w:r>
      <w:r>
        <w:t xml:space="preserve"> </w:t>
      </w:r>
      <w:r>
        <w:t xml:space="preserve">= I am writing).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Arabic</w:t>
      </w:r>
      <w:r>
        <w:t xml:space="preserve">: Standard Arabic relies on the imperfect prefix conjugation (يَكْتُبُ</w:t>
      </w:r>
      <w:r>
        <w:t xml:space="preserve"> </w:t>
      </w:r>
      <w:r>
        <w:rPr>
          <w:i/>
          <w:iCs/>
        </w:rPr>
        <w:t xml:space="preserve">yaktubu</w:t>
      </w:r>
      <w:r>
        <w:t xml:space="preserve">,</w:t>
      </w:r>
      <w:r>
        <w:t xml:space="preserve"> </w:t>
      </w:r>
      <w:r>
        <w:t xml:space="preserve">“</w:t>
      </w:r>
      <w:r>
        <w:t xml:space="preserve">he writes</w:t>
      </w:r>
      <w:r>
        <w:t xml:space="preserve">”</w:t>
      </w:r>
      <w:r>
        <w:t xml:space="preserve">). The active participle (كَاتِب</w:t>
      </w:r>
      <w:r>
        <w:t xml:space="preserve"> </w:t>
      </w:r>
      <w:r>
        <w:rPr>
          <w:i/>
          <w:iCs/>
        </w:rPr>
        <w:t xml:space="preserve">kātib</w:t>
      </w:r>
      <w:r>
        <w:t xml:space="preserve">) means</w:t>
      </w:r>
      <w:r>
        <w:t xml:space="preserve"> </w:t>
      </w:r>
      <w:r>
        <w:t xml:space="preserve">“</w:t>
      </w:r>
      <w:r>
        <w:t xml:space="preserve">writer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one who has written,</w:t>
      </w:r>
      <w:r>
        <w:t xml:space="preserve">”</w:t>
      </w:r>
      <w:r>
        <w:t xml:space="preserve"> </w:t>
      </w:r>
      <w:r>
        <w:t xml:space="preserve">but does not serve as a primary present tense verb.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Greek</w:t>
      </w:r>
      <w:r>
        <w:t xml:space="preserve">: Syriac’s reliance on the participle to form continuous action heavily influenced how Syriac translators rendered Greek continuous tenses (often translating a Greek present indicative with a Syriac participle + pronoun).</w:t>
      </w:r>
    </w:p>
    <w:p>
      <w:r>
        <w:pict>
          <v:rect style="width:0;height:1.5pt" o:hralign="center" o:hrstd="t" o:hr="t"/>
        </w:pict>
      </w:r>
    </w:p>
    <w:bookmarkEnd w:id="21"/>
    <w:bookmarkStart w:id="22" w:name="X8ae05b80935e833e70639184c64a9119081a4cb"/>
    <w:p>
      <w:pPr>
        <w:pStyle w:val="Heading4"/>
      </w:pPr>
      <w:r>
        <w:t xml:space="preserve">Section 3: The Peal Active Participle &amp; Enclitics</w:t>
      </w:r>
    </w:p>
    <w:p>
      <w:pPr>
        <w:pStyle w:val="FirstParagraph"/>
      </w:pPr>
      <w:r>
        <w:rPr>
          <w:b/>
          <w:bCs/>
        </w:rPr>
        <w:t xml:space="preserve">The Peal Stem</w:t>
      </w:r>
    </w:p>
    <w:p>
      <w:pPr>
        <w:pStyle w:val="BodyText"/>
      </w:pPr>
      <w:r>
        <w:t xml:space="preserve">Semitic verbs exist in different</w:t>
      </w:r>
      <w:r>
        <w:t xml:space="preserve"> </w:t>
      </w:r>
      <w:r>
        <w:t xml:space="preserve">“</w:t>
      </w:r>
      <w:r>
        <w:t xml:space="preserve">stems</w:t>
      </w:r>
      <w:r>
        <w:t xml:space="preserve">”</w:t>
      </w:r>
      <w:r>
        <w:t xml:space="preserve"> </w:t>
      </w:r>
      <w:r>
        <w:t xml:space="preserve">(or binyanim) that modify their meaning. The basic, un-augmented ground-stem is called the</w:t>
      </w:r>
      <w:r>
        <w:t xml:space="preserve"> </w:t>
      </w:r>
      <w:r>
        <w:rPr>
          <w:b/>
          <w:bCs/>
        </w:rPr>
        <w:t xml:space="preserve">Peal</w:t>
      </w:r>
      <w:r>
        <w:t xml:space="preserve">. Almost all basic actions occur in the Peal.</w:t>
      </w:r>
    </w:p>
    <w:p>
      <w:pPr>
        <w:pStyle w:val="BodyText"/>
      </w:pPr>
      <w:r>
        <w:rPr>
          <w:b/>
          <w:bCs/>
        </w:rPr>
        <w:t xml:space="preserve">Forming the Participle</w:t>
      </w:r>
    </w:p>
    <w:p>
      <w:pPr>
        <w:pStyle w:val="BodyText"/>
      </w:pPr>
      <w:r>
        <w:t xml:space="preserve">For a strong tri-consonantal root (C-C-C) like</w:t>
      </w:r>
      <w:r>
        <w:t xml:space="preserve"> </w:t>
      </w:r>
      <w:r>
        <w:rPr>
          <w:i/>
          <w:iCs/>
        </w:rPr>
        <w:t xml:space="preserve">k-t-b</w:t>
      </w:r>
      <w:r>
        <w:t xml:space="preserve"> </w:t>
      </w:r>
      <w:r>
        <w:t xml:space="preserve">(write), the active participle is formed by inserting a long</w:t>
      </w:r>
      <w:r>
        <w:t xml:space="preserve"> </w:t>
      </w:r>
      <w:r>
        <w:rPr>
          <w:i/>
          <w:iCs/>
        </w:rPr>
        <w:t xml:space="preserve">ā</w:t>
      </w:r>
      <w:r>
        <w:t xml:space="preserve"> </w:t>
      </w:r>
      <w:r>
        <w:t xml:space="preserve">after the first consonant, and an</w:t>
      </w:r>
      <w:r>
        <w:t xml:space="preserve"> </w:t>
      </w:r>
      <w:r>
        <w:rPr>
          <w:i/>
          <w:iCs/>
        </w:rPr>
        <w:t xml:space="preserve">e</w:t>
      </w:r>
      <w:r>
        <w:t xml:space="preserve"> </w:t>
      </w:r>
      <w:r>
        <w:t xml:space="preserve">after the second.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kāteb</w:t>
      </w:r>
      <w:r>
        <w:t xml:space="preserve"> </w:t>
      </w:r>
      <w:r>
        <w:t xml:space="preserve">(writing, m.sg.)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kātbā</w:t>
      </w:r>
      <w:r>
        <w:t xml:space="preserve"> </w:t>
      </w:r>
      <w:r>
        <w:t xml:space="preserve">(writing, f.sg.)</w:t>
      </w:r>
    </w:p>
    <w:p>
      <w:pPr>
        <w:pStyle w:val="FirstParagraph"/>
      </w:pPr>
      <w:r>
        <w:rPr>
          <w:b/>
          <w:bCs/>
        </w:rPr>
        <w:t xml:space="preserve">Enclitic Pronouns</w:t>
      </w:r>
    </w:p>
    <w:p>
      <w:pPr>
        <w:pStyle w:val="BodyText"/>
      </w:pPr>
      <w:r>
        <w:t xml:space="preserve">To turn</w:t>
      </w:r>
      <w:r>
        <w:t xml:space="preserve"> </w:t>
      </w:r>
      <w:r>
        <w:t xml:space="preserve">“</w:t>
      </w:r>
      <w:r>
        <w:t xml:space="preserve">writing</w:t>
      </w:r>
      <w:r>
        <w:t xml:space="preserve">”</w:t>
      </w:r>
      <w:r>
        <w:t xml:space="preserve"> </w:t>
      </w:r>
      <w:r>
        <w:t xml:space="preserve">into</w:t>
      </w:r>
      <w:r>
        <w:t xml:space="preserve"> </w:t>
      </w:r>
      <w:r>
        <w:t xml:space="preserve">“</w:t>
      </w:r>
      <w:r>
        <w:t xml:space="preserve">I am writing,</w:t>
      </w:r>
      <w:r>
        <w:t xml:space="preserve">”</w:t>
      </w:r>
      <w:r>
        <w:t xml:space="preserve"> </w:t>
      </w:r>
      <w:r>
        <w:t xml:space="preserve">Syriac attaches an</w:t>
      </w:r>
      <w:r>
        <w:t xml:space="preserve"> </w:t>
      </w:r>
      <w:r>
        <w:rPr>
          <w:b/>
          <w:bCs/>
        </w:rPr>
        <w:t xml:space="preserve">enclitic</w:t>
      </w:r>
      <w:r>
        <w:t xml:space="preserve"> </w:t>
      </w:r>
      <w:r>
        <w:t xml:space="preserve">pronoun to the back of the participle. Enclitics are shortened, rhythmic versions of the independent pronouns from Lesson 1.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ʾenā</w:t>
      </w:r>
      <w:r>
        <w:t xml:space="preserve"> </w:t>
      </w:r>
      <w:r>
        <w:t xml:space="preserve">(I)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-nā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kāteb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-nā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kāteb-nā</w:t>
      </w:r>
      <w:r>
        <w:t xml:space="preserve"> </w:t>
      </w:r>
      <w:r>
        <w:t xml:space="preserve">(I am writing)</w:t>
      </w:r>
    </w:p>
    <w:p>
      <w:r>
        <w:pict>
          <v:rect style="width:0;height:1.5pt" o:hralign="center" o:hrstd="t" o:hr="t"/>
        </w:pict>
      </w:r>
    </w:p>
    <w:bookmarkEnd w:id="22"/>
    <w:bookmarkStart w:id="23" w:name="Xb7341bccf7ad8a80b79cac9ff58c63d36e80718"/>
    <w:p>
      <w:pPr>
        <w:pStyle w:val="Heading4"/>
      </w:pPr>
      <w:r>
        <w:t xml:space="preserve">Section 4: Participle and Enclitic Paradigms</w:t>
      </w:r>
    </w:p>
    <w:p>
      <w:pPr>
        <w:pStyle w:val="FirstParagraph"/>
      </w:pPr>
      <w:r>
        <w:rPr>
          <w:b/>
          <w:bCs/>
        </w:rPr>
        <w:t xml:space="preserve">1. The Enclitic Pronoun Set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Enclitic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Attached Example (</w:t>
            </w:r>
            <w:r>
              <w:rPr>
                <w:i/>
                <w:iCs/>
              </w:rPr>
              <w:t xml:space="preserve">kāteb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c.sg.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ʾenā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kāteb-nā / kātbā-nā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am writing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 m.sg.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kāteb-t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(m) are writing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 f.sg.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-tī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kātbā-tī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(f) are writing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m.sg.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-hū / (none)*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kāteb / kāteb-hū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is writing / writes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f.sg.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-hī / (none)*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kātbā / kātbā-hī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 is writing / writes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c.pl.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-ḥnan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kātbīn-ḥnan / kātbān-ḥnan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are writing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 m.pl.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ʾantūn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-tūn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kātbīn-tūn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(m.pl) are writing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 f.pl.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ʾantēn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-tēn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kātbān-tēn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(f.pl) are writing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m.pl.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hennōn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kātbīn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They (m) are writing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f.pl.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hennēn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kātbān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They (f) are writing</w:t>
            </w:r>
          </w:p>
        </w:tc>
      </w:tr>
    </w:tbl>
    <w:p>
      <w:pPr>
        <w:pStyle w:val="BodyText"/>
      </w:pPr>
      <w:r>
        <w:rPr>
          <w:i/>
          <w:iCs/>
        </w:rPr>
        <w:t xml:space="preserve">*In the 3rd person singular, the participle often stands entirely alone without an enclitic.</w:t>
      </w:r>
      <w:r>
        <w:t xml:space="preserve"> </w:t>
      </w:r>
      <w:r>
        <w:rPr>
          <w:i/>
          <w:iCs/>
        </w:rPr>
        <w:t xml:space="preserve">**In the 3rd person plural, the plural suffix (-īn / -ān) is sufficient; no enclitic is added.</w:t>
      </w:r>
    </w:p>
    <w:p>
      <w:pPr>
        <w:pStyle w:val="BodyText"/>
      </w:pPr>
      <w:r>
        <w:rPr>
          <w:b/>
          <w:bCs/>
        </w:rPr>
        <w:t xml:space="preserve">2. The Peal Active Participle Declension (Root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k-t-b</w:t>
      </w:r>
      <w:r>
        <w:rPr>
          <w:b/>
          <w:bCs/>
        </w:rPr>
        <w:t xml:space="preserve">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Gender/Num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Estrangela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Masc. 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ܟܬܒ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kāteb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Fem. 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ܟܬܒܐ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kātbā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Masc. Pl.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ܟܬܒܝܢ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kātbīn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Fem. Pl.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ܟܬܒܢ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kātbān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ection-5-sentence-syntax"/>
    <w:p>
      <w:pPr>
        <w:pStyle w:val="Heading4"/>
      </w:pPr>
      <w:r>
        <w:t xml:space="preserve">Section 5: Sentence Syntax</w:t>
      </w:r>
    </w:p>
    <w:p>
      <w:pPr>
        <w:pStyle w:val="FirstParagraph"/>
      </w:pPr>
      <w:r>
        <w:t xml:space="preserve">When the active participle drives the sentence, the word order is very fluid, but Verb-Subject-Object (VSO) or Subject-Verb-Object (SVO) are both common.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SVO</w:t>
      </w:r>
      <w:r>
        <w:t xml:space="preserve">:</w:t>
      </w:r>
      <w:r>
        <w:t xml:space="preserve"> </w:t>
      </w:r>
      <w:r>
        <w:rPr>
          <w:i/>
          <w:iCs/>
        </w:rPr>
        <w:t xml:space="preserve">Yūḥannan kāteb meltā.</w:t>
      </w:r>
      <w:r>
        <w:t xml:space="preserve"> </w:t>
      </w:r>
      <w:r>
        <w:t xml:space="preserve">(Yukhannan writes a word).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VSO</w:t>
      </w:r>
      <w:r>
        <w:t xml:space="preserve">:</w:t>
      </w:r>
      <w:r>
        <w:t xml:space="preserve"> </w:t>
      </w:r>
      <w:r>
        <w:rPr>
          <w:i/>
          <w:iCs/>
        </w:rPr>
        <w:t xml:space="preserve">Kāteb Yūḥannan meltā.</w:t>
      </w:r>
      <w:r>
        <w:t xml:space="preserve"> </w:t>
      </w:r>
      <w:r>
        <w:t xml:space="preserve">(Writes Yukhannan a word).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Enclitic</w:t>
      </w:r>
      <w:r>
        <w:t xml:space="preserve">:</w:t>
      </w:r>
      <w:r>
        <w:t xml:space="preserve"> </w:t>
      </w:r>
      <w:r>
        <w:rPr>
          <w:i/>
          <w:iCs/>
        </w:rPr>
        <w:t xml:space="preserve">Kāteb-nā meltā.</w:t>
      </w:r>
      <w:r>
        <w:t xml:space="preserve"> </w:t>
      </w:r>
      <w:r>
        <w:t xml:space="preserve">(I am writing a word).</w:t>
      </w:r>
    </w:p>
    <w:p>
      <w:r>
        <w:pict>
          <v:rect style="width:0;height:1.5pt" o:hralign="center" o:hrstd="t" o:hr="t"/>
        </w:pict>
      </w:r>
    </w:p>
    <w:bookmarkEnd w:id="24"/>
    <w:bookmarkStart w:id="25" w:name="X9968d0a2e712bcb675750faebd31d9f82e935fd"/>
    <w:p>
      <w:pPr>
        <w:pStyle w:val="Heading4"/>
      </w:pPr>
      <w:r>
        <w:t xml:space="preserve">Section 6: Vocabulary (Strong Verbs &amp; Adverbs)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Peal Ptcp (m.s.)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Adverb/Particle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ܟ.ܬ.ܒ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kāteb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ܗܫܐ (hāšā)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ܐ.ܙ.ܠ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ʾāzel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ܕܝܢ (dēn)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but, then, however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ܐ.ܡ.ܪ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ʾāmer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speak/say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ܬܡܢ (tammān)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ܫ.ܡ.ܥ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šāmaʿ*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hear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ܠܥܠ (lʿel)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ܚ.ܙ.ܝ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ܚܙܐ (ḥāzē)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see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ܗܪܟܐ (harkā)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ܥ.ܒ.ܕ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ʿābed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do/make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ܥܡ (ʿam)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ܢ.ܛ.ܪ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nāṭer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keep/guard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ܥܠ (ʿal)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upon, against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ܪ.ܕ.ܦ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rādep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pursue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ܫ.ܒ.ܩ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šābeq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leave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ܢ.ܦ.ܩ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nāpeq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go out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*Note: Roots ending in gutturals (like ʿAyn) change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</w:t>
      </w:r>
      <w:r>
        <w:rPr>
          <w:i/>
          <w:iCs/>
        </w:rPr>
        <w:t xml:space="preserve"> </w:t>
      </w:r>
      <w:r>
        <w:rPr>
          <w:i/>
          <w:iCs/>
        </w:rPr>
        <w:t xml:space="preserve">to an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</w:t>
      </w:r>
      <w:r>
        <w:rPr>
          <w:i/>
          <w:iCs/>
        </w:rPr>
        <w:t xml:space="preserve"> </w:t>
      </w:r>
      <w:r>
        <w:rPr>
          <w:i/>
          <w:iCs/>
        </w:rPr>
        <w:t xml:space="preserve">(šāmaʿ instead of šāmeʿ).</w:t>
      </w:r>
    </w:p>
    <w:p>
      <w:r>
        <w:pict>
          <v:rect style="width:0;height:1.5pt" o:hralign="center" o:hrstd="t" o:hr="t"/>
        </w:pict>
      </w:r>
    </w:p>
    <w:bookmarkEnd w:id="25"/>
    <w:bookmarkStart w:id="26" w:name="section-7-the-story-part-2"/>
    <w:p>
      <w:pPr>
        <w:pStyle w:val="Heading4"/>
      </w:pPr>
      <w:r>
        <w:t xml:space="preserve">Section 7: The Story — Part 2</w:t>
      </w:r>
    </w:p>
    <w:p>
      <w:pPr>
        <w:pStyle w:val="FirstParagraph"/>
      </w:pPr>
      <w:r>
        <w:rPr>
          <w:b/>
          <w:bCs/>
        </w:rPr>
        <w:t xml:space="preserve">Preparation</w:t>
      </w:r>
    </w:p>
    <w:p>
      <w:pPr>
        <w:pStyle w:val="BodyText"/>
      </w:pPr>
      <w:r>
        <w:rPr>
          <w:i/>
          <w:iCs/>
        </w:rPr>
        <w:t xml:space="preserve">Narrative note: The present tense (participle + enclitics) is used here to create an immediate, action-oriented dialogue as Yukhannan prepares his disciples.</w:t>
      </w:r>
    </w:p>
    <w:p>
      <w:pPr>
        <w:pStyle w:val="BodyText"/>
      </w:pPr>
      <w:r>
        <w:rPr>
          <w:b/>
          <w:bCs/>
        </w:rPr>
        <w:t xml:space="preserve">Sentence 1</w:t>
      </w:r>
    </w:p>
    <w:p>
      <w:pPr>
        <w:pStyle w:val="BodyText"/>
      </w:pPr>
      <w:r>
        <w:t xml:space="preserve">ܝܘܚܢܢ ܐܡܪ ܠܬܠܡܝܕܐ ܕܐܝܬ ܠܗ</w:t>
      </w:r>
      <w:r>
        <w:t xml:space="preserve"> </w:t>
      </w:r>
      <w:r>
        <w:t xml:space="preserve">Yūḥannan ʾāmer l-talmīdē d-īt l-eh.</w:t>
      </w:r>
      <w:r>
        <w:t xml:space="preserve"> </w:t>
      </w:r>
      <w:r>
        <w:t xml:space="preserve">Yūḥannan (John) ʾāmer (is-speaking) l- (to) talmīdē (the-disciples) d- (that) īt (there-are) l-eh (to-him).</w:t>
      </w:r>
      <w:r>
        <w:t xml:space="preserve"> </w:t>
      </w:r>
      <w:r>
        <w:t xml:space="preserve">→ Yukhannan is speaking to the disciples that are his.</w:t>
      </w:r>
    </w:p>
    <w:p>
      <w:pPr>
        <w:pStyle w:val="BodyText"/>
      </w:pPr>
      <w:r>
        <w:rPr>
          <w:b/>
          <w:bCs/>
        </w:rPr>
        <w:t xml:space="preserve">Sentence 2</w:t>
      </w:r>
    </w:p>
    <w:p>
      <w:pPr>
        <w:pStyle w:val="BodyText"/>
      </w:pPr>
      <w:r>
        <w:t xml:space="preserve">ܐܙܠ ܐܢܐ ܡܢ ܗܪܟܐ</w:t>
      </w:r>
      <w:r>
        <w:t xml:space="preserve"> </w:t>
      </w:r>
      <w:r>
        <w:t xml:space="preserve">ʾāzel-nā men harkā.</w:t>
      </w:r>
      <w:r>
        <w:t xml:space="preserve"> </w:t>
      </w:r>
      <w:r>
        <w:t xml:space="preserve">ʾāzel (going) -nā (am-I) men (from) harkā (here).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I am going from here.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Sentence 3</w:t>
      </w:r>
    </w:p>
    <w:p>
      <w:pPr>
        <w:pStyle w:val="BodyText"/>
      </w:pPr>
      <w:r>
        <w:t xml:space="preserve">ܐܙܠ ܐܢܐ ܠܡܠܟܘܬܐ ܕܒܝܫܐ ܐܡܪ ܗܘ</w:t>
      </w:r>
      <w:r>
        <w:t xml:space="preserve"> </w:t>
      </w:r>
      <w:r>
        <w:t xml:space="preserve">ʾāzel-nā l-malkūttā d-bīšā, ʾāmer-hū.</w:t>
      </w:r>
      <w:r>
        <w:t xml:space="preserve"> </w:t>
      </w:r>
      <w:r>
        <w:t xml:space="preserve">ʾāzel (going) -nā (am-I) l- (to) malkūttā (the-kingdom) d- (of) bīšā (the-evil-[one]), ʾāmer (says) -hū (he).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I am going to the kingdom of the evil one,</w:t>
      </w:r>
      <w:r>
        <w:t xml:space="preserve">”</w:t>
      </w:r>
      <w:r>
        <w:t xml:space="preserve"> </w:t>
      </w:r>
      <w:r>
        <w:t xml:space="preserve">he says.</w:t>
      </w:r>
    </w:p>
    <w:p>
      <w:pPr>
        <w:pStyle w:val="BodyText"/>
      </w:pPr>
      <w:r>
        <w:rPr>
          <w:b/>
          <w:bCs/>
        </w:rPr>
        <w:t xml:space="preserve">Sentence 4</w:t>
      </w:r>
    </w:p>
    <w:p>
      <w:pPr>
        <w:pStyle w:val="BodyText"/>
      </w:pPr>
      <w:r>
        <w:t xml:space="preserve">ܬܠܡܝܕܐ ܫܡܥܝܢ ܡܠܬܐ ܕܝܘܚܢܢ</w:t>
      </w:r>
      <w:r>
        <w:t xml:space="preserve"> </w:t>
      </w:r>
      <w:r>
        <w:t xml:space="preserve">talmīdē šāmʿīn meltā d-Yūḥannan.</w:t>
      </w:r>
      <w:r>
        <w:t xml:space="preserve"> </w:t>
      </w:r>
      <w:r>
        <w:t xml:space="preserve">talmīdē (the-disciples) šāmʿīn (are-hearing) meltā (the-word) d- (of) Yūḥannan (John).</w:t>
      </w:r>
      <w:r>
        <w:t xml:space="preserve"> </w:t>
      </w:r>
      <w:r>
        <w:t xml:space="preserve">→ The disciples hear the word of Yukhannan.</w:t>
      </w:r>
    </w:p>
    <w:p>
      <w:pPr>
        <w:pStyle w:val="BodyText"/>
      </w:pPr>
      <w:r>
        <w:rPr>
          <w:b/>
          <w:bCs/>
        </w:rPr>
        <w:t xml:space="preserve">Sentence 5</w:t>
      </w:r>
    </w:p>
    <w:p>
      <w:pPr>
        <w:pStyle w:val="BodyText"/>
      </w:pPr>
      <w:r>
        <w:t xml:space="preserve">ܗܢܘܢ ܐܡܪܝܢ ܚܙܝܢ ܚܢܢ ܡܠܟܐ ܒܝܫܐ ܬܡܢ</w:t>
      </w:r>
      <w:r>
        <w:t xml:space="preserve"> </w:t>
      </w:r>
      <w:r>
        <w:t xml:space="preserve">hennōn ʾāmrīn: ḥāzēn-ḥnan malkā bīšā tammān.</w:t>
      </w:r>
      <w:r>
        <w:t xml:space="preserve"> </w:t>
      </w:r>
      <w:r>
        <w:t xml:space="preserve">hennōn (they) ʾāmrīn (are-saying): ḥāzēn (seeing) -ḥnan (are-we) malkā (a-king) bīšā (evil) tammān (there).</w:t>
      </w:r>
      <w:r>
        <w:t xml:space="preserve"> </w:t>
      </w:r>
      <w:r>
        <w:t xml:space="preserve">→ They say:</w:t>
      </w:r>
      <w:r>
        <w:t xml:space="preserve"> </w:t>
      </w:r>
      <w:r>
        <w:t xml:space="preserve">“</w:t>
      </w:r>
      <w:r>
        <w:t xml:space="preserve">We see an evil king there.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Sentence 6</w:t>
      </w:r>
    </w:p>
    <w:p>
      <w:pPr>
        <w:pStyle w:val="BodyText"/>
      </w:pPr>
      <w:r>
        <w:t xml:space="preserve">ܝܘܚܢܢ ܥܒܕ ܢܘܗܪܐ ܒܐܪܥܐ</w:t>
      </w:r>
      <w:r>
        <w:t xml:space="preserve"> </w:t>
      </w:r>
      <w:r>
        <w:t xml:space="preserve">Yūḥannan ʿābed nūhrā b-ʾarʿā.</w:t>
      </w:r>
      <w:r>
        <w:t xml:space="preserve"> </w:t>
      </w:r>
      <w:r>
        <w:t xml:space="preserve">Yūḥannan (John) ʿābed (is-making/doing) nūhrā (light) b- (in) ʾarʿā (the-earth).</w:t>
      </w:r>
      <w:r>
        <w:t xml:space="preserve"> </w:t>
      </w:r>
      <w:r>
        <w:t xml:space="preserve">→ Yukhannan makes light in the earth.</w:t>
      </w:r>
    </w:p>
    <w:p>
      <w:pPr>
        <w:pStyle w:val="BodyText"/>
      </w:pPr>
      <w:r>
        <w:rPr>
          <w:b/>
          <w:bCs/>
        </w:rPr>
        <w:t xml:space="preserve">Sentence 7</w:t>
      </w:r>
    </w:p>
    <w:p>
      <w:pPr>
        <w:pStyle w:val="BodyText"/>
      </w:pPr>
      <w:r>
        <w:t xml:space="preserve">ܟܬܒ ܐܢܐ ܡܠܬܐ ܕܐܠܗܐ ܐܡܪ ܗܫܐ</w:t>
      </w:r>
      <w:r>
        <w:t xml:space="preserve"> </w:t>
      </w:r>
      <w:r>
        <w:t xml:space="preserve">kāteb-nā meltā d-Alāhā, ʾāmer hāšā.</w:t>
      </w:r>
      <w:r>
        <w:t xml:space="preserve"> </w:t>
      </w:r>
      <w:r>
        <w:t xml:space="preserve">kāteb (writing) -nā (am-I) meltā (the-word) d- (of) Alāhā (God), ʾāmer (says-[he]) hāšā (now).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I am writing the word of God,</w:t>
      </w:r>
      <w:r>
        <w:t xml:space="preserve">”</w:t>
      </w:r>
      <w:r>
        <w:t xml:space="preserve"> </w:t>
      </w:r>
      <w:r>
        <w:t xml:space="preserve">he says now.</w:t>
      </w:r>
    </w:p>
    <w:p>
      <w:r>
        <w:pict>
          <v:rect style="width:0;height:1.5pt" o:hralign="center" o:hrstd="t" o:hr="t"/>
        </w:pict>
      </w:r>
    </w:p>
    <w:bookmarkEnd w:id="26"/>
    <w:bookmarkStart w:id="27" w:name="section-8-exercises"/>
    <w:p>
      <w:pPr>
        <w:pStyle w:val="Heading4"/>
      </w:pPr>
      <w:r>
        <w:t xml:space="preserve">Section 8: Exercises</w:t>
      </w:r>
    </w:p>
    <w:p>
      <w:pPr>
        <w:pStyle w:val="FirstParagraph"/>
      </w:pPr>
      <w:r>
        <w:rPr>
          <w:b/>
          <w:bCs/>
        </w:rPr>
        <w:t xml:space="preserve">Exercise 1: Participle Identification</w:t>
      </w:r>
    </w:p>
    <w:p>
      <w:pPr>
        <w:pStyle w:val="BodyText"/>
      </w:pPr>
      <w:r>
        <w:t xml:space="preserve">Identify the gender and number of the following participles.</w:t>
      </w:r>
    </w:p>
    <w:p>
      <w:pPr>
        <w:pStyle w:val="Compact"/>
        <w:numPr>
          <w:ilvl w:val="0"/>
          <w:numId w:val="1006"/>
        </w:numPr>
      </w:pPr>
      <w:r>
        <w:t xml:space="preserve">ܟܬܒܝܢ (kātbīn)</w:t>
      </w:r>
    </w:p>
    <w:p>
      <w:pPr>
        <w:pStyle w:val="Compact"/>
        <w:numPr>
          <w:ilvl w:val="0"/>
          <w:numId w:val="1006"/>
        </w:numPr>
      </w:pPr>
      <w:r>
        <w:t xml:space="preserve">ܫܡܥܐ (šāmʿā)</w:t>
      </w:r>
    </w:p>
    <w:p>
      <w:pPr>
        <w:pStyle w:val="Compact"/>
        <w:numPr>
          <w:ilvl w:val="0"/>
          <w:numId w:val="1006"/>
        </w:numPr>
      </w:pPr>
      <w:r>
        <w:t xml:space="preserve">ܢܦܩܢ (nāpqān)</w:t>
      </w:r>
    </w:p>
    <w:p>
      <w:pPr>
        <w:pStyle w:val="Compact"/>
        <w:numPr>
          <w:ilvl w:val="0"/>
          <w:numId w:val="1006"/>
        </w:numPr>
      </w:pPr>
      <w:r>
        <w:t xml:space="preserve">ܪܕܦ (rādep)</w:t>
      </w:r>
    </w:p>
    <w:p>
      <w:pPr>
        <w:pStyle w:val="FirstParagraph"/>
      </w:pPr>
      <w:r>
        <w:rPr>
          <w:b/>
          <w:bCs/>
        </w:rPr>
        <w:t xml:space="preserve">Exercise 2: Conjugation Drill</w:t>
      </w:r>
    </w:p>
    <w:p>
      <w:pPr>
        <w:pStyle w:val="BodyText"/>
      </w:pPr>
      <w:r>
        <w:t xml:space="preserve">Combine the root</w:t>
      </w:r>
      <w:r>
        <w:t xml:space="preserve"> </w:t>
      </w:r>
      <w:r>
        <w:rPr>
          <w:i/>
          <w:iCs/>
        </w:rPr>
        <w:t xml:space="preserve">ʿ-b-d</w:t>
      </w:r>
      <w:r>
        <w:t xml:space="preserve"> </w:t>
      </w:r>
      <w:r>
        <w:t xml:space="preserve">(to do, make) with the correct enclitic pronoun to form the present tense for:</w:t>
      </w:r>
    </w:p>
    <w:p>
      <w:pPr>
        <w:pStyle w:val="Compact"/>
        <w:numPr>
          <w:ilvl w:val="0"/>
          <w:numId w:val="1007"/>
        </w:numPr>
      </w:pPr>
      <w:r>
        <w:t xml:space="preserve">I am making (m.sg)</w:t>
      </w:r>
    </w:p>
    <w:p>
      <w:pPr>
        <w:pStyle w:val="Compact"/>
        <w:numPr>
          <w:ilvl w:val="0"/>
          <w:numId w:val="1007"/>
        </w:numPr>
      </w:pPr>
      <w:r>
        <w:t xml:space="preserve">We are making (m.pl)</w:t>
      </w:r>
    </w:p>
    <w:p>
      <w:pPr>
        <w:pStyle w:val="Compact"/>
        <w:numPr>
          <w:ilvl w:val="0"/>
          <w:numId w:val="1007"/>
        </w:numPr>
      </w:pPr>
      <w:r>
        <w:t xml:space="preserve">You (f.sg) are making</w:t>
      </w:r>
    </w:p>
    <w:p>
      <w:pPr>
        <w:pStyle w:val="Compact"/>
        <w:numPr>
          <w:ilvl w:val="0"/>
          <w:numId w:val="1007"/>
        </w:numPr>
      </w:pPr>
      <w:r>
        <w:t xml:space="preserve">They (m.pl) are making.</w:t>
      </w:r>
    </w:p>
    <w:p>
      <w:pPr>
        <w:pStyle w:val="FirstParagraph"/>
      </w:pPr>
      <w:r>
        <w:rPr>
          <w:b/>
          <w:bCs/>
        </w:rPr>
        <w:t xml:space="preserve">Exercise 3: Translation Drill (Syriac → English)</w:t>
      </w:r>
    </w:p>
    <w:p>
      <w:pPr>
        <w:pStyle w:val="BodyText"/>
      </w:pPr>
      <w:r>
        <w:t xml:space="preserve">Translate the following present tense clauses.</w:t>
      </w:r>
    </w:p>
    <w:p>
      <w:pPr>
        <w:pStyle w:val="Compact"/>
        <w:numPr>
          <w:ilvl w:val="0"/>
          <w:numId w:val="1008"/>
        </w:numPr>
      </w:pPr>
      <w:r>
        <w:t xml:space="preserve">ʾāzel-nā l-malkūttā.</w:t>
      </w:r>
    </w:p>
    <w:p>
      <w:pPr>
        <w:pStyle w:val="Compact"/>
        <w:numPr>
          <w:ilvl w:val="0"/>
          <w:numId w:val="1008"/>
        </w:numPr>
      </w:pPr>
      <w:r>
        <w:t xml:space="preserve">Šāmʿīn-tūn meltā d-Alāhā.</w:t>
      </w:r>
    </w:p>
    <w:p>
      <w:pPr>
        <w:pStyle w:val="Compact"/>
        <w:numPr>
          <w:ilvl w:val="0"/>
          <w:numId w:val="1008"/>
        </w:numPr>
      </w:pPr>
      <w:r>
        <w:t xml:space="preserve">Barnāšā bīšā rādep l-Yūḥannan.</w:t>
      </w:r>
    </w:p>
    <w:p>
      <w:pPr>
        <w:pStyle w:val="Compact"/>
        <w:numPr>
          <w:ilvl w:val="0"/>
          <w:numId w:val="1008"/>
        </w:numPr>
      </w:pPr>
      <w:r>
        <w:t xml:space="preserve">Ḥāzēn-ḥnan nūhrā rabbā tammān.</w:t>
      </w:r>
    </w:p>
    <w:p>
      <w:pPr>
        <w:pStyle w:val="FirstParagraph"/>
      </w:pPr>
      <w:r>
        <w:rPr>
          <w:b/>
          <w:bCs/>
        </w:rPr>
        <w:t xml:space="preserve">Exercise 4: Production Drill (English → Syriac)</w:t>
      </w:r>
    </w:p>
    <w:p>
      <w:pPr>
        <w:pStyle w:val="BodyText"/>
      </w:pPr>
      <w:r>
        <w:t xml:space="preserve">Render the following active present sentences into Syriac transliteration.</w:t>
      </w:r>
    </w:p>
    <w:p>
      <w:pPr>
        <w:pStyle w:val="Compact"/>
        <w:numPr>
          <w:ilvl w:val="0"/>
          <w:numId w:val="1009"/>
        </w:numPr>
      </w:pPr>
      <w:r>
        <w:t xml:space="preserve">I (m) am hearing the word.</w:t>
      </w:r>
    </w:p>
    <w:p>
      <w:pPr>
        <w:pStyle w:val="Compact"/>
        <w:numPr>
          <w:ilvl w:val="0"/>
          <w:numId w:val="1009"/>
        </w:numPr>
      </w:pPr>
      <w:r>
        <w:t xml:space="preserve">She is writing a good word.</w:t>
      </w:r>
    </w:p>
    <w:p>
      <w:pPr>
        <w:pStyle w:val="Compact"/>
        <w:numPr>
          <w:ilvl w:val="0"/>
          <w:numId w:val="1009"/>
        </w:numPr>
      </w:pPr>
      <w:r>
        <w:t xml:space="preserve">They (m) are going from here.</w:t>
      </w:r>
    </w:p>
    <w:p>
      <w:pPr>
        <w:pStyle w:val="Compact"/>
        <w:numPr>
          <w:ilvl w:val="0"/>
          <w:numId w:val="1009"/>
        </w:numPr>
      </w:pPr>
      <w:r>
        <w:t xml:space="preserve">You (m.pl) are seeing the king.</w:t>
      </w:r>
    </w:p>
    <w:p>
      <w:pPr>
        <w:pStyle w:val="FirstParagraph"/>
      </w:pPr>
      <w:r>
        <w:rPr>
          <w:b/>
          <w:bCs/>
        </w:rPr>
        <w:t xml:space="preserve">Exercise 5: Reading Comprehension</w:t>
      </w:r>
    </w:p>
    <w:p>
      <w:pPr>
        <w:pStyle w:val="BodyText"/>
      </w:pPr>
      <w:r>
        <w:t xml:space="preserve">Re-read Section 7 and answer:</w:t>
      </w:r>
    </w:p>
    <w:p>
      <w:pPr>
        <w:pStyle w:val="Compact"/>
        <w:numPr>
          <w:ilvl w:val="0"/>
          <w:numId w:val="1010"/>
        </w:numPr>
      </w:pPr>
      <w:r>
        <w:t xml:space="preserve">From where does Yukhannan say he is going?</w:t>
      </w:r>
    </w:p>
    <w:p>
      <w:pPr>
        <w:pStyle w:val="Compact"/>
        <w:numPr>
          <w:ilvl w:val="0"/>
          <w:numId w:val="1010"/>
        </w:numPr>
      </w:pPr>
      <w:r>
        <w:t xml:space="preserve">What do the disciples fear they will see there?</w:t>
      </w:r>
    </w:p>
    <w:p>
      <w:pPr>
        <w:pStyle w:val="Compact"/>
        <w:numPr>
          <w:ilvl w:val="0"/>
          <w:numId w:val="1010"/>
        </w:numPr>
      </w:pPr>
      <w:r>
        <w:t xml:space="preserve">What is Yukhannan</w:t>
      </w:r>
      <w:r>
        <w:t xml:space="preserve"> </w:t>
      </w:r>
      <w:r>
        <w:t xml:space="preserve">“</w:t>
      </w:r>
      <w:r>
        <w:t xml:space="preserve">writing</w:t>
      </w:r>
      <w:r>
        <w:t xml:space="preserve">”</w:t>
      </w:r>
      <w:r>
        <w:t xml:space="preserve"> </w:t>
      </w:r>
      <w:r>
        <w:t xml:space="preserve">right now?</w:t>
      </w:r>
    </w:p>
    <w:p>
      <w:r>
        <w:pict>
          <v:rect style="width:0;height:1.5pt" o:hralign="center" o:hrstd="t" o:hr="t"/>
        </w:pict>
      </w:r>
    </w:p>
    <w:bookmarkEnd w:id="27"/>
    <w:bookmarkStart w:id="28" w:name="section-9-answer-key"/>
    <w:p>
      <w:pPr>
        <w:pStyle w:val="Heading4"/>
      </w:pPr>
      <w:r>
        <w:t xml:space="preserve">Section 9: Answer Key</w:t>
      </w:r>
    </w:p>
    <w:p>
      <w:pPr>
        <w:pStyle w:val="FirstParagraph"/>
      </w:pPr>
      <w:r>
        <w:rPr>
          <w:b/>
          <w:bCs/>
        </w:rPr>
        <w:t xml:space="preserve">Section 1 Warm-Up</w:t>
      </w:r>
    </w:p>
    <w:p>
      <w:pPr>
        <w:pStyle w:val="Compact"/>
        <w:numPr>
          <w:ilvl w:val="0"/>
          <w:numId w:val="1011"/>
        </w:numPr>
      </w:pPr>
      <w:r>
        <w:t xml:space="preserve">God is great.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Melt</w:t>
      </w:r>
      <w:r>
        <w:t xml:space="preserve"> </w:t>
      </w:r>
      <w:r>
        <w:t xml:space="preserve">(ܡܠܬ)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ḥnan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d-</w:t>
      </w:r>
    </w:p>
    <w:p>
      <w:pPr>
        <w:pStyle w:val="Compact"/>
        <w:numPr>
          <w:ilvl w:val="0"/>
          <w:numId w:val="1011"/>
        </w:numPr>
      </w:pPr>
      <w:r>
        <w:t xml:space="preserve">Because</w:t>
      </w:r>
      <w:r>
        <w:t xml:space="preserve"> </w:t>
      </w:r>
      <w:r>
        <w:rPr>
          <w:i/>
          <w:iCs/>
        </w:rPr>
        <w:t xml:space="preserve">malkūttā</w:t>
      </w:r>
      <w:r>
        <w:t xml:space="preserve"> </w:t>
      </w:r>
      <w:r>
        <w:t xml:space="preserve">(kingdom) is a feminine noun.</w:t>
      </w:r>
    </w:p>
    <w:p>
      <w:pPr>
        <w:pStyle w:val="FirstParagraph"/>
      </w:pPr>
      <w:r>
        <w:rPr>
          <w:b/>
          <w:bCs/>
        </w:rPr>
        <w:t xml:space="preserve">Exercise 1: Participle Identification</w:t>
      </w:r>
    </w:p>
    <w:p>
      <w:pPr>
        <w:pStyle w:val="Compact"/>
        <w:numPr>
          <w:ilvl w:val="0"/>
          <w:numId w:val="1012"/>
        </w:numPr>
      </w:pPr>
      <w:r>
        <w:t xml:space="preserve">Masculine Plural</w:t>
      </w:r>
    </w:p>
    <w:p>
      <w:pPr>
        <w:pStyle w:val="Compact"/>
        <w:numPr>
          <w:ilvl w:val="0"/>
          <w:numId w:val="1012"/>
        </w:numPr>
      </w:pPr>
      <w:r>
        <w:t xml:space="preserve">Feminine Singular</w:t>
      </w:r>
    </w:p>
    <w:p>
      <w:pPr>
        <w:pStyle w:val="Compact"/>
        <w:numPr>
          <w:ilvl w:val="0"/>
          <w:numId w:val="1012"/>
        </w:numPr>
      </w:pPr>
      <w:r>
        <w:t xml:space="preserve">Feminine Plural</w:t>
      </w:r>
    </w:p>
    <w:p>
      <w:pPr>
        <w:pStyle w:val="Compact"/>
        <w:numPr>
          <w:ilvl w:val="0"/>
          <w:numId w:val="1012"/>
        </w:numPr>
      </w:pPr>
      <w:r>
        <w:t xml:space="preserve">Masculine Singular</w:t>
      </w:r>
    </w:p>
    <w:p>
      <w:pPr>
        <w:pStyle w:val="FirstParagraph"/>
      </w:pPr>
      <w:r>
        <w:rPr>
          <w:b/>
          <w:bCs/>
        </w:rPr>
        <w:t xml:space="preserve">Exercise 2: Conjugation Drill</w:t>
      </w:r>
    </w:p>
    <w:p>
      <w:pPr>
        <w:pStyle w:val="Compact"/>
        <w:numPr>
          <w:ilvl w:val="0"/>
          <w:numId w:val="1013"/>
        </w:numPr>
      </w:pPr>
      <w:r>
        <w:t xml:space="preserve">ʿābed-nā</w:t>
      </w:r>
    </w:p>
    <w:p>
      <w:pPr>
        <w:pStyle w:val="Compact"/>
        <w:numPr>
          <w:ilvl w:val="0"/>
          <w:numId w:val="1013"/>
        </w:numPr>
      </w:pPr>
      <w:r>
        <w:t xml:space="preserve">ʿābdīn-ḥnan</w:t>
      </w:r>
    </w:p>
    <w:p>
      <w:pPr>
        <w:pStyle w:val="Compact"/>
        <w:numPr>
          <w:ilvl w:val="0"/>
          <w:numId w:val="1013"/>
        </w:numPr>
      </w:pPr>
      <w:r>
        <w:t xml:space="preserve">ʿābdā-tī</w:t>
      </w:r>
    </w:p>
    <w:p>
      <w:pPr>
        <w:pStyle w:val="Compact"/>
        <w:numPr>
          <w:ilvl w:val="0"/>
          <w:numId w:val="1013"/>
        </w:numPr>
      </w:pPr>
      <w:r>
        <w:t xml:space="preserve">ʿābdīn (no enclitic needed for 3rd person pl)</w:t>
      </w:r>
    </w:p>
    <w:p>
      <w:pPr>
        <w:pStyle w:val="FirstParagraph"/>
      </w:pPr>
      <w:r>
        <w:rPr>
          <w:b/>
          <w:bCs/>
        </w:rPr>
        <w:t xml:space="preserve">Exercise 3: Translation Drill</w:t>
      </w:r>
    </w:p>
    <w:p>
      <w:pPr>
        <w:pStyle w:val="Compact"/>
        <w:numPr>
          <w:ilvl w:val="0"/>
          <w:numId w:val="1014"/>
        </w:numPr>
      </w:pPr>
      <w:r>
        <w:t xml:space="preserve">I am going to the kingdom.</w:t>
      </w:r>
    </w:p>
    <w:p>
      <w:pPr>
        <w:pStyle w:val="Compact"/>
        <w:numPr>
          <w:ilvl w:val="0"/>
          <w:numId w:val="1014"/>
        </w:numPr>
      </w:pPr>
      <w:r>
        <w:t xml:space="preserve">You all are hearing the word of God.</w:t>
      </w:r>
    </w:p>
    <w:p>
      <w:pPr>
        <w:pStyle w:val="Compact"/>
        <w:numPr>
          <w:ilvl w:val="0"/>
          <w:numId w:val="1014"/>
        </w:numPr>
      </w:pPr>
      <w:r>
        <w:t xml:space="preserve">The evil man is pursuing Yukhannan.</w:t>
      </w:r>
    </w:p>
    <w:p>
      <w:pPr>
        <w:pStyle w:val="Compact"/>
        <w:numPr>
          <w:ilvl w:val="0"/>
          <w:numId w:val="1014"/>
        </w:numPr>
      </w:pPr>
      <w:r>
        <w:t xml:space="preserve">We are seeing a great light there.</w:t>
      </w:r>
    </w:p>
    <w:p>
      <w:pPr>
        <w:pStyle w:val="FirstParagraph"/>
      </w:pPr>
      <w:r>
        <w:rPr>
          <w:b/>
          <w:bCs/>
        </w:rPr>
        <w:t xml:space="preserve">Exercise 4: Production Drill</w:t>
      </w:r>
    </w:p>
    <w:p>
      <w:pPr>
        <w:pStyle w:val="Compact"/>
        <w:numPr>
          <w:ilvl w:val="0"/>
          <w:numId w:val="1015"/>
        </w:numPr>
      </w:pPr>
      <w:r>
        <w:t xml:space="preserve">Šāmaʿ-nā meltā.</w:t>
      </w:r>
    </w:p>
    <w:p>
      <w:pPr>
        <w:pStyle w:val="Compact"/>
        <w:numPr>
          <w:ilvl w:val="0"/>
          <w:numId w:val="1015"/>
        </w:numPr>
      </w:pPr>
      <w:r>
        <w:t xml:space="preserve">Kātbā meltā ṭābtā.</w:t>
      </w:r>
    </w:p>
    <w:p>
      <w:pPr>
        <w:pStyle w:val="Compact"/>
        <w:numPr>
          <w:ilvl w:val="0"/>
          <w:numId w:val="1015"/>
        </w:numPr>
      </w:pPr>
      <w:r>
        <w:t xml:space="preserve">ʾĀzlīn men harkā.</w:t>
      </w:r>
    </w:p>
    <w:p>
      <w:pPr>
        <w:pStyle w:val="Compact"/>
        <w:numPr>
          <w:ilvl w:val="0"/>
          <w:numId w:val="1015"/>
        </w:numPr>
      </w:pPr>
      <w:r>
        <w:t xml:space="preserve">Ḥāzēn-tūn l-malkā.</w:t>
      </w:r>
    </w:p>
    <w:p>
      <w:pPr>
        <w:pStyle w:val="FirstParagraph"/>
      </w:pPr>
      <w:r>
        <w:rPr>
          <w:b/>
          <w:bCs/>
        </w:rPr>
        <w:t xml:space="preserve">Exercise 5: Reading Comprehension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w:r>
        <w:t xml:space="preserve">From here</w:t>
      </w:r>
      <w:r>
        <w:t xml:space="preserve">”</w:t>
      </w:r>
      <w:r>
        <w:t xml:space="preserve"> </w:t>
      </w:r>
      <w:r>
        <w:t xml:space="preserve">(</w:t>
      </w:r>
      <w:r>
        <w:rPr>
          <w:i/>
          <w:iCs/>
        </w:rPr>
        <w:t xml:space="preserve">men harkā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An evil king (</w:t>
      </w:r>
      <w:r>
        <w:rPr>
          <w:i/>
          <w:iCs/>
        </w:rPr>
        <w:t xml:space="preserve">malkā bīšā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The word of God (</w:t>
      </w:r>
      <w:r>
        <w:rPr>
          <w:i/>
          <w:iCs/>
        </w:rPr>
        <w:t xml:space="preserve">meltā d-Alāhā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8"/>
    <w:bookmarkStart w:id="29" w:name="section-10-grammatical-summary"/>
    <w:p>
      <w:pPr>
        <w:pStyle w:val="Heading4"/>
      </w:pPr>
      <w:r>
        <w:t xml:space="preserve">Section 10: Grammatical Summary</w:t>
      </w:r>
    </w:p>
    <w:p>
      <w:pPr>
        <w:pStyle w:val="FirstParagraph"/>
      </w:pPr>
      <w:r>
        <w:rPr>
          <w:b/>
          <w:bCs/>
        </w:rPr>
        <w:t xml:space="preserve">PARTICIPLE + ENCLITIC COMBINATIONS (Masc. Root k-t-b)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Enclitic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 Syriac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write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kāteb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kāteb-nā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 write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kāteb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kāteb-t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 writes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kāteb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(-hū)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kāteb / kāteb-hū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 write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kātbīn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-ḥnan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kātbīn-ḥnan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 all write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kātbīn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-tūn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kātbīn-tūn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They write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kātbīn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kātbīn</w:t>
            </w:r>
          </w:p>
        </w:tc>
      </w:tr>
    </w:tbl>
    <w:bookmarkEnd w:id="29"/>
    <w:bookmarkStart w:id="30" w:name="section-11-additional-vocabulary"/>
    <w:p>
      <w:pPr>
        <w:pStyle w:val="Heading4"/>
      </w:pPr>
      <w:r>
        <w:t xml:space="preserve">Section 11: Additional Vocabulary</w:t>
      </w:r>
    </w:p>
    <w:p>
      <w:pPr>
        <w:pStyle w:val="FirstParagraph"/>
      </w:pPr>
      <w:r>
        <w:t xml:space="preserve">The following 30 genuinely new high-frequency words supplement this lesson’s vocabulary, focusing on nouns and derived verbal nouns relevant to narrative present (participle) usage.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Syriac (Estrangela)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of Speech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ܫܒܬܐ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šabbtā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sabbath,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pl. šabbē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ܠܒܘܫܐ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lbūšā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garment, clothing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root l-b-š (to wear)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ܕܟܪܢܐ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dəkrānā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memory, remembrance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root d-k-r (to remember)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ܦܓܥܢܐ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pəgʿānā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encounter, meeting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root p-g-ʿ (to meet)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ܐܨܒܥܐ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ʾəṣḇʿā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part, abstract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ܦܘܠܚܢܐ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pūlḥānā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labor, toil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root p-l-ḥ (to serve)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ܫܡܪܢܐ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šəmrānā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guard, watchfulness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root š-m-r (to guard)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ܓܡܠܘܬܐ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gəmālūttā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kindness, mercy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root g-m-l (to treat well)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ܠܓܕܬܐ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ləgdəttā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overtaking, 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root l-g-d (to reach)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ܕܠܘܬܐ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dəlūttā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poverty, want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noun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ܦܠܓܘܬܐ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pəlgūttā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division,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root p-l-g (to divide)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ܩܠܦܬܐ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qəlpəttā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shell, exterior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ܪܘܓܙܢܐ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rūgzānā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rage, wrath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root r-g-z (to shake)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ܝܕܥܘܬܐ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ydāʿūttā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root y-d-ʿ (to know)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ܟܦܪܐ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kəprā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village, hamlet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 noun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ܦܩܪܐ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pəqrā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opening, aperture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root p-q-r (to open)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ܓܡܪܘܬܐ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gəmrūttā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completion, fulfillment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root g-m-r (to complete)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ܛܘܫܢܐ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ṭūšānā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strength, might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root ṭ-w-š (to be strong)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ܫܦܥܐ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šəpʿā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abundance, plenty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root š-p-ʿ (to suffice)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ܠܚܡܐ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laḥmā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bread, food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staple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ܦܣܡܐ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pəsmā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measure, standard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ܫܠܡܘܬܐ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šəlmūttā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completeness, wholeness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root š-l-m (to be whole)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ܥܠܩܐ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ʿalqā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ascent, stairway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root ʿ-l-q (to ascend)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ܓܛܪܢܐ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gəṭrānā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enclosure, fence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root g-ṭ-r (to fence)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ܫܢܘܬܐ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šənūttā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change, alteration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root š-n-y (to change)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ܕܒܩܘܬܐ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dəbqūttā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clinging, adherence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root d-b-q (to cling)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ܩܕܘܫܘܬܐ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qdūšūttā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holiness, sanctity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root q-d-š (to be holy)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ܓܕܘܠܘܬܐ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gdūlūttā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greatness, grandeur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root g-d-l (to be great)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ܥܪܘܬܐ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ʿərūttā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nakedness, shame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root ʿ-r-y (to be naked)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ܕܒܪܢܐ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dəbrānā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word, 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 to d-b-r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ܪܘܡܘܬܐ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rūmūttā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height, elevation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root r-w-m (to be high)</w:t>
            </w:r>
          </w:p>
        </w:tc>
      </w:tr>
    </w:tbl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2026-10-06T22:57:49Z</dcterms:created>
  <dcterms:modified xsi:type="dcterms:W3CDTF">2026-10-06T22:57:49Z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