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lesson-4"/>
    <w:p>
      <w:pPr>
        <w:pStyle w:val="Heading2"/>
      </w:pPr>
      <w:r>
        <w:t xml:space="preserve">LESSON 4</w:t>
      </w:r>
    </w:p>
    <w:bookmarkStart w:id="31" w:name="X800cf01632d9989dd7fc3c6cb10c8041ae1b769"/>
    <w:p>
      <w:pPr>
        <w:pStyle w:val="Heading3"/>
      </w:pPr>
      <w:r>
        <w:t xml:space="preserve">Personalizing the Text: Suffixes and Possession</w:t>
      </w:r>
    </w:p>
    <w:p>
      <w:r>
        <w:pict>
          <v:rect style="width:0;height:1.5pt" o:hralign="center" o:hrstd="t" o:hr="t"/>
        </w:pict>
      </w:r>
    </w:p>
    <w:bookmarkStart w:id="20" w:name="section-1-review-of-lesson-3"/>
    <w:p>
      <w:pPr>
        <w:pStyle w:val="Heading4"/>
      </w:pPr>
      <w:r>
        <w:t xml:space="preserve">Section 1: Review of Lesson 3</w:t>
      </w:r>
    </w:p>
    <w:p>
      <w:pPr>
        <w:pStyle w:val="FirstParagraph"/>
      </w:pPr>
      <w:r>
        <w:rPr>
          <w:b/>
          <w:bCs/>
        </w:rPr>
        <w:t xml:space="preserve">Quick Summary</w:t>
      </w:r>
    </w:p>
    <w:p>
      <w:pPr>
        <w:pStyle w:val="BodyText"/>
      </w:pPr>
      <w:r>
        <w:t xml:space="preserve">In Lesson 3, we examined the Peal Perfect tense (the suffix conjugation), learning how Syriac describes completed, past actions. The sentence structure shifted from fluidly subject-led (in the present participle) to stringently Verb-Subject-Object (VSO) led narrative chains using the conjunction</w:t>
      </w:r>
      <w:r>
        <w:t xml:space="preserve"> </w:t>
      </w:r>
      <w:r>
        <w:rPr>
          <w:rStyle w:val="VerbatimChar"/>
        </w:rPr>
        <w:t xml:space="preserve">w-</w:t>
      </w:r>
      <w:r>
        <w:t xml:space="preserve"> </w:t>
      </w:r>
      <w:r>
        <w:t xml:space="preserve">(and).</w:t>
      </w:r>
    </w:p>
    <w:p>
      <w:pPr>
        <w:pStyle w:val="BodyText"/>
      </w:pPr>
      <w:r>
        <w:rPr>
          <w:b/>
          <w:bCs/>
        </w:rPr>
        <w:t xml:space="preserve">5-Question Warm-Up Drill</w:t>
      </w:r>
    </w:p>
    <w:p>
      <w:pPr>
        <w:pStyle w:val="BodyText"/>
      </w:pPr>
      <w:r>
        <w:rPr>
          <w:i/>
          <w:iCs/>
        </w:rPr>
        <w:t xml:space="preserve">(Answers in Section 9)</w:t>
      </w:r>
    </w:p>
    <w:p>
      <w:pPr>
        <w:pStyle w:val="Compact"/>
        <w:numPr>
          <w:ilvl w:val="0"/>
          <w:numId w:val="1001"/>
        </w:numPr>
      </w:pPr>
      <w:r>
        <w:t xml:space="preserve">What does the suffix</w:t>
      </w:r>
      <w:r>
        <w:t xml:space="preserve"> </w:t>
      </w:r>
      <w:r>
        <w:rPr>
          <w:rStyle w:val="VerbatimChar"/>
        </w:rPr>
        <w:t xml:space="preserve">-ū</w:t>
      </w:r>
      <w:r>
        <w:t xml:space="preserve"> </w:t>
      </w:r>
      <w:r>
        <w:t xml:space="preserve">indicate on a Perfect verb (e.g.,</w:t>
      </w:r>
      <w:r>
        <w:t xml:space="preserve"> </w:t>
      </w:r>
      <w:r>
        <w:rPr>
          <w:i/>
          <w:iCs/>
        </w:rPr>
        <w:t xml:space="preserve">ktabū</w:t>
      </w:r>
      <w:r>
        <w:t xml:space="preserve">)?</w:t>
      </w:r>
    </w:p>
    <w:p>
      <w:pPr>
        <w:pStyle w:val="Compact"/>
        <w:numPr>
          <w:ilvl w:val="0"/>
          <w:numId w:val="1001"/>
        </w:numPr>
      </w:pPr>
      <w:r>
        <w:t xml:space="preserve">Translate the basic VSO sentence:</w:t>
      </w:r>
      <w:r>
        <w:t xml:space="preserve"> </w:t>
      </w:r>
      <w:r>
        <w:rPr>
          <w:i/>
          <w:iCs/>
        </w:rPr>
        <w:t xml:space="preserve">Shbaq malkā l-ʾarʿā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happens to the pronunciation of</w:t>
      </w:r>
      <w:r>
        <w:t xml:space="preserve"> </w:t>
      </w:r>
      <w:r>
        <w:rPr>
          <w:i/>
          <w:iCs/>
        </w:rPr>
        <w:t xml:space="preserve">k-t-b</w:t>
      </w:r>
      <w:r>
        <w:t xml:space="preserve"> </w:t>
      </w:r>
      <w:r>
        <w:t xml:space="preserve">(ka-tab) in the Syriac 3rd m.sg Perfect?</w:t>
      </w:r>
    </w:p>
    <w:p>
      <w:pPr>
        <w:pStyle w:val="Compact"/>
        <w:numPr>
          <w:ilvl w:val="0"/>
          <w:numId w:val="1001"/>
        </w:numPr>
      </w:pPr>
      <w:r>
        <w:t xml:space="preserve">How do you distinguish between</w:t>
      </w:r>
      <w:r>
        <w:t xml:space="preserve"> </w:t>
      </w:r>
      <w:r>
        <w:t xml:space="preserve">“</w:t>
      </w:r>
      <w:r>
        <w:t xml:space="preserve">I went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You (m) went</w:t>
      </w:r>
      <w:r>
        <w:t xml:space="preserve">”</w:t>
      </w:r>
      <w:r>
        <w:t xml:space="preserve"> </w:t>
      </w:r>
      <w:r>
        <w:t xml:space="preserve">if both are written ܟܬܒܬ (</w:t>
      </w:r>
      <w:r>
        <w:rPr>
          <w:i/>
          <w:iCs/>
        </w:rPr>
        <w:t xml:space="preserve">ktabt/ketbet</w:t>
      </w:r>
      <w:r>
        <w:t xml:space="preserve">) without vowels?</w:t>
      </w:r>
    </w:p>
    <w:p>
      <w:pPr>
        <w:pStyle w:val="Compact"/>
        <w:numPr>
          <w:ilvl w:val="0"/>
          <w:numId w:val="1001"/>
        </w:numPr>
      </w:pPr>
      <w:r>
        <w:t xml:space="preserve">Translate:</w:t>
      </w:r>
      <w:r>
        <w:t xml:space="preserve"> </w:t>
      </w:r>
      <w:r>
        <w:rPr>
          <w:i/>
          <w:iCs/>
        </w:rPr>
        <w:t xml:space="preserve">w-qreb Yūḥannan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Xa03731b90acef1c46529be4a5423ec7b22d036d"/>
    <w:p>
      <w:pPr>
        <w:pStyle w:val="Heading4"/>
      </w:pPr>
      <w:r>
        <w:t xml:space="preserve">Section 2: Possession and Pronominal Suffixes — Overview</w:t>
      </w:r>
    </w:p>
    <w:p>
      <w:pPr>
        <w:pStyle w:val="FirstParagraph"/>
      </w:pPr>
      <w:r>
        <w:t xml:space="preserve">In English, we indicate possession using separate pronouns placed before a noun:</w:t>
      </w:r>
      <w:r>
        <w:t xml:space="preserve"> </w:t>
      </w:r>
      <w:r>
        <w:t xml:space="preserve">“</w:t>
      </w:r>
      <w:r>
        <w:t xml:space="preserve">my house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your king</w:t>
      </w:r>
      <w:r>
        <w:t xml:space="preserve">”</w:t>
      </w:r>
      <w:r>
        <w:t xml:space="preserve">. In Greek, it’s often an independent genitive pronoun: ὁ οἶκός μου (</w:t>
      </w:r>
      <w:r>
        <w:rPr>
          <w:i/>
          <w:iCs/>
        </w:rPr>
        <w:t xml:space="preserve">ho oikos mou</w:t>
      </w:r>
      <w:r>
        <w:t xml:space="preserve">).</w:t>
      </w:r>
    </w:p>
    <w:p>
      <w:pPr>
        <w:pStyle w:val="BodyText"/>
      </w:pPr>
      <w:r>
        <w:t xml:space="preserve">However, in Semitic languages, possession is expressed by attaching a</w:t>
      </w:r>
      <w:r>
        <w:t xml:space="preserve"> </w:t>
      </w:r>
      <w:r>
        <w:rPr>
          <w:b/>
          <w:bCs/>
        </w:rPr>
        <w:t xml:space="preserve">pronominal suffix</w:t>
      </w:r>
      <w:r>
        <w:t xml:space="preserve"> </w:t>
      </w:r>
      <w:r>
        <w:t xml:space="preserve">directly to the end of the noun.</w:t>
      </w:r>
    </w:p>
    <w:p>
      <w:pPr>
        <w:pStyle w:val="BodyText"/>
      </w:pPr>
      <w:r>
        <w:rPr>
          <w:b/>
          <w:bCs/>
        </w:rPr>
        <w:t xml:space="preserve">Cross-Linguistic Comparison: The Possessive Suffix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Hebrew</w:t>
      </w:r>
      <w:r>
        <w:t xml:space="preserve">: סוּס (</w:t>
      </w:r>
      <w:r>
        <w:rPr>
          <w:i/>
          <w:iCs/>
        </w:rPr>
        <w:t xml:space="preserve">sūs</w:t>
      </w:r>
      <w:r>
        <w:t xml:space="preserve">, horse)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סוּסִי (</w:t>
      </w:r>
      <w:r>
        <w:rPr>
          <w:i/>
          <w:iCs/>
        </w:rPr>
        <w:t xml:space="preserve">sūsī</w:t>
      </w:r>
      <w:r>
        <w:t xml:space="preserve">, my horse). אָב (</w:t>
      </w:r>
      <w:r>
        <w:rPr>
          <w:i/>
          <w:iCs/>
        </w:rPr>
        <w:t xml:space="preserve">ʾāb</w:t>
      </w:r>
      <w:r>
        <w:t xml:space="preserve">, father)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אָבִינוּ (</w:t>
      </w:r>
      <w:r>
        <w:rPr>
          <w:i/>
          <w:iCs/>
        </w:rPr>
        <w:t xml:space="preserve">ʾābīnū</w:t>
      </w:r>
      <w:r>
        <w:t xml:space="preserve">, our father).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Arabic</w:t>
      </w:r>
      <w:r>
        <w:t xml:space="preserve">: كتاب (</w:t>
      </w:r>
      <w:r>
        <w:rPr>
          <w:i/>
          <w:iCs/>
        </w:rPr>
        <w:t xml:space="preserve">kitāb</w:t>
      </w:r>
      <w:r>
        <w:t xml:space="preserve">, book)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كتابي (</w:t>
      </w:r>
      <w:r>
        <w:rPr>
          <w:i/>
          <w:iCs/>
        </w:rPr>
        <w:t xml:space="preserve">kitābī</w:t>
      </w:r>
      <w:r>
        <w:t xml:space="preserve">, my book).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Syriac</w:t>
      </w:r>
      <w:r>
        <w:t xml:space="preserve">: ܟܬܒ (</w:t>
      </w:r>
      <w:r>
        <w:rPr>
          <w:i/>
          <w:iCs/>
        </w:rPr>
        <w:t xml:space="preserve">ktāb</w:t>
      </w:r>
      <w:r>
        <w:t xml:space="preserve">, book)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ܟܬܒܝ (</w:t>
      </w:r>
      <w:r>
        <w:rPr>
          <w:i/>
          <w:iCs/>
        </w:rPr>
        <w:t xml:space="preserve">ktāby</w:t>
      </w:r>
      <w:r>
        <w:t xml:space="preserve">, my book). ܐܒ (</w:t>
      </w:r>
      <w:r>
        <w:rPr>
          <w:i/>
          <w:iCs/>
        </w:rPr>
        <w:t xml:space="preserve">ʾab</w:t>
      </w:r>
      <w:r>
        <w:t xml:space="preserve">, father)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ܐܒܘܢ (</w:t>
      </w:r>
      <w:r>
        <w:rPr>
          <w:i/>
          <w:iCs/>
        </w:rPr>
        <w:t xml:space="preserve">ʾabūn</w:t>
      </w:r>
      <w:r>
        <w:t xml:space="preserve">, our father).</w:t>
      </w:r>
    </w:p>
    <w:p>
      <w:pPr>
        <w:pStyle w:val="FirstParagraph"/>
      </w:pPr>
      <w:r>
        <w:t xml:space="preserve">These suffixes are derived from the same ancient roots as the independent pronouns (</w:t>
      </w:r>
      <w:r>
        <w:rPr>
          <w:i/>
          <w:iCs/>
        </w:rPr>
        <w:t xml:space="preserve">ʾenā</w:t>
      </w:r>
      <w:r>
        <w:t xml:space="preserve">,</w:t>
      </w:r>
      <w:r>
        <w:t xml:space="preserve"> </w:t>
      </w:r>
      <w:r>
        <w:rPr>
          <w:i/>
          <w:iCs/>
        </w:rPr>
        <w:t xml:space="preserve">ʾant</w:t>
      </w:r>
      <w:r>
        <w:t xml:space="preserve">,</w:t>
      </w:r>
      <w:r>
        <w:t xml:space="preserve"> </w:t>
      </w:r>
      <w:r>
        <w:rPr>
          <w:i/>
          <w:iCs/>
        </w:rPr>
        <w:t xml:space="preserve">hū</w:t>
      </w:r>
      <w:r>
        <w:t xml:space="preserve">) but are highly compressed.</w:t>
      </w:r>
    </w:p>
    <w:p>
      <w:r>
        <w:pict>
          <v:rect style="width:0;height:1.5pt" o:hralign="center" o:hrstd="t" o:hr="t"/>
        </w:pict>
      </w:r>
    </w:p>
    <w:bookmarkEnd w:id="21"/>
    <w:bookmarkStart w:id="22" w:name="Xc7dc03bc36842139816766c68a05a5346e7db00"/>
    <w:p>
      <w:pPr>
        <w:pStyle w:val="Heading4"/>
      </w:pPr>
      <w:r>
        <w:t xml:space="preserve">Section 3: Pronominal Suffixes on Nouns &amp; Prepositions</w:t>
      </w:r>
    </w:p>
    <w:p>
      <w:pPr>
        <w:pStyle w:val="FirstParagraph"/>
      </w:pPr>
      <w:r>
        <w:rPr>
          <w:b/>
          <w:bCs/>
        </w:rPr>
        <w:t xml:space="preserve">1. Suffixes on Singular Nouns</w:t>
      </w:r>
    </w:p>
    <w:p>
      <w:pPr>
        <w:pStyle w:val="BodyText"/>
      </w:pPr>
      <w:r>
        <w:t xml:space="preserve">To add a suffix, Syriac uses the Absolute state of the noun, not the Emphatic state. (You don’t say</w:t>
      </w:r>
      <w:r>
        <w:t xml:space="preserve"> </w:t>
      </w:r>
      <w:r>
        <w:t xml:space="preserve">“</w:t>
      </w:r>
      <w:r>
        <w:t xml:space="preserve">the my-king</w:t>
      </w:r>
      <w:r>
        <w:t xml:space="preserve">”</w:t>
      </w:r>
      <w:r>
        <w:t xml:space="preserve"> </w:t>
      </w:r>
      <w:r>
        <w:rPr>
          <w:rStyle w:val="VerbatimChar"/>
        </w:rPr>
        <w:t xml:space="preserve">*malkā-y</w:t>
      </w:r>
      <w:r>
        <w:t xml:space="preserve">; you say</w:t>
      </w:r>
      <w:r>
        <w:t xml:space="preserve"> </w:t>
      </w:r>
      <w:r>
        <w:t xml:space="preserve">“</w:t>
      </w:r>
      <w:r>
        <w:t xml:space="preserve">king-my</w:t>
      </w:r>
      <w:r>
        <w:t xml:space="preserve">”</w:t>
      </w:r>
      <w:r>
        <w:t xml:space="preserve">,</w:t>
      </w:r>
      <w:r>
        <w:t xml:space="preserve"> </w:t>
      </w:r>
      <w:r>
        <w:rPr>
          <w:rStyle w:val="VerbatimChar"/>
        </w:rPr>
        <w:t xml:space="preserve">malk-y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Malk-</w:t>
      </w:r>
      <w:r>
        <w:t xml:space="preserve"> </w:t>
      </w:r>
      <w:r>
        <w:t xml:space="preserve">(king) +</w:t>
      </w:r>
      <w:r>
        <w:t xml:space="preserve"> </w:t>
      </w:r>
      <w:r>
        <w:rPr>
          <w:i/>
          <w:iCs/>
        </w:rPr>
        <w:t xml:space="preserve">-eh</w:t>
      </w:r>
      <w:r>
        <w:t xml:space="preserve"> </w:t>
      </w:r>
      <w:r>
        <w:t xml:space="preserve">(his) =</w:t>
      </w:r>
      <w:r>
        <w:t xml:space="preserve"> </w:t>
      </w:r>
      <w:r>
        <w:rPr>
          <w:i/>
          <w:iCs/>
        </w:rPr>
        <w:t xml:space="preserve">malkeh</w:t>
      </w:r>
      <w:r>
        <w:t xml:space="preserve"> </w:t>
      </w:r>
      <w:r>
        <w:t xml:space="preserve">(his king).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ʾAb-</w:t>
      </w:r>
      <w:r>
        <w:t xml:space="preserve"> </w:t>
      </w:r>
      <w:r>
        <w:t xml:space="preserve">(father) +</w:t>
      </w:r>
      <w:r>
        <w:t xml:space="preserve"> </w:t>
      </w:r>
      <w:r>
        <w:rPr>
          <w:i/>
          <w:iCs/>
        </w:rPr>
        <w:t xml:space="preserve">-y</w:t>
      </w:r>
      <w:r>
        <w:t xml:space="preserve"> </w:t>
      </w:r>
      <w:r>
        <w:t xml:space="preserve">(my) =</w:t>
      </w:r>
      <w:r>
        <w:t xml:space="preserve"> </w:t>
      </w:r>
      <w:r>
        <w:rPr>
          <w:i/>
          <w:iCs/>
        </w:rPr>
        <w:t xml:space="preserve">ʾaby</w:t>
      </w:r>
      <w:r>
        <w:t xml:space="preserve"> </w:t>
      </w:r>
      <w:r>
        <w:t xml:space="preserve">(my father).</w:t>
      </w:r>
    </w:p>
    <w:p>
      <w:pPr>
        <w:pStyle w:val="FirstParagraph"/>
      </w:pPr>
      <w:r>
        <w:rPr>
          <w:b/>
          <w:bCs/>
        </w:rPr>
        <w:t xml:space="preserve">2. Suffixes on Prepositions</w:t>
      </w:r>
    </w:p>
    <w:p>
      <w:pPr>
        <w:pStyle w:val="BodyText"/>
      </w:pPr>
      <w:r>
        <w:t xml:space="preserve">The exact same suffixes attach to the inseparable prepositions</w:t>
      </w:r>
      <w:r>
        <w:t xml:space="preserve"> </w:t>
      </w:r>
      <w:r>
        <w:rPr>
          <w:rStyle w:val="VerbatimChar"/>
        </w:rPr>
        <w:t xml:space="preserve">b-</w:t>
      </w:r>
      <w:r>
        <w:t xml:space="preserve"> </w:t>
      </w:r>
      <w:r>
        <w:t xml:space="preserve">(in) and</w:t>
      </w:r>
      <w:r>
        <w:t xml:space="preserve"> </w:t>
      </w:r>
      <w:r>
        <w:rPr>
          <w:rStyle w:val="VerbatimChar"/>
        </w:rPr>
        <w:t xml:space="preserve">l-</w:t>
      </w:r>
      <w:r>
        <w:t xml:space="preserve"> </w:t>
      </w:r>
      <w:r>
        <w:t xml:space="preserve">(to/for).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b-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-eh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</w:rPr>
        <w:t xml:space="preserve">beh</w:t>
      </w:r>
      <w:r>
        <w:t xml:space="preserve"> </w:t>
      </w:r>
      <w:r>
        <w:t xml:space="preserve">(in him / in it).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l-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-k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</w:rPr>
        <w:t xml:space="preserve">lāḵ</w:t>
      </w:r>
      <w:r>
        <w:t xml:space="preserve"> </w:t>
      </w:r>
      <w:r>
        <w:t xml:space="preserve">(to you, m.sg).</w:t>
      </w:r>
    </w:p>
    <w:p>
      <w:pPr>
        <w:pStyle w:val="FirstParagraph"/>
      </w:pPr>
      <w:r>
        <w:rPr>
          <w:b/>
          <w:bCs/>
        </w:rPr>
        <w:t xml:space="preserve">3. The Idiom for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To Have</w:t>
      </w:r>
      <w:r>
        <w:rPr>
          <w:b/>
          <w:bCs/>
        </w:rPr>
        <w:t xml:space="preserve">”</w:t>
      </w:r>
    </w:p>
    <w:p>
      <w:pPr>
        <w:pStyle w:val="BodyText"/>
      </w:pPr>
      <w:r>
        <w:t xml:space="preserve">Syriac (like Hebrew and Arabic) lacks a dedicated verb meaning</w:t>
      </w:r>
      <w:r>
        <w:t xml:space="preserve"> </w:t>
      </w:r>
      <w:r>
        <w:t xml:space="preserve">“</w:t>
      </w:r>
      <w:r>
        <w:t xml:space="preserve">to possess</w:t>
      </w:r>
      <w:r>
        <w:t xml:space="preserve">”</w:t>
      </w:r>
      <w:r>
        <w:t xml:space="preserve"> </w:t>
      </w:r>
      <w:r>
        <w:t xml:space="preserve">(like English</w:t>
      </w:r>
      <w:r>
        <w:t xml:space="preserve"> </w:t>
      </w:r>
      <w:r>
        <w:t xml:space="preserve">“</w:t>
      </w:r>
      <w:r>
        <w:t xml:space="preserve">to have</w:t>
      </w:r>
      <w:r>
        <w:t xml:space="preserve">”</w:t>
      </w:r>
      <w:r>
        <w:t xml:space="preserve"> </w:t>
      </w:r>
      <w:r>
        <w:t xml:space="preserve">or Latin</w:t>
      </w:r>
      <w:r>
        <w:t xml:space="preserve"> </w:t>
      </w:r>
      <w:r>
        <w:t xml:space="preserve">“</w:t>
      </w:r>
      <w:r>
        <w:t xml:space="preserve">habere</w:t>
      </w:r>
      <w:r>
        <w:t xml:space="preserve">”</w:t>
      </w:r>
      <w:r>
        <w:t xml:space="preserve">). Instead, Semitic languages use a prepositional phrase:</w:t>
      </w:r>
      <w:r>
        <w:t xml:space="preserve"> </w:t>
      </w:r>
      <w:r>
        <w:t xml:space="preserve">“</w:t>
      </w:r>
      <w:r>
        <w:t xml:space="preserve">there is to me</w:t>
      </w:r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w:r>
        <w:t xml:space="preserve">to me</w:t>
      </w:r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īt l-y</w:t>
      </w:r>
      <w:r>
        <w:t xml:space="preserve"> </w:t>
      </w:r>
      <w:r>
        <w:t xml:space="preserve">(there-is to-me)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b/>
          <w:bCs/>
        </w:rPr>
        <w:t xml:space="preserve">ītly</w:t>
      </w:r>
      <w:r>
        <w:t xml:space="preserve"> </w:t>
      </w:r>
      <w:r>
        <w:t xml:space="preserve">= I have.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layt l-eh</w:t>
      </w:r>
      <w:r>
        <w:t xml:space="preserve"> </w:t>
      </w:r>
      <w:r>
        <w:t xml:space="preserve">(there-is-not to-him) = He does not have.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ītly srārā</w:t>
      </w:r>
      <w:r>
        <w:t xml:space="preserve"> </w:t>
      </w:r>
      <w:r>
        <w:t xml:space="preserve">= I have truth. (Lit: There is to me truth).</w:t>
      </w:r>
    </w:p>
    <w:p>
      <w:r>
        <w:pict>
          <v:rect style="width:0;height:1.5pt" o:hralign="center" o:hrstd="t" o:hr="t"/>
        </w:pict>
      </w:r>
    </w:p>
    <w:bookmarkEnd w:id="22"/>
    <w:bookmarkStart w:id="23" w:name="X4025799ac6f28be53a1d24d7291decbeddc1778"/>
    <w:p>
      <w:pPr>
        <w:pStyle w:val="Heading4"/>
      </w:pPr>
      <w:r>
        <w:t xml:space="preserve">Section 4: The Suffix Paradigm for Singular Nouns</w:t>
      </w:r>
    </w:p>
    <w:p>
      <w:pPr>
        <w:pStyle w:val="FirstParagraph"/>
      </w:pPr>
      <w:r>
        <w:t xml:space="preserve">This paradigm uses the masculine noun</w:t>
      </w:r>
      <w:r>
        <w:t xml:space="preserve"> </w:t>
      </w:r>
      <w:r>
        <w:rPr>
          <w:i/>
          <w:iCs/>
        </w:rPr>
        <w:t xml:space="preserve">malk-</w:t>
      </w:r>
      <w:r>
        <w:t xml:space="preserve"> </w:t>
      </w:r>
      <w:r>
        <w:t xml:space="preserve">(king, root m-l-k) and the feminine noun</w:t>
      </w:r>
      <w:r>
        <w:t xml:space="preserve"> </w:t>
      </w:r>
      <w:r>
        <w:rPr>
          <w:i/>
          <w:iCs/>
        </w:rPr>
        <w:t xml:space="preserve">malkūtt-</w:t>
      </w:r>
      <w:r>
        <w:t xml:space="preserve"> </w:t>
      </w:r>
      <w:r>
        <w:t xml:space="preserve">(kingdom). Notice the suffix column; you must memorize these endings.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Suffix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Masculine Noun (</w:t>
            </w:r>
            <w:r>
              <w:rPr>
                <w:i/>
                <w:iCs/>
              </w:rPr>
              <w:t xml:space="preserve">malk-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Fem Noun (</w:t>
            </w:r>
            <w:r>
              <w:rPr>
                <w:i/>
                <w:iCs/>
              </w:rPr>
              <w:t xml:space="preserve">malkūtt-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 c.sg. (my)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ـܝ (-y)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ܡܠܟܝ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malk-y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ܡܠܟܘܬܝ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malkūtt-y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 m.sg. (your)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ـܟ (-k)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ܡܠܟܟ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malk-āḵ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ܡܠܟܘܬܟ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malkūtt-āḵ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 f.sg. (your)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ـܟܝ (-ky)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ܡܠܟܟܝ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malk-ēky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ܡܠܟܘܬܟܝ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malkūtt-ēky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 m.sg. (his)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ـܗ (-eh)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ܡܠܟܗ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malk-eh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ܡܠܟܘܬܗ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malkūtt-eh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 f.sg. (her)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ـܗ (-āh)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ܡܠܟܗ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malk-āh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ܡܠܟܘܬܗ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malkūtt-āh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 c.pl. (our)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ـܢ (-n)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ܡܠܟܢ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malk-an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ܡܠܟܘܬܢ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malkūtt-an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 m.pl. (your)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ـܟܘܢ (-kūn)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ܡܠܟܟܘܢ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malk-kūn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ܡܠܟܘܬܟܘܢ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malkūtt-kūn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 f.pl. (your)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ـܟܝܢ (-kēn)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ܡܠܟܟܝܢ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malk-kēn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ܡܠܟܘܬܟܝܢ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malkūtt-kēn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 m.pl. (their)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ـܗܘܢ (-hūn)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ܡܠܟܗܘܢ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malk-hūn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ܡܠܟܘܬܗܘܢ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malkūtt-hūn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 f.pl. (their)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ـܗܝܢ (-hēn)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ܡܠܟܗܝܢ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malk-hēn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ܡܠܟܘܬܗܝܢ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malkūtt-hēn</w:t>
            </w:r>
          </w:p>
        </w:tc>
      </w:tr>
    </w:tbl>
    <w:p>
      <w:pPr>
        <w:pStyle w:val="BodyText"/>
      </w:pPr>
      <w:r>
        <w:rPr>
          <w:i/>
          <w:iCs/>
        </w:rPr>
        <w:t xml:space="preserve">Orthography Note: The 3rd masculine singular (-eh) and 3rd feminine singular (-āh) are both spelled with a final Heh (ܗ). Only vowel pointing or context distinguishes</w:t>
      </w:r>
      <w:r>
        <w:rPr>
          <w:i/>
          <w:iCs/>
        </w:rP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his</w:t>
      </w:r>
      <w:r>
        <w:rPr>
          <w:i/>
          <w:iCs/>
        </w:rPr>
        <w:t xml:space="preserve">”</w:t>
      </w:r>
      <w:r>
        <w:rPr>
          <w:i/>
          <w:iCs/>
        </w:rPr>
        <w:t xml:space="preserve"> </w:t>
      </w:r>
      <w:r>
        <w:rPr>
          <w:i/>
          <w:iCs/>
        </w:rPr>
        <w:t xml:space="preserve">from</w:t>
      </w:r>
      <w:r>
        <w:rPr>
          <w:i/>
          <w:iCs/>
        </w:rP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her</w:t>
      </w:r>
      <w:r>
        <w:rPr>
          <w:i/>
          <w:iCs/>
        </w:rPr>
        <w:t xml:space="preserve">”</w:t>
      </w:r>
      <w:r>
        <w:rPr>
          <w:i/>
          <w:iCs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Xdf19294eb6302eb3fd05354c2a2e0c58f8de99e"/>
    <w:p>
      <w:pPr>
        <w:pStyle w:val="Heading4"/>
      </w:pPr>
      <w:r>
        <w:t xml:space="preserve">Section 5: Prepositional</w:t>
      </w:r>
      <w:r>
        <w:t xml:space="preserve"> </w:t>
      </w:r>
      <w:r>
        <w:t xml:space="preserve">“</w:t>
      </w:r>
      <w:r>
        <w:t xml:space="preserve">To Have</w:t>
      </w:r>
      <w:r>
        <w:t xml:space="preserve">”</w:t>
      </w:r>
      <w:r>
        <w:t xml:space="preserve"> </w:t>
      </w:r>
      <w:r>
        <w:t xml:space="preserve">Paradigm (l- + Suffix)</w:t>
      </w:r>
    </w:p>
    <w:p>
      <w:pPr>
        <w:pStyle w:val="FirstParagraph"/>
      </w:pPr>
      <w:r>
        <w:t xml:space="preserve">How to say</w:t>
      </w:r>
      <w:r>
        <w:t xml:space="preserve"> </w:t>
      </w:r>
      <w:r>
        <w:t xml:space="preserve">“</w:t>
      </w:r>
      <w:r>
        <w:t xml:space="preserve">I have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You have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He has</w:t>
      </w:r>
      <w:r>
        <w:t xml:space="preserve">”</w:t>
      </w:r>
      <w:r>
        <w:t xml:space="preserve">, etc., by attaching suffixes to the</w:t>
      </w:r>
      <w:r>
        <w:t xml:space="preserve"> </w:t>
      </w:r>
      <w:r>
        <w:rPr>
          <w:rStyle w:val="VerbatimChar"/>
        </w:rPr>
        <w:t xml:space="preserve">l-</w:t>
      </w:r>
      <w:r>
        <w:t xml:space="preserve"> </w:t>
      </w:r>
      <w:r>
        <w:t xml:space="preserve">preposition, often preceded by</w:t>
      </w:r>
      <w:r>
        <w:t xml:space="preserve"> </w:t>
      </w:r>
      <w:r>
        <w:rPr>
          <w:i/>
          <w:iCs/>
        </w:rPr>
        <w:t xml:space="preserve">īt</w:t>
      </w:r>
      <w:r>
        <w:t xml:space="preserve"> </w:t>
      </w:r>
      <w:r>
        <w:t xml:space="preserve">(there is).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Estrangela (l- + suffix)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Transliteration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 c.sg.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ܠܝ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me (I have)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 m.sg.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ܠܟ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lāḵ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you (You have)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 f.sg.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ܠܟܝ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lēky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you (You have)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 m.sg.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ܠܗ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lēh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him (He has)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 f.sg.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ܠܗ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lāh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her (She has)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 c.pl.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ܠܢ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lān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us (We have)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 m.pl.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ܠܟܘܢ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lḵūn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you (You all have)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 m.pl.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ܠܗܘܢ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lhūn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them (They have)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Xa167e4aafcaa1e9494221ae89984b237c24e9ce"/>
    <w:p>
      <w:pPr>
        <w:pStyle w:val="Heading4"/>
      </w:pPr>
      <w:r>
        <w:t xml:space="preserve">Section 6: Vocabulary (Family, Body Parts &amp; Belongings)</w:t>
      </w:r>
    </w:p>
    <w:p>
      <w:pPr>
        <w:pStyle w:val="FirstParagraph"/>
      </w:pPr>
      <w:r>
        <w:t xml:space="preserve">Family and body parts are the most common nouns to receive pronominal suffixes.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Absolute / Emphatic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Transliteration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 with Suffix (1 c.sg.)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ܐܒ / ܐܒܐ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ʾab / ʾabā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ʾab-y (my father)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ܐܡ / ܐܡܐ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ʾem / ʾemmā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ʾem-y (my mother)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ܒܪ / ܒܪܐ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 / brā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bar-y (my son)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ܒܪܬ / ܒܪܬܐ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bart / brattā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Daughter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bart-y (my daughter)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ܐܚ / ܐܚܐ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ʾaḥ / ʾaḥā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ʾaḥ-y (my brother)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ܐܝܕ / ܐܝܕܐ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ʾīd / ʾīdā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 (f)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ʾīd-y (my hand)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ܪܝܫ / ܪܝܫܐ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rēš / rēšā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 (m)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rēš-y (my head)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ܩܠ / ܩܠܐ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qāl / qālā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Voice (m)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qāl-y (my voice)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ܠܒܘܫ / ܠܒܘܫܐ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lbūš / lbūšā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lbūš-y (my garment)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ܒܝܬ / ܒܝܬܐ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bēt / baytā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bayt-y (my house)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ܡܐ / ܡܢܐ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mā / mānā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(Interrogative pronoun)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ܐܝܟܘ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ʾaykō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(Interrogative adverb)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section-7-the-story-part-4"/>
    <w:p>
      <w:pPr>
        <w:pStyle w:val="Heading4"/>
      </w:pPr>
      <w:r>
        <w:t xml:space="preserve">Section 7: The Story — Part 4</w:t>
      </w:r>
    </w:p>
    <w:p>
      <w:pPr>
        <w:pStyle w:val="FirstParagraph"/>
      </w:pPr>
      <w:r>
        <w:rPr>
          <w:b/>
          <w:bCs/>
        </w:rPr>
        <w:t xml:space="preserve">A Dialogue at the Gate</w:t>
      </w:r>
    </w:p>
    <w:p>
      <w:pPr>
        <w:pStyle w:val="BodyText"/>
      </w:pPr>
      <w:r>
        <w:rPr>
          <w:i/>
          <w:iCs/>
        </w:rPr>
        <w:t xml:space="preserve">Narrative note: Watch how the guards use suffixes with prepositions (</w:t>
      </w:r>
      <w:r>
        <w:rPr>
          <w:rStyle w:val="VerbatimChar"/>
          <w:i/>
          <w:iCs/>
        </w:rPr>
        <w:t xml:space="preserve">lēh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lḵūn</w:t>
      </w:r>
      <w:r>
        <w:rPr>
          <w:i/>
          <w:iCs/>
        </w:rPr>
        <w:t xml:space="preserve">) and nouns (</w:t>
      </w:r>
      <w:r>
        <w:rPr>
          <w:rStyle w:val="VerbatimChar"/>
          <w:i/>
          <w:iCs/>
        </w:rPr>
        <w:t xml:space="preserve">ʾabūk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ʾemāḵ</w:t>
      </w:r>
      <w:r>
        <w:rPr>
          <w:i/>
          <w:iCs/>
        </w:rPr>
        <w:t xml:space="preserve">) to interrogate Yukhannan about his origins and possessions.</w:t>
      </w:r>
    </w:p>
    <w:p>
      <w:pPr>
        <w:pStyle w:val="BodyText"/>
      </w:pPr>
      <w:r>
        <w:rPr>
          <w:b/>
          <w:bCs/>
        </w:rPr>
        <w:t xml:space="preserve">Sentence 1</w:t>
      </w:r>
    </w:p>
    <w:p>
      <w:pPr>
        <w:pStyle w:val="BodyText"/>
      </w:pPr>
      <w:r>
        <w:t xml:space="preserve">ܩܡ ܝܘܚܢܢ ܒܬܪܥܐ ܕܡܠܟܘܬܐ</w:t>
      </w:r>
      <w:r>
        <w:t xml:space="preserve"> </w:t>
      </w:r>
      <w:r>
        <w:t xml:space="preserve">qām Yūḥannan b-tarʿā d-malkūttā.</w:t>
      </w:r>
      <w:r>
        <w:t xml:space="preserve"> </w:t>
      </w:r>
      <w:r>
        <w:t xml:space="preserve">qām (stood) Yūḥannan (John) b-tarʿā (in-the-gate) d-malkūttā (of-the-kingdom).</w:t>
      </w:r>
      <w:r>
        <w:t xml:space="preserve"> </w:t>
      </w:r>
      <w:r>
        <w:t xml:space="preserve">→ Yukhannan stood at the gate of the kingdom.</w:t>
      </w:r>
    </w:p>
    <w:p>
      <w:pPr>
        <w:pStyle w:val="BodyText"/>
      </w:pPr>
      <w:r>
        <w:rPr>
          <w:b/>
          <w:bCs/>
        </w:rPr>
        <w:t xml:space="preserve">Sentence 2</w:t>
      </w:r>
    </w:p>
    <w:p>
      <w:pPr>
        <w:pStyle w:val="BodyText"/>
      </w:pPr>
      <w:r>
        <w:t xml:space="preserve">ܘܐܡܪܝܢ ܩܫܝܫܐ ܕܬܪܥܐ ܠܗ</w:t>
      </w:r>
      <w:r>
        <w:t xml:space="preserve"> </w:t>
      </w:r>
      <w:r>
        <w:t xml:space="preserve">w-ʾāmrīn qašīšē d-tarʿā l-ēh:</w:t>
      </w:r>
      <w:r>
        <w:t xml:space="preserve"> </w:t>
      </w:r>
      <w:r>
        <w:t xml:space="preserve">w-ʾāmrīn (and-are-saying) qašīšē (the-elders/guards) d-tarʿā (of-the-gate) l-ēh (to-him):</w:t>
      </w:r>
      <w:r>
        <w:t xml:space="preserve"> </w:t>
      </w:r>
      <w:r>
        <w:t xml:space="preserve">→ And the guards of the gate say to him:</w:t>
      </w:r>
    </w:p>
    <w:p>
      <w:pPr>
        <w:pStyle w:val="BodyText"/>
      </w:pPr>
      <w:r>
        <w:rPr>
          <w:b/>
          <w:bCs/>
        </w:rPr>
        <w:t xml:space="preserve">Sentence 3</w:t>
      </w:r>
    </w:p>
    <w:p>
      <w:pPr>
        <w:pStyle w:val="BodyText"/>
      </w:pPr>
      <w:r>
        <w:t xml:space="preserve">ܡܢ ܐܝܢܐ ܐܬܪܐ ܐܢܬ</w:t>
      </w:r>
      <w:r>
        <w:t xml:space="preserve"> </w:t>
      </w:r>
      <w:r>
        <w:t xml:space="preserve">men ʾaynā ʾatrā ʾant?</w:t>
      </w:r>
      <w:r>
        <w:t xml:space="preserve"> </w:t>
      </w:r>
      <w:r>
        <w:t xml:space="preserve">men (from) ʾaynā (what) ʾatrā (country/place) ʾant (you-[are])?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From what country are you?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Sentence 4</w:t>
      </w:r>
    </w:p>
    <w:p>
      <w:pPr>
        <w:pStyle w:val="BodyText"/>
      </w:pPr>
      <w:r>
        <w:t xml:space="preserve">ܘܐܝܟܘ ܐܒܘܟ ܘܐܡܟ</w:t>
      </w:r>
      <w:r>
        <w:t xml:space="preserve"> </w:t>
      </w:r>
      <w:r>
        <w:t xml:space="preserve">w-ʾaykō ʾab-ūḵ w-ʾem-āḵ?</w:t>
      </w:r>
      <w:r>
        <w:t xml:space="preserve"> </w:t>
      </w:r>
      <w:r>
        <w:t xml:space="preserve">w-ʾaykō (and-where) ʾab-ūḵ (father-your) w-ʾem-āḵ (and-mother-your)?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And where is your father and your mother?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Sentence 5</w:t>
      </w:r>
    </w:p>
    <w:p>
      <w:pPr>
        <w:pStyle w:val="BodyText"/>
      </w:pPr>
      <w:r>
        <w:t xml:space="preserve">ܘܡܐ ܐܝܬ ܠܟ ܒܐܝܕܟ</w:t>
      </w:r>
      <w:r>
        <w:t xml:space="preserve"> </w:t>
      </w:r>
      <w:r>
        <w:t xml:space="preserve">w-mā īt lāḵ b-ʾīd-āḵ?</w:t>
      </w:r>
      <w:r>
        <w:t xml:space="preserve"> </w:t>
      </w:r>
      <w:r>
        <w:t xml:space="preserve">w-mā (and-what) īt (there-is) lāḵ (to-you) b-ʾīd-āḵ (in-hand-your)?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And what do you have in your hand?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Sentence 6</w:t>
      </w:r>
    </w:p>
    <w:p>
      <w:pPr>
        <w:pStyle w:val="BodyText"/>
      </w:pPr>
      <w:r>
        <w:t xml:space="preserve">ܐܡܪ ܠܗܘܢ ܝܘܚܢܢ</w:t>
      </w:r>
      <w:r>
        <w:t xml:space="preserve"> </w:t>
      </w:r>
      <w:r>
        <w:t xml:space="preserve">ʾemar l-hūn Yūḥannan:</w:t>
      </w:r>
      <w:r>
        <w:t xml:space="preserve"> </w:t>
      </w:r>
      <w:r>
        <w:t xml:space="preserve">ʾemar (said) l-hūn (to-them) Yūḥannan (John):</w:t>
      </w:r>
      <w:r>
        <w:t xml:space="preserve"> </w:t>
      </w:r>
      <w:r>
        <w:t xml:space="preserve">→ Yukhannan said to them:</w:t>
      </w:r>
    </w:p>
    <w:p>
      <w:pPr>
        <w:pStyle w:val="BodyText"/>
      </w:pPr>
      <w:r>
        <w:rPr>
          <w:b/>
          <w:bCs/>
        </w:rPr>
        <w:t xml:space="preserve">Sentence 7</w:t>
      </w:r>
    </w:p>
    <w:p>
      <w:pPr>
        <w:pStyle w:val="BodyText"/>
      </w:pPr>
      <w:r>
        <w:t xml:space="preserve">ܐܠܗܐ ܗܘ ܐܒܝ ܘܐܪܥܐ ܗܝ ܐܡܝ</w:t>
      </w:r>
      <w:r>
        <w:t xml:space="preserve"> </w:t>
      </w:r>
      <w:r>
        <w:t xml:space="preserve">Alāhā hū ʾab-y, w-ʾarʿā hī ʾem-y.</w:t>
      </w:r>
      <w:r>
        <w:t xml:space="preserve"> </w:t>
      </w:r>
      <w:r>
        <w:t xml:space="preserve">Alāhā (God) hū (he-[is]) ʾab-y (father-my), w-ʾarʿā (and-the-earth) hī (she-[is]) ʾem-y (mother-my).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God is my father, and the earth is my mother.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Sentence 8</w:t>
      </w:r>
    </w:p>
    <w:p>
      <w:pPr>
        <w:pStyle w:val="BodyText"/>
      </w:pPr>
      <w:r>
        <w:t xml:space="preserve">ܘܠܝܬ ܠܝ ܠܒܘܫܐ ܒܝܫܐ</w:t>
      </w:r>
      <w:r>
        <w:t xml:space="preserve"> </w:t>
      </w:r>
      <w:r>
        <w:t xml:space="preserve">w-layt lī lbūšā bīšā.</w:t>
      </w:r>
      <w:r>
        <w:t xml:space="preserve"> </w:t>
      </w:r>
      <w:r>
        <w:t xml:space="preserve">w-layt (and-there-is-not) lī (to-me) lbūšā (a-garment) bīšā (evil).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And I do not have an evil garment.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Sentence 9</w:t>
      </w:r>
    </w:p>
    <w:p>
      <w:pPr>
        <w:pStyle w:val="BodyText"/>
      </w:pPr>
      <w:r>
        <w:t xml:space="preserve">ܢܘܗܪܐ ܕܐܠܗܐ ܐܝܬܘܗܝ ܒܐܝܕܝ</w:t>
      </w:r>
      <w:r>
        <w:t xml:space="preserve"> </w:t>
      </w:r>
      <w:r>
        <w:t xml:space="preserve">nūhrā d-Alāhā īt-awhy b-ʾīd-y.</w:t>
      </w:r>
      <w:r>
        <w:t xml:space="preserve"> </w:t>
      </w:r>
      <w:r>
        <w:t xml:space="preserve">nūhrā (the-light) d-Alāhā (of-God) īt-awhy (it-is) b-ʾīd-y (in-hand-my).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The light of God is in my hand.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6"/>
    <w:bookmarkStart w:id="27" w:name="section-8-exercises"/>
    <w:p>
      <w:pPr>
        <w:pStyle w:val="Heading4"/>
      </w:pPr>
      <w:r>
        <w:t xml:space="preserve">Section 8: Exercises</w:t>
      </w:r>
    </w:p>
    <w:p>
      <w:pPr>
        <w:pStyle w:val="FirstParagraph"/>
      </w:pPr>
      <w:r>
        <w:rPr>
          <w:b/>
          <w:bCs/>
        </w:rPr>
        <w:t xml:space="preserve">Exercise 1: Suffix Identification</w:t>
      </w:r>
    </w:p>
    <w:p>
      <w:pPr>
        <w:pStyle w:val="BodyText"/>
      </w:pPr>
      <w:r>
        <w:t xml:space="preserve">Identify the person, gender, and number of the possessor for the following suffixed nouns.</w:t>
      </w:r>
    </w:p>
    <w:p>
      <w:pPr>
        <w:pStyle w:val="Compact"/>
        <w:numPr>
          <w:ilvl w:val="0"/>
          <w:numId w:val="1006"/>
        </w:numPr>
      </w:pPr>
      <w:r>
        <w:t xml:space="preserve">ܡܠܟܢ (malk-an)</w:t>
      </w:r>
    </w:p>
    <w:p>
      <w:pPr>
        <w:pStyle w:val="Compact"/>
        <w:numPr>
          <w:ilvl w:val="0"/>
          <w:numId w:val="1006"/>
        </w:numPr>
      </w:pPr>
      <w:r>
        <w:t xml:space="preserve">ܒܝܬܗ (bayt-eh)</w:t>
      </w:r>
    </w:p>
    <w:p>
      <w:pPr>
        <w:pStyle w:val="Compact"/>
        <w:numPr>
          <w:ilvl w:val="0"/>
          <w:numId w:val="1006"/>
        </w:numPr>
      </w:pPr>
      <w:r>
        <w:t xml:space="preserve">ܐܝܕܟܝ (ʾīd-ēky)</w:t>
      </w:r>
    </w:p>
    <w:p>
      <w:pPr>
        <w:pStyle w:val="Compact"/>
        <w:numPr>
          <w:ilvl w:val="0"/>
          <w:numId w:val="1006"/>
        </w:numPr>
      </w:pPr>
      <w:r>
        <w:t xml:space="preserve">ܡܠܟܘܬܗܘܢ (malkūtt-hūn)</w:t>
      </w:r>
    </w:p>
    <w:p>
      <w:pPr>
        <w:pStyle w:val="FirstParagraph"/>
      </w:pPr>
      <w:r>
        <w:rPr>
          <w:b/>
          <w:bCs/>
        </w:rPr>
        <w:t xml:space="preserve">Exercise 2: Conjugation Drill (Possession)</w:t>
      </w:r>
    </w:p>
    <w:p>
      <w:pPr>
        <w:pStyle w:val="BodyText"/>
      </w:pPr>
      <w:r>
        <w:t xml:space="preserve">Translate the following phrases using</w:t>
      </w:r>
      <w:r>
        <w:t xml:space="preserve"> </w:t>
      </w:r>
      <w:r>
        <w:rPr>
          <w:rStyle w:val="VerbatimChar"/>
        </w:rPr>
        <w:t xml:space="preserve">l-</w:t>
      </w:r>
      <w:r>
        <w:t xml:space="preserve"> </w:t>
      </w:r>
      <w:r>
        <w:t xml:space="preserve">+ suffix (using</w:t>
      </w:r>
      <w:r>
        <w:t xml:space="preserve"> </w:t>
      </w:r>
      <w:r>
        <w:rPr>
          <w:i/>
          <w:iCs/>
        </w:rPr>
        <w:t xml:space="preserve">īt</w:t>
      </w:r>
      <w:r>
        <w:t xml:space="preserve"> </w:t>
      </w:r>
      <w:r>
        <w:t xml:space="preserve">where appropriate to mean</w:t>
      </w:r>
      <w:r>
        <w:t xml:space="preserve"> </w:t>
      </w:r>
      <w:r>
        <w:t xml:space="preserve">“</w:t>
      </w:r>
      <w:r>
        <w:t xml:space="preserve">have</w:t>
      </w:r>
      <w:r>
        <w:t xml:space="preserve">”</w:t>
      </w:r>
      <w:r>
        <w:t xml:space="preserve">):</w:t>
      </w:r>
    </w:p>
    <w:p>
      <w:pPr>
        <w:pStyle w:val="Compact"/>
        <w:numPr>
          <w:ilvl w:val="0"/>
          <w:numId w:val="1007"/>
        </w:numPr>
      </w:pPr>
      <w:r>
        <w:t xml:space="preserve">To you (f.sg).</w:t>
      </w:r>
    </w:p>
    <w:p>
      <w:pPr>
        <w:pStyle w:val="Compact"/>
        <w:numPr>
          <w:ilvl w:val="0"/>
          <w:numId w:val="1007"/>
        </w:numPr>
      </w:pPr>
      <w:r>
        <w:t xml:space="preserve">We have (There is to us).</w:t>
      </w:r>
    </w:p>
    <w:p>
      <w:pPr>
        <w:pStyle w:val="Compact"/>
        <w:numPr>
          <w:ilvl w:val="0"/>
          <w:numId w:val="1007"/>
        </w:numPr>
      </w:pPr>
      <w:r>
        <w:t xml:space="preserve">He does not have (There is not to him).</w:t>
      </w:r>
    </w:p>
    <w:p>
      <w:pPr>
        <w:pStyle w:val="Compact"/>
        <w:numPr>
          <w:ilvl w:val="0"/>
          <w:numId w:val="1007"/>
        </w:numPr>
      </w:pPr>
      <w:r>
        <w:t xml:space="preserve">To them (m.pl).</w:t>
      </w:r>
    </w:p>
    <w:p>
      <w:pPr>
        <w:pStyle w:val="FirstParagraph"/>
      </w:pPr>
      <w:r>
        <w:rPr>
          <w:b/>
          <w:bCs/>
        </w:rPr>
        <w:t xml:space="preserve">Exercise 3: Translation Drill (Syriac → English)</w:t>
      </w:r>
    </w:p>
    <w:p>
      <w:pPr>
        <w:pStyle w:val="BodyText"/>
      </w:pPr>
      <w:r>
        <w:t xml:space="preserve">Translate the following sentences containing suffixed nouns.</w:t>
      </w:r>
    </w:p>
    <w:p>
      <w:pPr>
        <w:pStyle w:val="Compact"/>
        <w:numPr>
          <w:ilvl w:val="0"/>
          <w:numId w:val="1008"/>
        </w:numPr>
      </w:pPr>
      <w:r>
        <w:t xml:space="preserve">ʾAbī ṭābā hū, w-ʾemī ṭābtā hī.</w:t>
      </w:r>
    </w:p>
    <w:p>
      <w:pPr>
        <w:pStyle w:val="Compact"/>
        <w:numPr>
          <w:ilvl w:val="0"/>
          <w:numId w:val="1008"/>
        </w:numPr>
      </w:pPr>
      <w:r>
        <w:t xml:space="preserve">Šbaqū talmīdē l-baythūn.</w:t>
      </w:r>
    </w:p>
    <w:p>
      <w:pPr>
        <w:pStyle w:val="Compact"/>
        <w:numPr>
          <w:ilvl w:val="0"/>
          <w:numId w:val="1008"/>
        </w:numPr>
      </w:pPr>
      <w:r>
        <w:t xml:space="preserve">Īt lān nūhrā rabbā.</w:t>
      </w:r>
    </w:p>
    <w:p>
      <w:pPr>
        <w:pStyle w:val="Compact"/>
        <w:numPr>
          <w:ilvl w:val="0"/>
          <w:numId w:val="1008"/>
        </w:numPr>
      </w:pPr>
      <w:r>
        <w:t xml:space="preserve">Qālā d-malkā b-ʾarʿan (ʾarʿ-an).</w:t>
      </w:r>
    </w:p>
    <w:p>
      <w:pPr>
        <w:pStyle w:val="FirstParagraph"/>
      </w:pPr>
      <w:r>
        <w:rPr>
          <w:b/>
          <w:bCs/>
        </w:rPr>
        <w:t xml:space="preserve">Exercise 4: Production Drill (English → Syriac)</w:t>
      </w:r>
    </w:p>
    <w:p>
      <w:pPr>
        <w:pStyle w:val="BodyText"/>
      </w:pPr>
      <w:r>
        <w:t xml:space="preserve">Render the following sentences into Syriac transliteration.</w:t>
      </w:r>
    </w:p>
    <w:p>
      <w:pPr>
        <w:pStyle w:val="Compact"/>
        <w:numPr>
          <w:ilvl w:val="0"/>
          <w:numId w:val="1009"/>
        </w:numPr>
      </w:pPr>
      <w:r>
        <w:t xml:space="preserve">My brother is writing a word.</w:t>
      </w:r>
    </w:p>
    <w:p>
      <w:pPr>
        <w:pStyle w:val="Compact"/>
        <w:numPr>
          <w:ilvl w:val="0"/>
          <w:numId w:val="1009"/>
        </w:numPr>
      </w:pPr>
      <w:r>
        <w:t xml:space="preserve">The king and his son are going to his kingdom.</w:t>
      </w:r>
    </w:p>
    <w:p>
      <w:pPr>
        <w:pStyle w:val="Compact"/>
        <w:numPr>
          <w:ilvl w:val="0"/>
          <w:numId w:val="1009"/>
        </w:numPr>
      </w:pPr>
      <w:r>
        <w:t xml:space="preserve">What is in your (m.sg) hand?</w:t>
      </w:r>
    </w:p>
    <w:p>
      <w:pPr>
        <w:pStyle w:val="Compact"/>
        <w:numPr>
          <w:ilvl w:val="0"/>
          <w:numId w:val="1009"/>
        </w:numPr>
      </w:pPr>
      <w:r>
        <w:t xml:space="preserve">We do not have (</w:t>
      </w:r>
      <w:r>
        <w:rPr>
          <w:i/>
          <w:iCs/>
        </w:rPr>
        <w:t xml:space="preserve">layt lān</w:t>
      </w:r>
      <w:r>
        <w:t xml:space="preserve">) an evil king.</w:t>
      </w:r>
    </w:p>
    <w:p>
      <w:pPr>
        <w:pStyle w:val="FirstParagraph"/>
      </w:pPr>
      <w:r>
        <w:rPr>
          <w:b/>
          <w:bCs/>
        </w:rPr>
        <w:t xml:space="preserve">Exercise 5: Reading Comprehension</w:t>
      </w:r>
    </w:p>
    <w:p>
      <w:pPr>
        <w:pStyle w:val="BodyText"/>
      </w:pPr>
      <w:r>
        <w:t xml:space="preserve">Re-read Section 7 and answer:</w:t>
      </w:r>
    </w:p>
    <w:p>
      <w:pPr>
        <w:pStyle w:val="Compact"/>
        <w:numPr>
          <w:ilvl w:val="0"/>
          <w:numId w:val="1010"/>
        </w:numPr>
      </w:pPr>
      <w:r>
        <w:t xml:space="preserve">Under what three topics does the guard interrogate Yukhannan?</w:t>
      </w:r>
    </w:p>
    <w:p>
      <w:pPr>
        <w:pStyle w:val="Compact"/>
        <w:numPr>
          <w:ilvl w:val="0"/>
          <w:numId w:val="1010"/>
        </w:numPr>
      </w:pPr>
      <w:r>
        <w:t xml:space="preserve">Who does Yukhannan claim as his parents?</w:t>
      </w:r>
    </w:p>
    <w:p>
      <w:pPr>
        <w:pStyle w:val="Compact"/>
        <w:numPr>
          <w:ilvl w:val="0"/>
          <w:numId w:val="1010"/>
        </w:numPr>
      </w:pPr>
      <w:r>
        <w:t xml:space="preserve">What does Yukhannan explicitly state he</w:t>
      </w:r>
      <w:r>
        <w:t xml:space="preserve"> </w:t>
      </w:r>
      <w:r>
        <w:rPr>
          <w:i/>
          <w:iCs/>
        </w:rPr>
        <w:t xml:space="preserve">does not</w:t>
      </w:r>
      <w:r>
        <w:t xml:space="preserve"> </w:t>
      </w:r>
      <w:r>
        <w:t xml:space="preserve">have?</w:t>
      </w:r>
    </w:p>
    <w:p>
      <w:r>
        <w:pict>
          <v:rect style="width:0;height:1.5pt" o:hralign="center" o:hrstd="t" o:hr="t"/>
        </w:pict>
      </w:r>
    </w:p>
    <w:bookmarkEnd w:id="27"/>
    <w:bookmarkStart w:id="28" w:name="section-9-answer-key"/>
    <w:p>
      <w:pPr>
        <w:pStyle w:val="Heading4"/>
      </w:pPr>
      <w:r>
        <w:t xml:space="preserve">Section 9: Answer Key</w:t>
      </w:r>
    </w:p>
    <w:p>
      <w:pPr>
        <w:pStyle w:val="FirstParagraph"/>
      </w:pPr>
      <w:r>
        <w:rPr>
          <w:b/>
          <w:bCs/>
        </w:rPr>
        <w:t xml:space="preserve">Section 1 Warm-Up</w:t>
      </w:r>
    </w:p>
    <w:p>
      <w:pPr>
        <w:pStyle w:val="Compact"/>
        <w:numPr>
          <w:ilvl w:val="0"/>
          <w:numId w:val="1011"/>
        </w:numPr>
      </w:pPr>
      <w:r>
        <w:t xml:space="preserve">3rd person masculine plural (</w:t>
      </w:r>
      <w:r>
        <w:t xml:space="preserve">“</w:t>
      </w:r>
      <w:r>
        <w:t xml:space="preserve">they</w:t>
      </w:r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The king left the earth.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vowel in the middle of the root disappears (vowel reduction), making it</w:t>
      </w:r>
      <w:r>
        <w:t xml:space="preserve"> </w:t>
      </w:r>
      <w:r>
        <w:rPr>
          <w:i/>
          <w:iCs/>
        </w:rPr>
        <w:t xml:space="preserve">ktab</w:t>
      </w:r>
      <w:r>
        <w:t xml:space="preserve"> </w:t>
      </w:r>
      <w:r>
        <w:t xml:space="preserve">(k-t-a-b).</w:t>
      </w:r>
    </w:p>
    <w:p>
      <w:pPr>
        <w:pStyle w:val="Compact"/>
        <w:numPr>
          <w:ilvl w:val="0"/>
          <w:numId w:val="1011"/>
        </w:numPr>
      </w:pPr>
      <w:r>
        <w:t xml:space="preserve">Only context or vowel pointing.</w:t>
      </w:r>
    </w:p>
    <w:p>
      <w:pPr>
        <w:pStyle w:val="Compact"/>
        <w:numPr>
          <w:ilvl w:val="0"/>
          <w:numId w:val="1011"/>
        </w:numPr>
      </w:pPr>
      <w:r>
        <w:t xml:space="preserve">And Yukhannan drew near.</w:t>
      </w:r>
    </w:p>
    <w:p>
      <w:pPr>
        <w:pStyle w:val="FirstParagraph"/>
      </w:pPr>
      <w:r>
        <w:rPr>
          <w:b/>
          <w:bCs/>
        </w:rPr>
        <w:t xml:space="preserve">Exercise 1: Suffix Identification</w:t>
      </w:r>
    </w:p>
    <w:p>
      <w:pPr>
        <w:pStyle w:val="Compact"/>
        <w:numPr>
          <w:ilvl w:val="0"/>
          <w:numId w:val="1012"/>
        </w:numPr>
      </w:pPr>
      <w:r>
        <w:t xml:space="preserve">1st common plural (Our king)</w:t>
      </w:r>
    </w:p>
    <w:p>
      <w:pPr>
        <w:pStyle w:val="Compact"/>
        <w:numPr>
          <w:ilvl w:val="0"/>
          <w:numId w:val="1012"/>
        </w:numPr>
      </w:pPr>
      <w:r>
        <w:t xml:space="preserve">3rd masc singular (His house)</w:t>
      </w:r>
    </w:p>
    <w:p>
      <w:pPr>
        <w:pStyle w:val="Compact"/>
        <w:numPr>
          <w:ilvl w:val="0"/>
          <w:numId w:val="1012"/>
        </w:numPr>
      </w:pPr>
      <w:r>
        <w:t xml:space="preserve">2nd fem singular (Your hand)</w:t>
      </w:r>
    </w:p>
    <w:p>
      <w:pPr>
        <w:pStyle w:val="Compact"/>
        <w:numPr>
          <w:ilvl w:val="0"/>
          <w:numId w:val="1012"/>
        </w:numPr>
      </w:pPr>
      <w:r>
        <w:t xml:space="preserve">3rd masc plural (Their kingdom)</w:t>
      </w:r>
    </w:p>
    <w:p>
      <w:pPr>
        <w:pStyle w:val="FirstParagraph"/>
      </w:pPr>
      <w:r>
        <w:rPr>
          <w:b/>
          <w:bCs/>
        </w:rPr>
        <w:t xml:space="preserve">Exercise 2: Conjugation Drill</w:t>
      </w:r>
    </w:p>
    <w:p>
      <w:pPr>
        <w:pStyle w:val="Compact"/>
        <w:numPr>
          <w:ilvl w:val="0"/>
          <w:numId w:val="1013"/>
        </w:numPr>
      </w:pPr>
      <w:r>
        <w:t xml:space="preserve">lēky</w:t>
      </w:r>
    </w:p>
    <w:p>
      <w:pPr>
        <w:pStyle w:val="Compact"/>
        <w:numPr>
          <w:ilvl w:val="0"/>
          <w:numId w:val="1013"/>
        </w:numPr>
      </w:pPr>
      <w:r>
        <w:t xml:space="preserve">īt lān</w:t>
      </w:r>
    </w:p>
    <w:p>
      <w:pPr>
        <w:pStyle w:val="Compact"/>
        <w:numPr>
          <w:ilvl w:val="0"/>
          <w:numId w:val="1013"/>
        </w:numPr>
      </w:pPr>
      <w:r>
        <w:t xml:space="preserve">layt lēh</w:t>
      </w:r>
    </w:p>
    <w:p>
      <w:pPr>
        <w:pStyle w:val="Compact"/>
        <w:numPr>
          <w:ilvl w:val="0"/>
          <w:numId w:val="1013"/>
        </w:numPr>
      </w:pPr>
      <w:r>
        <w:t xml:space="preserve">lhūn</w:t>
      </w:r>
    </w:p>
    <w:p>
      <w:pPr>
        <w:pStyle w:val="FirstParagraph"/>
      </w:pPr>
      <w:r>
        <w:rPr>
          <w:b/>
          <w:bCs/>
        </w:rPr>
        <w:t xml:space="preserve">Exercise 3: Translation Drill</w:t>
      </w:r>
    </w:p>
    <w:p>
      <w:pPr>
        <w:pStyle w:val="Compact"/>
        <w:numPr>
          <w:ilvl w:val="0"/>
          <w:numId w:val="1014"/>
        </w:numPr>
      </w:pPr>
      <w:r>
        <w:t xml:space="preserve">My father is good, and my mother is good.</w:t>
      </w:r>
    </w:p>
    <w:p>
      <w:pPr>
        <w:pStyle w:val="Compact"/>
        <w:numPr>
          <w:ilvl w:val="0"/>
          <w:numId w:val="1014"/>
        </w:numPr>
      </w:pPr>
      <w:r>
        <w:t xml:space="preserve">The disciples left their house (</w:t>
      </w:r>
      <w:r>
        <w:rPr>
          <w:i/>
          <w:iCs/>
        </w:rPr>
        <w:t xml:space="preserve">bayt-hūn</w:t>
      </w:r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We have a great light (There is to us a great light).</w:t>
      </w:r>
    </w:p>
    <w:p>
      <w:pPr>
        <w:pStyle w:val="Compact"/>
        <w:numPr>
          <w:ilvl w:val="0"/>
          <w:numId w:val="1014"/>
        </w:numPr>
      </w:pPr>
      <w:r>
        <w:t xml:space="preserve">The voice of the king is in our land (</w:t>
      </w:r>
      <w:r>
        <w:rPr>
          <w:i/>
          <w:iCs/>
        </w:rPr>
        <w:t xml:space="preserve">ʾarʿ-an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</w:rPr>
        <w:t xml:space="preserve">ʾarʿā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-an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Exercise 4: Production Drill</w:t>
      </w:r>
    </w:p>
    <w:p>
      <w:pPr>
        <w:pStyle w:val="Compact"/>
        <w:numPr>
          <w:ilvl w:val="0"/>
          <w:numId w:val="1015"/>
        </w:numPr>
      </w:pPr>
      <w:r>
        <w:t xml:space="preserve">ʾaḥ-y kāteb meltā.</w:t>
      </w:r>
    </w:p>
    <w:p>
      <w:pPr>
        <w:pStyle w:val="Compact"/>
        <w:numPr>
          <w:ilvl w:val="0"/>
          <w:numId w:val="1015"/>
        </w:numPr>
      </w:pPr>
      <w:r>
        <w:t xml:space="preserve">Malkā w-bar-eh ʾāzlīn l-malkūtt-eh.</w:t>
      </w:r>
    </w:p>
    <w:p>
      <w:pPr>
        <w:pStyle w:val="Compact"/>
        <w:numPr>
          <w:ilvl w:val="0"/>
          <w:numId w:val="1015"/>
        </w:numPr>
      </w:pPr>
      <w:r>
        <w:t xml:space="preserve">Mā īt b-ʾīd-āḵ?</w:t>
      </w:r>
    </w:p>
    <w:p>
      <w:pPr>
        <w:pStyle w:val="Compact"/>
        <w:numPr>
          <w:ilvl w:val="0"/>
          <w:numId w:val="1015"/>
        </w:numPr>
      </w:pPr>
      <w:r>
        <w:t xml:space="preserve">Layt lān malkā bīšā.</w:t>
      </w:r>
    </w:p>
    <w:p>
      <w:pPr>
        <w:pStyle w:val="FirstParagraph"/>
      </w:pPr>
      <w:r>
        <w:rPr>
          <w:b/>
          <w:bCs/>
        </w:rPr>
        <w:t xml:space="preserve">Exercise 5: Reading Comprehension</w:t>
      </w:r>
    </w:p>
    <w:p>
      <w:pPr>
        <w:pStyle w:val="Compact"/>
        <w:numPr>
          <w:ilvl w:val="0"/>
          <w:numId w:val="1016"/>
        </w:numPr>
      </w:pPr>
      <w:r>
        <w:t xml:space="preserve">Origin (what country), Family (where are father/mother), and Possessions (what is in hand).</w:t>
      </w:r>
    </w:p>
    <w:p>
      <w:pPr>
        <w:pStyle w:val="Compact"/>
        <w:numPr>
          <w:ilvl w:val="0"/>
          <w:numId w:val="1016"/>
        </w:numPr>
      </w:pPr>
      <w:r>
        <w:t xml:space="preserve">God (father) and the earth (mother).</w:t>
      </w:r>
    </w:p>
    <w:p>
      <w:pPr>
        <w:pStyle w:val="Compact"/>
        <w:numPr>
          <w:ilvl w:val="0"/>
          <w:numId w:val="1016"/>
        </w:numPr>
      </w:pPr>
      <w:r>
        <w:t xml:space="preserve">An evil garment (</w:t>
      </w:r>
      <w:r>
        <w:rPr>
          <w:i/>
          <w:iCs/>
        </w:rPr>
        <w:t xml:space="preserve">lbūšā bīšā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8"/>
    <w:bookmarkStart w:id="29" w:name="section-10-grammatical-summary"/>
    <w:p>
      <w:pPr>
        <w:pStyle w:val="Heading4"/>
      </w:pPr>
      <w:r>
        <w:t xml:space="preserve">Section 10: Grammatical Summary</w:t>
      </w:r>
    </w:p>
    <w:p>
      <w:pPr>
        <w:pStyle w:val="FirstParagraph"/>
      </w:pPr>
      <w:r>
        <w:rPr>
          <w:b/>
          <w:bCs/>
        </w:rPr>
        <w:t xml:space="preserve">THE PRONOMINAL SUFFIXES (ATTACH TO NOUNS AND PREPOSITIONS)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Suffix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 (</w:t>
            </w:r>
            <w:r>
              <w:rPr>
                <w:i/>
                <w:iCs/>
              </w:rPr>
              <w:t xml:space="preserve">bayt-</w:t>
            </w:r>
            <w:r>
              <w:t xml:space="preserve"> </w:t>
            </w:r>
            <w:r>
              <w:t xml:space="preserve">house)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 (</w:t>
            </w:r>
            <w:r>
              <w:rPr>
                <w:i/>
                <w:iCs/>
              </w:rPr>
              <w:t xml:space="preserve">l-</w:t>
            </w:r>
            <w:r>
              <w:t xml:space="preserve"> </w:t>
            </w:r>
            <w:r>
              <w:t xml:space="preserve">to)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-y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baytī (my house)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lī (to 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-k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(m)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baytāḵ (your house)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lāḵ (to you)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-ky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(f)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baytēky (your house)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lēky (to you)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-eh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bayteh (his house)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lēh (to him)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-āh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baytāh (her house)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lāh (to her)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-an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baytan (our house)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lān (to us)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-kūn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(pl)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baytkūn (your house)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lḵūn (to you all)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-hūn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their (pl)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baythūn (their house)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lhūn (to them)</w:t>
            </w:r>
          </w:p>
        </w:tc>
      </w:tr>
    </w:tbl>
    <w:p>
      <w:pPr>
        <w:pStyle w:val="BodyText"/>
      </w:pPr>
      <w:r>
        <w:rPr>
          <w:b/>
          <w:bCs/>
        </w:rPr>
        <w:t xml:space="preserve">SAYING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TO HAVE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(Possession Formula)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Syriac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ĪT + L- + Suffix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īt lī / ītly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have (There is to 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LAYT + L- + Suffix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layt lēh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does not have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ĪT + L- + Suffix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īt lhūn malkā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They have a king</w:t>
            </w:r>
          </w:p>
        </w:tc>
      </w:tr>
    </w:tbl>
    <w:bookmarkEnd w:id="29"/>
    <w:bookmarkStart w:id="30" w:name="section-11-additional-vocabulary"/>
    <w:p>
      <w:pPr>
        <w:pStyle w:val="Heading4"/>
      </w:pPr>
      <w:r>
        <w:t xml:space="preserve">Section 11: Additional Vocabulary</w:t>
      </w:r>
    </w:p>
    <w:p>
      <w:pPr>
        <w:pStyle w:val="FirstParagraph"/>
      </w:pPr>
      <w:r>
        <w:t xml:space="preserve">The following high-frequency words round out this lesson’s vocabulary to 30 terms.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Syriac (Estrangela)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Transliteration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of Speech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ܩܪܝܬܐ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qrītā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f. 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village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emphatic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ܠܫܢܐ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leššānā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 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tongue, language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ܓܪܡܐ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garmā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 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ܟܐܦܐ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kēpā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f. 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stone, rock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ܡܝܐ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mayyā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 noun (pl.)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plural in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ܢܘܢܐ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nūnā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 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fish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ܡܕܝܢܬܐ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mdīttā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f. 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ܫܡܫܐ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šemšā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 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ܬܪܥܐ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tarʿā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 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door, gate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ܡܫܚܐ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mešḥā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 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ܚܝܠܐ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ḥaylā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 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power, army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ܐܕܢܐ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ʾednā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f. 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ܩܝܣܐ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qaysā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 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wood, tree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ܢܗܪܐ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nahrā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 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river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ܣܒܪܐ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sabrā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 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hope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ܕܚܠܬܐ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deḥltā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f. 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fear, religion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 noun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ܣܗܪܐ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sahrā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 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ܪܓܠܐ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reglā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f. 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foot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ܫܠܡܐ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šlāmā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 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 greeting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ܐܬܪܐ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ʾatrā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 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place, country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ܣܗܕܐ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sāhdā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 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witness, martyr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ܒܣܪܐ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besrā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 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flesh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ܛܝܒܘܬܐ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ṭaybūttā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f. 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grace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ܬܘܪܐ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tawrā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 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bull, ox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ܩܝܡܐ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qyāmā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 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covenant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ܐܘܪܚܐ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ʾūrḥā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f. 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way, road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ܗܝܟܠܐ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hayklā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 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temple, palace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ܥܝܢܐ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ʿaynā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f. 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eye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ܦܘܡܐ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pūmā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 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mouth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ܕܝܢܐ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dīnā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 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judgment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ܣܦܘܬܐ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sputā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f. 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emphatic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ܬܠܓܐ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talggā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 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ridge, back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ܨܪܐ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ṣirē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f. 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side, rib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ܓܢܒܐ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ganbā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 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thigh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ܕܪܥܐ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darʿā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f. 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ܥܓܠܐ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ʿaggālā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 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calf (leg part)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ܚܬܢܐ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ḥatnā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 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bridegroom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ܟܠܬܐ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kaltā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f. 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bride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ܥܡܘܪܐ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ʿammūrā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 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 (paternal)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ܥܡܬܐ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ʿammtā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f. 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aunt (paternal)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ܥܡܩܐ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ʿammqā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 adj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ܦܠܛܐ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palṭā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 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escape, safety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ܥܬܝܪܐ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ʿattīrā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 adj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rich, mighty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ܡܣܟܢܐ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meskennā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 adj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poor, humble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ܓܒܘܪܐ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gibbōrā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 adj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mighty, strong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ܩܠܝܠܐ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qallīlā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 adj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small, few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ܝܚܝܕܐ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yḥīddā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 adj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alone, unique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ܥܕܠܐ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ʿaddālā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 adj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just, righteous</w:t>
            </w:r>
          </w:p>
        </w:tc>
        <w:tc>
          <w:tcPr/>
          <w:p>
            <w:pPr>
              <w:pStyle w:val="Compact"/>
            </w:pPr>
          </w:p>
        </w:tc>
      </w:tr>
    </w:tbl>
    <w:bookmarkEnd w:id="30"/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2026-10-06T22:57:50Z</dcterms:created>
  <dcterms:modified xsi:type="dcterms:W3CDTF">2026-10-06T22:57:50Z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