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B5174E"/>
          <w:sz w:val="72"/>
          <w:szCs w:val="72"/>
        </w:rPr>
        <w:t xml:space="preserve">WOMEN-CENTRIC AI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7A0E34"/>
          <w:sz w:val="72"/>
          <w:szCs w:val="72"/>
        </w:rPr>
        <w:t xml:space="preserve">KNOWLEDGE BASE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D7B8A"/>
          <w:sz w:val="32"/>
          <w:szCs w:val="32"/>
        </w:rPr>
        <w:t xml:space="preserve">ADD-ON EXTENSION DOCUMENT  |  v1.0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5A6070"/>
          <w:sz w:val="24"/>
          <w:szCs w:val="24"/>
        </w:rPr>
        <w:t xml:space="preserve">6 Critical Domains Not Covered in Base Document v2.0</w:t>
      </w:r>
    </w:p>
    <w:p>
      <w:pPr>
        <w:pBdr>
          <w:bottom w:val="single" w:color="B5174E" w:sz="8"/>
        </w:pBdr>
        <w:jc w:val="center"/>
      </w:pP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B5174E" w:sz="1"/>
              <w:left w:val="single" w:color="B5174E" w:sz="1"/>
              <w:bottom w:val="single" w:color="B5174E" w:sz="1"/>
              <w:right w:val="single" w:color="B5174E" w:sz="1"/>
            </w:tcBorders>
            <w:shd w:fill="FDF0F5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5174E"/>
                <w:sz w:val="19"/>
                <w:szCs w:val="19"/>
              </w:rPr>
              <w:t xml:space="preserve">🦠 Vaginal
Microbiome</w:t>
            </w:r>
          </w:p>
        </w:tc>
        <w:tc>
          <w:tcPr>
            <w:tcW w:type="dxa" w:w="1560"/>
            <w:tcBorders>
              <w:top w:val="single" w:color="B5174E" w:sz="1"/>
              <w:left w:val="single" w:color="B5174E" w:sz="1"/>
              <w:bottom w:val="single" w:color="B5174E" w:sz="1"/>
              <w:right w:val="single" w:color="B5174E" w:sz="1"/>
            </w:tcBorders>
            <w:shd w:fill="FDF0F5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5174E"/>
                <w:sz w:val="19"/>
                <w:szCs w:val="19"/>
              </w:rPr>
              <w:t xml:space="preserve">🦴 Pelvic Floor
&amp; Chronic Pain</w:t>
            </w:r>
          </w:p>
        </w:tc>
        <w:tc>
          <w:tcPr>
            <w:tcW w:type="dxa" w:w="1560"/>
            <w:tcBorders>
              <w:top w:val="single" w:color="B5174E" w:sz="1"/>
              <w:left w:val="single" w:color="B5174E" w:sz="1"/>
              <w:bottom w:val="single" w:color="B5174E" w:sz="1"/>
              <w:right w:val="single" w:color="B5174E" w:sz="1"/>
            </w:tcBorders>
            <w:shd w:fill="FDF0F5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5174E"/>
                <w:sz w:val="19"/>
                <w:szCs w:val="19"/>
              </w:rPr>
              <w:t xml:space="preserve">🤖 AI/ML &amp;
Wearables</w:t>
            </w:r>
          </w:p>
        </w:tc>
        <w:tc>
          <w:tcPr>
            <w:tcW w:type="dxa" w:w="1560"/>
            <w:tcBorders>
              <w:top w:val="single" w:color="B5174E" w:sz="1"/>
              <w:left w:val="single" w:color="B5174E" w:sz="1"/>
              <w:bottom w:val="single" w:color="B5174E" w:sz="1"/>
              <w:right w:val="single" w:color="B5174E" w:sz="1"/>
            </w:tcBorders>
            <w:shd w:fill="FDF0F5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5174E"/>
                <w:sz w:val="19"/>
                <w:szCs w:val="19"/>
              </w:rPr>
              <w:t xml:space="preserve">💊 Sexual
Dysfunction</w:t>
            </w:r>
          </w:p>
        </w:tc>
        <w:tc>
          <w:tcPr>
            <w:tcW w:type="dxa" w:w="1560"/>
            <w:tcBorders>
              <w:top w:val="single" w:color="B5174E" w:sz="1"/>
              <w:left w:val="single" w:color="B5174E" w:sz="1"/>
              <w:bottom w:val="single" w:color="B5174E" w:sz="1"/>
              <w:right w:val="single" w:color="B5174E" w:sz="1"/>
            </w:tcBorders>
            <w:shd w:fill="FDF0F5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5174E"/>
                <w:sz w:val="19"/>
                <w:szCs w:val="19"/>
              </w:rPr>
              <w:t xml:space="preserve">🧬 Genetics &amp;
Epigenetics</w:t>
            </w:r>
          </w:p>
        </w:tc>
        <w:tc>
          <w:tcPr>
            <w:tcW w:type="dxa" w:w="1560"/>
            <w:tcBorders>
              <w:top w:val="single" w:color="B5174E" w:sz="1"/>
              <w:left w:val="single" w:color="B5174E" w:sz="1"/>
              <w:bottom w:val="single" w:color="B5174E" w:sz="1"/>
              <w:right w:val="single" w:color="B5174E" w:sz="1"/>
            </w:tcBorders>
            <w:shd w:fill="FDF0F5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5174E"/>
                <w:sz w:val="19"/>
                <w:szCs w:val="19"/>
              </w:rPr>
              <w:t xml:space="preserve">🌍 India-Specific
Deep Dive</w:t>
            </w:r>
          </w:p>
        </w:tc>
      </w:tr>
    </w:tbl>
    <w:p>
      <w:pPr>
        <w:spacing w:after="120"/>
      </w:pPr>
    </w:p>
    <w:p>
      <w:pPr>
        <w:spacing w:after="40"/>
        <w:jc w:val="center"/>
      </w:pPr>
      <w:r>
        <w:rPr>
          <w:rFonts w:ascii="Arial" w:cs="Arial" w:eastAsia="Arial" w:hAnsi="Arial"/>
          <w:color w:val="5A6070"/>
          <w:sz w:val="18"/>
          <w:szCs w:val="18"/>
        </w:rPr>
        <w:t xml:space="preserve">Sources: NCBI PMC • Frontiers in Microbiology • ASM Journals • mSphere • PubMed • ACOG • Nature Medicine</w:t>
      </w:r>
    </w:p>
    <w:p>
      <w:pPr>
        <w:spacing w:after="40"/>
        <w:jc w:val="center"/>
      </w:pPr>
      <w:r>
        <w:rPr>
          <w:rFonts w:ascii="Arial" w:cs="Arial" w:eastAsia="Arial" w:hAnsi="Arial"/>
          <w:color w:val="5A6070"/>
          <w:sz w:val="18"/>
          <w:szCs w:val="18"/>
        </w:rPr>
        <w:t xml:space="preserve">Compiled: March 2026  |  Supplement to Base Document v2.0</w:t>
      </w:r>
    </w:p>
    <w:p>
      <w:pPr>
        <w:jc w:val="center"/>
      </w:pPr>
      <w:r>
        <w:rPr>
          <w:rFonts w:ascii="Arial" w:cs="Arial" w:eastAsia="Arial" w:hAnsi="Arial"/>
          <w:b/>
          <w:bCs/>
          <w:color w:val="B91C1C"/>
          <w:sz w:val="18"/>
          <w:szCs w:val="18"/>
        </w:rPr>
        <w:t xml:space="preserve">⚠  For AI training, educational research &amp; clinical reference only. Not a substitute for medical advice.</w:t>
      </w:r>
    </w:p>
    <w:p>
      <w:pPr>
        <w:spacing w:after="360"/>
      </w:pPr>
    </w:p>
    <w:p>
      <w:pPr>
        <w:pBdr>
          <w:bottom w:val="single" w:color="E0B4C4" w:sz="3"/>
        </w:pBdr>
        <w:spacing w:before="80" w:after="8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B5174E"/>
          <w:sz w:val="34"/>
          <w:szCs w:val="34"/>
        </w:rPr>
        <w:t xml:space="preserve">GAP ANALYSIS: WHAT WAS MISSING FROM v2.0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5174E" w:sz="1"/>
              <w:left w:val="single" w:color="B5174E" w:sz="1"/>
              <w:bottom w:val="single" w:color="B5174E" w:sz="1"/>
              <w:right w:val="single" w:color="B5174E" w:sz="1"/>
            </w:tcBorders>
            <w:shd w:fill="FCE8E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5174E"/>
                <w:sz w:val="22"/>
                <w:szCs w:val="22"/>
              </w:rPr>
              <w:t xml:space="preserve">🔍  6 CRITICAL KNOWLEDGE GAPS IDENTIFIED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GAP 1 — VAGINAL MICROBIOME: The entire science of Lactobacillus dominance, CST classification, bacterial vaginosis,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yeast infections, and how the microbiome shifts with the menstrual cycle, pregnancy, menopause, and lifestyle was absent.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GAP 2 — PELVIC FLOOR &amp; CHRONIC PAIN: Pelvic floor anatomy, dysfunction types, vulvodynia, vaginismus,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dyspareunia, interstitial cystitis, pelvic organ prolapse — all missing. Affects 10+ million women.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GAP 3 — AI/ML &amp; WEARABLE TECHNOLOGY: The fast-evolving landscape of machine learning for cycle prediction,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wearable sensors (Oura, Apple Watch, Fitbit cycle data), federated learning, and app algorithm accuracy.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GAP 4 — SEXUAL DYSFUNCTION IN WOMEN: FSD classification (FSAD, HSDD, anorgasmia), biopsychosocial model,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treatment pathways — not covered beyond basic libido notes.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GAP 5 — GENETICS &amp; EPIGENETICS: BRCA, hereditary cancer risk, endometriosis genetic links,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MTHFR, hormonal gene polymorphisms that affect cycle health.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GAP 6 — INDIA-SPECIFIC DEEP DIVE: Ayurvedic perspective, regional diet impact (turmeric, sesame, fenugreek),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common Indian health conditions (PCOS prevalence in India ~19%), Siddha medicine, societal barriers.</w:t>
            </w:r>
          </w:p>
        </w:tc>
      </w:tr>
    </w:tbl>
    <w:p>
      <w:pPr>
        <w:spacing w:after="240"/>
      </w:pPr>
    </w:p>
    <w:p>
      <w:pPr>
        <w:pBdr>
          <w:bottom w:val="single" w:color="E0B4C4" w:sz="3"/>
        </w:pBdr>
        <w:spacing w:before="80" w:after="80"/>
      </w:pP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B5174E"/>
          <w:sz w:val="38"/>
          <w:szCs w:val="38"/>
        </w:rPr>
        <w:t xml:space="preserve">DOMAIN 21: THE VAGINAL MICROBIOME — COMPLETE KNOWLEDGE BASE</w:t>
      </w:r>
    </w:p>
    <w:p>
      <w:pPr>
        <w:pBdr>
          <w:bottom w:val="single" w:color="E0B4C4" w:sz="3"/>
        </w:pBdr>
        <w:spacing w:before="80" w:after="80"/>
      </w:pPr>
    </w:p>
    <w:p>
      <w:pPr>
        <w:spacing w:after="1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vaginal microbiome is a critical, dynamic ecosystem that directly intersects with the menstrual cycle, fertility, pregnancy outcomes, and disease risk. It is the most understudied and most important missing domain for a women-centric AI.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5174E" w:sz="1"/>
              <w:left w:val="single" w:color="B5174E" w:sz="1"/>
              <w:bottom w:val="single" w:color="B5174E" w:sz="1"/>
              <w:right w:val="single" w:color="B5174E" w:sz="1"/>
            </w:tcBorders>
            <w:shd w:fill="FDF0F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B5174E"/>
                <w:sz w:val="23"/>
                <w:szCs w:val="23"/>
              </w:rPr>
              <w:t xml:space="preserve">☑ ADD-ON CHECKLIST: DOMAIN 21 — VAGINAL MICROBIOME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01.  Community State Types (CST I–V): Lactobacillus species dominance profiles and their clinical significance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02.  Estrogen-glycogen-Lactobacillus pathway: how estrogen drives the healthy protective state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03.  Menstrual cycle fluctuations in vaginal microbiome: follicular high Lactobacillus → menstrual disruption → recovery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04.  Bacterial Vaginosis (BV): definition, Amsel criteria, Nugent score, Gardnerella, clinical consequences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05.  Vulvovaginal Candidiasis (VVC): Candida albicans, risk factors (antibiotics, high estrogen, diabetes, OCP)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06.  Recurrent BV: 40–60% recurrence rate, biofilm mechanism, treatment failures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07.  Vaginal pH: normal 3.5–4.5 (Lactobacillus-produced lactic acid); menstruation raises pH → infection window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08.  STI susceptibility: Lactobacillus depletion → HIV, HPV, chlamydia, herpes transmission risk increases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09.  Gut-vaginal microbiome axis: rectal Lactobacillus reservoir, estrobolome, gut health → vaginal health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10.  Lifestyle factors: vegetarian diet, exercise, antibiotics, douching, sexual practices → microbiome disruption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11.  Probiotics for vaginal health: evidence for oral L. crispatus, L. rhamnosus, vaginal suppositories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12.  Postmenopause microbiome: estrogen decline → glycogen loss → Lactobacillus depletion → atrophic vaginitis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13.  Microbiome in pregnancy: most stable Lactobacillus dominance; dysbiosis → preterm birth risk (RR 2–3x)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14.  Postpartum microbiome: delivery disrupts microbiome, Gardnerella rise, recovery timeline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15.  Racial disparities: African American and Hispanic women more often have CST IV (diverse, less Lactobacillus)</w:t>
            </w:r>
          </w:p>
        </w:tc>
      </w:tr>
    </w:tbl>
    <w:p>
      <w:pPr>
        <w:spacing w:after="12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21.1 Community State Types (CST) — Classification System</w:t>
      </w:r>
    </w:p>
    <w:p>
      <w:pPr>
        <w:spacing w:after="1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vaginal microbiome is classified into 5 Community State Types (CSTs) based on dominant bacterial species — a framework developed by Ravel et al. (2011) from the landmark Human Microbiome Project.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000"/>
        <w:gridCol w:w="1400"/>
        <w:gridCol w:w="1680"/>
        <w:gridCol w:w="3500"/>
      </w:tblGrid>
      <w:tr>
        <w:trPr>
          <w:tblHeader/>
        </w:trPr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517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517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Dominant Species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517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Vaginal pH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517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Health Status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517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Clinical Significance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CST I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Lactobacillus crispatus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&lt;4.5 (acidic)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OPTIMAL: Most protective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Highest resistance to BV, STIs, preterm birth; most stable state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CST II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Lactobacillus gasseri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&lt;4.5 (acidic)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GOOD: Protective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Protective, though less studied; less stable than CST I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CST III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Lactobacillus iners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~4.5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MODERATE: Transitional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L. iners can switch to anaerobes under stress; less stable; BV gateway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CST IV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Mixed anaerobes (Gardnerella, Prevotella, Atopobium, Sneathia)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&gt;4.5 (alkaline)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DYSBIOTIC: High risk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BV phenotype; STI risk up; preterm birth risk; infertility associations</w:t>
            </w:r>
          </w:p>
        </w:tc>
      </w:tr>
      <w:tr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CST 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Lactobacillus jensenii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&lt;4.5 (acidic)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GOOD: Protective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Relatively protective; less common; less studied than CST I</w:t>
            </w:r>
          </w:p>
        </w:tc>
      </w:tr>
    </w:tbl>
    <w:p>
      <w:pPr>
        <w:spacing w:after="12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21.2 Estrogen-Glycogen-Lactobacillus Axis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Estrogen → epithelial cell glycogen production: Estrogen stimulates vaginal epithelial cells to store glycogen. This is the foundational mechanism of vaginal microbiome health.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Glycogen → lactic acid: Lactobacillus species metabolize glycogen into lactic acid → creates acidic pH (3.5–4.5) → hostile environment for pathogens.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Estrogen levels across the cycle: Follicular and ovulatory phases (high estrogen) → peak glycogen → peak Lactobacillus stability. Menstrual phase (low estrogen) → pH rises (blood is alkaline ~7.4) → temporary Lactobacillus reduction → BV risk window.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Post-menopause: Estrogen drops → glycogen depletes → Lactobacillus populations collapse → vaginal atrophy → alkaline pH → chronic infection risk.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Pregnancy: High estrogen drives maximum Lactobacillus dominance — the most microbiome-stable state of a woman's life.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Contraceptives effect: Hormonal IUD (local progestin) can reduce Lactobacillus. OCP studies show mixed results. Copper IUD associated with more dysbiosis in some studies.</w:t>
      </w:r>
    </w:p>
    <w:p>
      <w:pPr>
        <w:spacing w:after="12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21.3 Bacterial Vaginosis (BV) — Complete Clinical Reference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D7B8A"/>
          <w:sz w:val="24"/>
          <w:szCs w:val="24"/>
        </w:rPr>
        <w:t xml:space="preserve">Definition and Diagnosis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BV is the most common vaginal condition in reproductive-age women globally. Prevalence: 20–30% of women at any given 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Characterized by loss of Lactobacillus dominance and overgrowth of anaerobic bacteria — primarily Gardnerella vaginalis as the biofilm anchor organism.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Amsel Criteria (clinical diagnosis — 3 of 4 required):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1. Homogeneous, thin, milky-white or grey vaginal discharge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2. Vaginal pH &gt; 4.5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3. Positive whiff/amine test (fishy odor when 10% KOH added to discharge)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4. Clue cells on wet prep (&gt;20% of vaginal epithelial cells are clue cells — bacteria-coated)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Nugent Score (microscopy-based): 0–3 normal, 4–6 intermediate, 7–10 = BV. Gold standard for research.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BV is asymptomatic in ~50% of cases — silent dysbiosis with real consequences.</w:t>
      </w:r>
    </w:p>
    <w:p>
      <w:pPr>
        <w:spacing w:after="12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D7B8A"/>
          <w:sz w:val="24"/>
          <w:szCs w:val="24"/>
        </w:rPr>
        <w:t xml:space="preserve">Consequences of Untreated BV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Sexually transmitted infections: 2–3x increased risk of HIV acquisition; increased HPV, chlamydia, gonorrhea susceptibility.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Pelvic Inflammatory Disease (PID): BV bacteria ascend to upper reproductive tract.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Preterm birth: BV in pregnancy associated with 2x risk of preterm labor; also linked to preterm PROM.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Cervical cancer: Dysbiosis associated with HPV persistence and cervical dysplasia progression.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Endometriosis: Emerging evidence (2024 Frontiers) links BV-associated dysbiosis with endometrial inflammation.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Recurrence: 40–60% recurrence within 12 months of treatment — biofilm by G. vaginalis is treatment-resistant.</w:t>
      </w:r>
    </w:p>
    <w:p>
      <w:pPr>
        <w:spacing w:after="12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D7B8A"/>
          <w:sz w:val="24"/>
          <w:szCs w:val="24"/>
        </w:rPr>
        <w:t xml:space="preserve">Treatment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First-line: Metronidazole (oral 500 mg BD x7 days OR 0.75% gel x5 days) OR Clindamycin cream 2% x7 days.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Novel: Secnidazole single-dose oral; Boric acid suppositories for recurrence; Lactin-V (L. crispatus vaginal probiotic — Phase II data promising).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Recurrent BV management: Extended metronidazole gel (2x/week for 6 months as suppressive therapy); lifestyle modification (condom use, no douching, pH-balanced intimate wash).</w:t>
      </w:r>
    </w:p>
    <w:p>
      <w:pPr>
        <w:spacing w:after="12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21.4 Vulvovaginal Candidiasis (VVC)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Prevalence: 75% of women will have at least one episode in their lifetime; 40–50% will have 2+ episodes.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Recurrent VVC (RVVC): 4+ episodes/year; affects 5–8% of women. Requires long-term antifungal suppression.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Causative organism: Candida albicans (80–90%); C. glabrata (emerging — fluconazole-resistant).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Symptoms: Intense itch, thick white 'cottage cheese' discharge, vulvar redness, soreness, dyspareunia.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Risk factors: Antibiotics (destroy Lactobacillus → Candida overgrowth), pregnancy (high estrogen + glycogen = Candida fuel), diabetes, immunosuppression, tight synthetic clothing.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Menstrual cycle link: High estrogen/high glycogen states (pregnancy, OCP) increase Candida substrate. Many women experience VVC in the premenstrual or early menstrual phase.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Treatment: Fluconazole 150 mg single oral dose (uncomplicated); topical azoles (clotrimazole, miconazole). RVVC: fluconazole weekly x6 months suppression.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AI model note: Women using high-estrogen contraceptives or in pregnancy with recurrent yeast symptoms should be flagged for RVVC evaluation and blood glucose screening.</w:t>
      </w:r>
    </w:p>
    <w:p>
      <w:pPr>
        <w:spacing w:after="12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21.5 Vaginal Microbiome Across the Lifespan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780"/>
        <w:gridCol w:w="4580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517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Life Stage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517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Dominant Flora</w:t>
            </w:r>
          </w:p>
        </w:tc>
        <w:tc>
          <w:tcPr>
            <w:tcW w:type="dxa" w:w="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517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</w:t>
            </w:r>
          </w:p>
        </w:tc>
        <w:tc>
          <w:tcPr>
            <w:tcW w:type="dxa" w:w="4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517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Events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Infancy (0–2 yrs)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Diverse — Lactobacillus from maternal microbiome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6–7</w:t>
            </w:r>
          </w:p>
        </w:tc>
        <w:tc>
          <w:tcPr>
            <w:tcW w:type="dxa" w:w="4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Maternal estrogen fades at ~3 months; diverse flora established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Childhood (3–puberty)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Diverse anaerobes (Staph, E. coli, enterics)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6.5–7.5</w:t>
            </w:r>
          </w:p>
        </w:tc>
        <w:tc>
          <w:tcPr>
            <w:tcW w:type="dxa" w:w="4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Low estrogen = low glycogen = no Lactobacillus dominance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Puberty onset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Transition to Lactobacillus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Falling toward 4.5</w:t>
            </w:r>
          </w:p>
        </w:tc>
        <w:tc>
          <w:tcPr>
            <w:tcW w:type="dxa" w:w="4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Estrogen rises → glycogen available → Lactobacillus colonizes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Reproductive years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CST I–III: Lactobacillus-dominant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3.5–4.5</w:t>
            </w:r>
          </w:p>
        </w:tc>
        <w:tc>
          <w:tcPr>
            <w:tcW w:type="dxa" w:w="4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Cyclical fluctuations; most stable when well; vulnerable during menses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Pregnancy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Most stable Lactobacillus dominance ever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3.5–4.0</w:t>
            </w:r>
          </w:p>
        </w:tc>
        <w:tc>
          <w:tcPr>
            <w:tcW w:type="dxa" w:w="4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High estrogen = maximum protection; dysbiosis → preterm risk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Postpartum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Disrupted: Gardnerella, Prevotella rise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Rising</w:t>
            </w:r>
          </w:p>
        </w:tc>
        <w:tc>
          <w:tcPr>
            <w:tcW w:type="dxa" w:w="4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Estrogen drop + delivery trauma + lochia → microbiome reset needed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Breastfeeding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Gradually recovering; prolactin lowers estrogen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4.0–5.0</w:t>
            </w:r>
          </w:p>
        </w:tc>
        <w:tc>
          <w:tcPr>
            <w:tcW w:type="dxa" w:w="4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Partial recovery; vaginal dryness common (low estrogen)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Perimenopause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Transitioning: Lactobacillus declining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4.5–5.5</w:t>
            </w:r>
          </w:p>
        </w:tc>
        <w:tc>
          <w:tcPr>
            <w:tcW w:type="dxa" w:w="4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Estrogen fluctuation → instability → more BV/VVC episodes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Postmenopause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Diverse — low Lactobacillus; similar to childhood</w:t>
            </w:r>
          </w:p>
        </w:tc>
        <w:tc>
          <w:tcPr>
            <w:tcW w:type="dxa" w:w="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5.0–7.0</w:t>
            </w:r>
          </w:p>
        </w:tc>
        <w:tc>
          <w:tcPr>
            <w:tcW w:type="dxa" w:w="4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Atrophic vaginitis, dryness, UTI risk; local estrogen therapy restores</w:t>
            </w:r>
          </w:p>
        </w:tc>
      </w:tr>
    </w:tbl>
    <w:p>
      <w:pPr>
        <w:spacing w:after="12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21.6 Gut-Vaginal Microbiome Connection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Rectal reservoir: Lactobacillus species in the rectum colonize the vagina via perineal spread — maintaining/restoring vaginal flora.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Estrobolome: Gut bacteria produce beta-glucuronidase → deconjugates estrogen → allows reabsorption into circulation → raises systemic estrogen → feeds vaginal glycogen production.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High fiber diet → healthier estrobolome → better estrogen cycling → healthier vaginal microbiome.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Oral probiotics: Lactobacillus rhamnosus GR-1 + Lactobacillus reuteri RC-14 (oral capsule) — documented to migrate from gut to vagina and reduce BV recurrence in RCTs.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Gut dysbiosis link: Women with IBS, Crohn's disease, and antibiotic overuse show higher BV rates — gut-vaginal crosstalk is bidirectional.</w:t>
      </w:r>
    </w:p>
    <w:p>
      <w:pPr>
        <w:spacing w:after="240"/>
      </w:pPr>
    </w:p>
    <w:p>
      <w:pPr>
        <w:pBdr>
          <w:bottom w:val="single" w:color="E0B4C4" w:sz="3"/>
        </w:pBdr>
        <w:spacing w:before="80" w:after="80"/>
      </w:pP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B5174E"/>
          <w:sz w:val="38"/>
          <w:szCs w:val="38"/>
        </w:rPr>
        <w:t xml:space="preserve">DOMAIN 22: PELVIC FLOOR HEALTH, CHRONIC PELVIC PAIN &amp; SEXUAL PAIN DISORDERS</w:t>
      </w:r>
    </w:p>
    <w:p>
      <w:pPr>
        <w:pBdr>
          <w:bottom w:val="single" w:color="E0B4C4" w:sz="3"/>
        </w:pBdr>
        <w:spacing w:before="80" w:after="80"/>
      </w:pPr>
    </w:p>
    <w:p>
      <w:pPr>
        <w:spacing w:after="1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Chronic pelvic pain affects an estimated 10 million women in the US alone. Less than 70% receive a proper diagnosis; ~61% remain undiagnosed for years. This domain is the most under-served in women's health AI and the most requested by users.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5174E" w:sz="1"/>
              <w:left w:val="single" w:color="B5174E" w:sz="1"/>
              <w:bottom w:val="single" w:color="B5174E" w:sz="1"/>
              <w:right w:val="single" w:color="B5174E" w:sz="1"/>
            </w:tcBorders>
            <w:shd w:fill="FDF0F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B5174E"/>
                <w:sz w:val="23"/>
                <w:szCs w:val="23"/>
              </w:rPr>
              <w:t xml:space="preserve">☑ ADD-ON CHECKLIST: DOMAIN 22 — PELVIC FLOOR &amp; CHRONIC PAIN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01.  Pelvic floor anatomy: 3 muscle layers, pudendal nerve, ligaments, fascial support structures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02.  Pelvic floor dysfunction types: overactive (hypertonic) vs underactive (hypotonic) vs coordination failure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03.  Vulvodynia: classification (localized/generalized, provoked/spontaneous), biopsychosocial model, CST-2015 criteria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04.  Vestibulodynia / Provoked Vestibulodynia (PVD): most common subtype, vestibule anatomy, cotton swab test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05.  Vaginismus / Genitopelvic Pain Penetration Disorder (GPPPD): DSM-5 classification, grading (I–V), treatment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06.  Dyspareunia: entry vs deep pain, etiology matrix (structural, hormonal, infectious, neurological, psychosocial)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07.  Interstitial Cystitis / Bladder Pain Syndrome: pelvic pain-IC overlap, Hunner lesions, dietary triggers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08.  Pelvic Organ Prolapse (POP): types (cystocele, rectocele, uterine), grading (POP-Q), symptoms, Kegel vs surgery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09.  Stress Urinary Incontinence (SUI): sphincter weakness, childbirth damage, prevalence (1 in 3 women &gt;50)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10.  Overactive Bladder (OAB): urgency incontinence, detrusor instability, estrogen deprivation link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11.  Chronic Pelvic Pain Syndrome (CPPS): multimodal etiology, central sensitization, fibromyalgia overlap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12.  Pelvic floor physical therapy (PFPT): biofeedback, manual therapy, dilator therapy, down-training for hypertonicity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13.  Menstrual cycle and pelvic pain: prostaglandin-mediated, endometriosis flare, central sensitization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14.  Postpartum pelvic floor: birth injuries, levator ani avulsion, rehabilitation timeline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15.  Pain psychology: catastrophizing, hypervigilance, CBT for chronic pelvic pain, sexual counseling</w:t>
            </w:r>
          </w:p>
        </w:tc>
      </w:tr>
    </w:tbl>
    <w:p>
      <w:pPr>
        <w:spacing w:after="12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22.1 Pelvic Floor Anatomy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D7B8A"/>
          <w:sz w:val="24"/>
          <w:szCs w:val="24"/>
        </w:rPr>
        <w:t xml:space="preserve">The Three Muscle Layers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Superficial layer (urogenital diaphragm): Bulbocavernosus (vaginal narrowing), ischiocavernosus (clitoral erection), superficial transverse perineal muscles.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Middle layer (deep urogenital diaphragm): External urethral sphincter, deep transverse perineal muscle.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Deep layer (pelvic diaphragm): Levator ani group (pubococcygeus, puborectalis, iliococcygeus) + coccygeus. This is the primary support layer.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Innervation: Pudendal nerve (S2–S4) — innervates external anal sphincter, external urethral sphincter, pelvic floor muscles, and all external genitalia. Pudendal nerve entrapment is a recognized cause of chronic vulvar and pelvic pain.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Clinical relevance: All three layers must work in coordinated relaxation AND contraction. Dysfunction in any layer → pain, incontinence, prolapse, or sexual dysfunction.</w:t>
      </w:r>
    </w:p>
    <w:p>
      <w:pPr>
        <w:spacing w:after="12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22.2 Vulvodynia — Complete Reference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D7B8A"/>
          <w:sz w:val="24"/>
          <w:szCs w:val="24"/>
        </w:rPr>
        <w:t xml:space="preserve">Definition and Classification (ISSVD 2015 Consensus)</w:t>
      </w:r>
    </w:p>
    <w:p>
      <w:pPr>
        <w:spacing w:after="1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Vulvodynia is defined as chronic vulvar pain lasting at least 3 months with no clear identifiable cause (not infection, skin disease, or cancer). It is not a single disease but a constellation of overlapping symptom processes.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517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 Axis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517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1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517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2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Location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Generalized (whole vulva)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Localized (vestibule, clitoris, or hemivulva)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Trigger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Spontaneous (unprovoked — pain without touch)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Provoked (pain triggered by touch, tampon, sex, clothes)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Most Common Subtype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Generalized Unprovoked Vulvodynia (GUV)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Provoked Vestibulodynia (PVD) — most common overall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Onset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Primary (from first sexual attempt)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Secondary (developed after pain-free period)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Pain Quality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Burning, stinging, rawness, throbbing, aching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Sharp, cutting, burning on contact; like 'acid' or 'sandpaper'</w:t>
            </w:r>
          </w:p>
        </w:tc>
      </w:tr>
    </w:tbl>
    <w:p>
      <w:pPr>
        <w:spacing w:after="12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D7B8A"/>
          <w:sz w:val="24"/>
          <w:szCs w:val="24"/>
        </w:rPr>
        <w:t xml:space="preserve">Prevalence and Impact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Prevalence: 8–16% of women (lifetime incidence estimates vary 8–28%). Affects women of all ages from teens to post-menopause.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10 million women estimated affected in the US alone (NICHD).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Average time to diagnosis: 5–7 years (due to clinician under-recognition and patient shame).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Sexual impact: Dyspareunia in virtually all PVD patients → relationship distress, avoidance of intimacy → psychological sequelae.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Psychological comorbidities: 50–60% have co-occurring anxiety or depression (pain-mood bidirectional cycle).</w:t>
      </w:r>
    </w:p>
    <w:p>
      <w:pPr>
        <w:spacing w:after="12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D7B8A"/>
          <w:sz w:val="24"/>
          <w:szCs w:val="24"/>
        </w:rPr>
        <w:t xml:space="preserve">Proposed Causal Mechanisms (Multifactorial)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Nociceptor proliferation: Vestibular biopsy in PVD shows 10x more pain fiber density than controls (Bohm-Starke et al.). More nerves = more pain.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Mast cell activation: Vestibular mast cell concentration and degranulation associated with inflammation and neural sensitization.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Hormonal factors: OCP use (especially before age 17) associated with PVD onset — possible mechanism: low free testosterone + vulvar estrogen receptor changes.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Pelvic floor hypertonicity: Elevated resting EMG of pelvic floor muscles in &gt;80% of vulvodynia patients → pain cycle.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Central sensitization: Brain and spinal cord become 'wound up' → perceive normal stimuli as painful. Similar to fibromyalgia, IBS, and interstitial cystitis — all show overlap with vulvodynia.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Immune-genetic predisposition: Swedish register study (Harlow 2023) found women with vulvodynia had significantly more co-occurring immune-related conditions → hypersensitive immune profile.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Vaginal microbiome link: Yeast infections are both an antecedent risk factor and a consequence of vulvodynia — immune-inflammatory profiles predispose to both.</w:t>
      </w:r>
    </w:p>
    <w:p>
      <w:pPr>
        <w:spacing w:after="12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D7B8A"/>
          <w:sz w:val="24"/>
          <w:szCs w:val="24"/>
        </w:rPr>
        <w:t xml:space="preserve">Treatment — Evidence-Based Multidisciplinary Approach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Pelvic Floor Physical Therapy (PFPT): First-line for PVD. Manual therapy, biofeedback, down-training (relaxation before strengthening). Meta-analysis: 80%+ significant pain reduction.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Topical therapies: Lidocaine 5% ointment (nightly application to vestibule); topical estrogen + testosterone compounded cream (for hormonal-related PVD).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Oral medications: Tricyclic antidepressants (amitriptyline) for central sensitization; gabapentin/pregabalin; some benefit, evidence mixed.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Botulinum toxin A (Botox): Injected into pelvic floor muscles → relaxes hypertonicity → breaks pain-spasm cycle. Strong evidence for GPPPD/vaginismus.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Cognitive Behavioral Therapy (CBT): Addresses pain catastrophizing, anxiety, avoidance behaviors. Combined with PFPT = strongest outcomes.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Vestibulectomy (surgery): Removes painful vestibular tissue. Reserved for failed conservative treatment. Meta-analysis of 33 studies: 70%+ reduction in dyspareunia.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Low-oxalate diet: Some clinicians recommend for vulvodynia (oxalate crystals may irritate — evidence weak but harmless).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MVP (Multidisciplinary Vulvodynia Program) study (PubMed): 132 women; 10-week integrated program → 53.8% significant improvement in dyspareunia + all sexual function domains.</w:t>
      </w:r>
    </w:p>
    <w:p>
      <w:pPr>
        <w:spacing w:after="12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22.3 Vaginismus / GPPPD</w:t>
      </w:r>
    </w:p>
    <w:p>
      <w:pPr>
        <w:spacing w:after="1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DSM-5 merged vaginismus and dyspareunia into Genitopelvic Pain/Penetration Disorder (GPPPD) — recognizing the overlap between involuntary muscle spasm and pain.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Definition: Involuntary tightening of vaginal muscles making penetration painful or impossible. Often conditioned response to anticipated pain.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Grading (Lamont scale): Grade I (spasm at perineum only, can be examined) → Grade V (total body spasm, impossible to examine).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Prevalence: 0.5–1% of women clinically; much higher undiagnosed. Common in vaginismus: inability to use tampons, consummate marriage, undergo Pap smear.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Causes: Can be primary (lifelong) or secondary (after trauma, surgery, infection, painful childbirth).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CRITICAL AI NOTE: Do NOT recommend Kegel exercises for vaginismus — this worsens hypertonicity. Recommend referral to PFPT for 'down-training' (relaxation/release techniques).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Treatment: PFPT (manual therapy + progressive vaginal dilator therapy) is gold standard. Botox injections for refractory cases. Sex therapy and CBT address psychological component. 90%+ success with combined approach.</w:t>
      </w:r>
    </w:p>
    <w:p>
      <w:pPr>
        <w:spacing w:after="12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22.4 Pelvic Organ Prolapse (POP)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Definition: One or more pelvic organs (bladder, uterus, rectum) descend into or through the vaginal canal due to weakened support structures.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Types: Cystocele (bladder prolapse — most common), rectocele (rectum prolapse), uterine prolapse, vaginal vault prolapse (post-hysterectomy), enterocele (small bowel).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Prevalence: 50% of parous women have some degree of POP; 10–20% are symptomatic; 1 in 8 women undergo surgery for POP/incontinence.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Risk factors: Childbirth (especially vaginal delivery with large baby or prolonged pushing), menopause (estrogen loss weakens collagen), obesity, chronic constipation, heavy lifting.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Symptoms: Pelvic pressure or 'bulge', heaviness, difficulty with urination or defecation, reduced sexual sensation.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Grading: POP-Q system (0–IV). Grade 0 = no prolapse; Grade IV = complete procidentia (uterus fully outside vagina).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Treatment: Pelvic floor exercises (Grade I–II), pessary (vaginal support device — highly effective, non-surgical), surgery (sacrocolpopexy, repair) for Grade III–IV.</w:t>
      </w:r>
    </w:p>
    <w:p>
      <w:pPr>
        <w:spacing w:after="12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22.5 Interstitial Cystitis / Bladder Pain Syndrome (IC/BPS)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Definition: Chronic bladder pain or pressure, urgency, frequency — without infection. Diagnosis of exclusion.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Prevalence: 3–8 million US women (3.3–7.9%); women affected 5–10x more than men.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Menstrual cycle link: Symptoms classically worsen premenstrually (progesterone withdrawal + prostaglandins). Known catamenial pattern in 40% of IC patients.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Pelvic pain overlap: 40–80% of IC patients have concurrent vulvodynia, endometriosis, or IBS — 'pelvic floor hypersensitivity syndrome' cluster.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Central sensitization: IC shares neurobiological mechanisms with vulvodynia, fibromyalgia, and irritable bowel — all are 'central sensitivity syndromes'.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Dietary triggers: Caffeine, alcohol, citrus, tomatoes, spicy food, artificial sweeteners — 'IC diet' eliminates these.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Treatment: Pentosan polysulfate (Elmiron), intravesical heparin/lidocaine instillations, hydrodistension, bladder training, PFPT for pelvic floor component.</w:t>
      </w:r>
    </w:p>
    <w:p>
      <w:pPr>
        <w:spacing w:after="240"/>
      </w:pPr>
    </w:p>
    <w:p>
      <w:pPr>
        <w:pBdr>
          <w:bottom w:val="single" w:color="E0B4C4" w:sz="3"/>
        </w:pBdr>
        <w:spacing w:before="80" w:after="80"/>
      </w:pP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B5174E"/>
          <w:sz w:val="38"/>
          <w:szCs w:val="38"/>
        </w:rPr>
        <w:t xml:space="preserve">DOMAIN 23: AI, MACHINE LEARNING &amp; WEARABLE TECHNOLOGY FOR MENSTRUAL HEALTH</w:t>
      </w:r>
    </w:p>
    <w:p>
      <w:pPr>
        <w:pBdr>
          <w:bottom w:val="single" w:color="E0B4C4" w:sz="3"/>
        </w:pBd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5174E" w:sz="1"/>
              <w:left w:val="single" w:color="B5174E" w:sz="1"/>
              <w:bottom w:val="single" w:color="B5174E" w:sz="1"/>
              <w:right w:val="single" w:color="B5174E" w:sz="1"/>
            </w:tcBorders>
            <w:shd w:fill="FDF0F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B5174E"/>
                <w:sz w:val="23"/>
                <w:szCs w:val="23"/>
              </w:rPr>
              <w:t xml:space="preserve">☑ ADD-ON CHECKLIST: DOMAIN 23 — AI/ML &amp; WEARABLES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01.  ML model types applied to menstrual data: LSTM, CNN, Random Forest, Decision Tree, Hidden Markov Models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02.  Wearable biomarkers: wrist skin temperature (WST), heart rate, HRV, EDA, resting heart rate during sleep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03.  Wrist skin temperature cycle correlation: rises 0.2–0.4°C post-ovulation via luteal progesterone — detectable by watch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04.  Cycle phase classification accuracy benchmarks: RF 87% for 3-phase; LSTM 91.3% for cycle length prediction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05.  Fertile window prediction: WST + HR algorithm — 85.47% accuracy (regular), 79.85% (irregular) — Fudan 2025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06.  Menstruation prediction 3-day advance: 75% accuracy with wearable data (ScienceDirect 2025)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07.  mcPHASES public dataset: 42 women, multimodal (Mira Plus hormones + Fitbit wearable), open access PhysioNet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08.  Federated learning for menstrual health: privacy-preserving model training across distributed devices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09.  App algorithm comparison: Natural Cycles (FDA-cleared, Pearl Index 1.8% perfect), Clue, Flo accuracy data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10.  LSTM vs CNN vs Decision Tree: LSTM best for temporal cycle patterns; CNN for pattern detection; DT for interpretability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11.  Hidden Semi-Markov models: best for irregular tracking with missing data (98% on synthetic, 90% realistic)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12.  Bias risks in menstrual AI: Western-centric training data, underrepresentation of PCOS and irregular cycle users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13.  Real-world menstrual cycle data: Bull et al. 2019 NPJ Digital Medicine — 600,000 cycles; average 29.3 days, high variability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14.  Continuous hormone sensing: Mira wand (LH/E3G), Inito (LH/FSH/E3G/PdG) — quantitative urinary hormone tracking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15.  Data privacy in cycle apps: HIPAA/GDPR applicability, Roe v Wade aftermath data-sharing concerns (Flo vs FTC 2021)</w:t>
            </w:r>
          </w:p>
        </w:tc>
      </w:tr>
    </w:tbl>
    <w:p>
      <w:pPr>
        <w:spacing w:after="12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23.1 Machine Learning Architecture for Cycle Prediction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3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517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ML Model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517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Application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517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Accuracy (Published)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517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Limitations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LSTM (Long Short-Term Memory)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Cycle length prediction; temporal pattern capture across multiple cycles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91.3% cycle length (JAIC 2025)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Needs multiple cycle history; black-box; high compute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CNN (Convolutional Neural Network)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Phase classification from time-series physiological signals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88.9% cycle length; 94.1% discomfort detection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Less interpretable; needs clean data; overfitting risk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Random Forest (RF)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Multi-phase classification from wearable signals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87% 3-phase accuracy; AUC 0.96 (npj Women's Health 2025)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Fixed window features; not dynamic; good for offline analysis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Decision Tree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Interpretable classification; clinical decision support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85.2% cycle length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Overfits; poor temporal modeling; useful for explainability layer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Hidden Semi-Markov Model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Irregular cycle tracking with missing data; app user tracking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98% synthetic, 90% realistic missingness (medRxiv 2021)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Complex to train; hard to interpret; no real-time output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Logistic Regression (baseline)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Simple fertile window flag from calendar data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~75–80%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Cannot handle non-linearity; assumes regular cycles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Transformer / Attention Models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Emerging: full cycle context window; handles irregular cycles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Research stage — 2024–2025 papers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High data requirement; still in validation phase for cycle data</w:t>
            </w:r>
          </w:p>
        </w:tc>
      </w:tr>
    </w:tbl>
    <w:p>
      <w:pPr>
        <w:spacing w:after="12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23.2 Key Wearable Biomarkers for Cycle Tracking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D7B8A"/>
          <w:sz w:val="24"/>
          <w:szCs w:val="24"/>
        </w:rPr>
        <w:t xml:space="preserve">Wrist Skin Temperature (WST)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Mechanism: Progesterone (post-ovulation) causes peripheral vasoconstriction → heat redirected to core → wrist temperature DROPS post-ovulation paradoxically, then rises in mid-luteal phase. The signature is a temperature shift pattern — not absolute value.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Research: Fudan University 2025 (ScienceDirect) — WST + HR → 85.47% fertility window accuracy in regular cycles; 79.85% in irregular cycles using wrist smartwatch (Huawei).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npj Women's Health 2025 (Nature): RF model using WST + EDA + IBI + HR from wrist device → 87% 3-phase classification, AUC 0.96.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Devices: Oura Ring (finger temperature — continuous), Apple Watch (wrist temperature — available Series 8+, iPhone Health app), Fitbit Sense, Tempdrop (arm sensor during sleep).</w:t>
      </w:r>
    </w:p>
    <w:p>
      <w:pPr>
        <w:spacing w:after="12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D7B8A"/>
          <w:sz w:val="24"/>
          <w:szCs w:val="24"/>
        </w:rPr>
        <w:t xml:space="preserve">Heart Rate Variability (HRV)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HRV fluctuates across the menstrual cycle: higher HRV in follicular phase (sympathetic/parasympathetic balance); lower HRV in luteal phase (progesterone shifts autonomic balance toward sympathetic).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NPJ Digital Medicine 2024 (Jasinski et al.): Novel method for quantifying HRV fluctuations across cycle using Oura Ring wearable — validated framework.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AI potential: HRV trajectory combined with temperature and sleep data can improve cycle phase classification to 88%+ accuracy.</w:t>
      </w:r>
    </w:p>
    <w:p>
      <w:pPr>
        <w:spacing w:after="12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D7B8A"/>
          <w:sz w:val="24"/>
          <w:szCs w:val="24"/>
        </w:rPr>
        <w:t xml:space="preserve">Resting Heart Rate (RHR)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RHR rises slightly post-ovulation (progesterone effect on cardiac output). This is the same mechanism that causes elevated BBT.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Machine learning models trained on sleeping RHR showed 75% accuracy for menstruation prediction 3 days in advance (Shilaih et al., Scientific Reports 2017).</w:t>
      </w:r>
    </w:p>
    <w:p>
      <w:pPr>
        <w:spacing w:after="12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23.3 The mcPHASES Public Dataset (PhysioNet 2025)</w:t>
      </w:r>
    </w:p>
    <w:p>
      <w:pPr>
        <w:spacing w:after="1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This is the most important open-access training dataset available for building a menstrual health AI. AI teams building women-centric models should use this as primary training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Source: PhysioNet (physionet.org/content/mcphases/1.0.0/) — Published September 2025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Data: 42 women (expanded 2024), 3-month longitudinal collection per participant.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Modalities collected simultaneously: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Hormone levels: Mira Plus urine analyzer — LH, E3G (estrogen), PdG (progesterone) — daily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Wearable: Fitbit Sense — continuous HR, skin temperature, sleep quality, activity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Self-reported: symptoms, mood, pain scores, cycle events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Citation: Lin, B., Li, J.Y., Kalani, K., Truong, K., Mariakakis, A. (2025). mcPHASES. PhysioNet. DOI: 10.13026/zx6a-2c81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Use: Train, validate, and test phase classification models against gold-standard hormonal data — ideal for LLM grounding in physiological truth.</w:t>
      </w:r>
    </w:p>
    <w:p>
      <w:pPr>
        <w:spacing w:after="12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23.4 Data Privacy &amp; Ethical AI in Menstrual Health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91C1C" w:sz="1"/>
              <w:left w:val="single" w:color="B91C1C" w:sz="1"/>
              <w:bottom w:val="single" w:color="B91C1C" w:sz="1"/>
              <w:right w:val="single" w:color="B91C1C" w:sz="1"/>
            </w:tcBorders>
            <w:shd w:fill="FEE2E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91C1C"/>
                <w:sz w:val="22"/>
                <w:szCs w:val="22"/>
              </w:rPr>
              <w:t xml:space="preserve">⚠️  CRITICAL: Menstrual Data is Sensitive Health Data — Legal &amp; Ethical Considerations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POST-ROE LEGAL RISK (US): After Dobbs v. Jackson (2022), law enforcement in abortion-restricted states can subpoena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cycle tracking data to establish pregnancy evidence. Flo Health's FTC settlement (2021) — shared user data with Facebook/Google.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GDPR (Europe): Menstrual and fertility data classified as 'special category health data' under Article 9.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Explicit consent required; right to erasure; purpose limitation — cannot use for advertising.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HIPAA (US): Applies only if app is connected to a healthcare provider. Consumer-only apps are NOT covered by HIPAA.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 India (DPDP Act 2023): Digital Personal Data Protection Act requires informed consent for sensitive personal data.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 AI MODEL OBLIGATION: Never store, sell, or share menstrual data with third parties. Implement on-device processing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where possible. Anonymize aggregated data before model training. Publish clear data use policy in plain language.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6. DESIGN PRINCIPLE: Give users the ability to export, delete, and refuse data sharing at all times.</w:t>
            </w:r>
          </w:p>
        </w:tc>
      </w:tr>
    </w:tbl>
    <w:p>
      <w:pPr>
        <w:spacing w:after="240"/>
      </w:pPr>
    </w:p>
    <w:p>
      <w:pPr>
        <w:pBdr>
          <w:bottom w:val="single" w:color="E0B4C4" w:sz="3"/>
        </w:pBdr>
        <w:spacing w:before="80" w:after="80"/>
      </w:pP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B5174E"/>
          <w:sz w:val="38"/>
          <w:szCs w:val="38"/>
        </w:rPr>
        <w:t xml:space="preserve">DOMAIN 24: FEMALE SEXUAL DYSFUNCTION (FSD) — CLASSIFICATION &amp; TREATMENT</w:t>
      </w:r>
    </w:p>
    <w:p>
      <w:pPr>
        <w:pBdr>
          <w:bottom w:val="single" w:color="E0B4C4" w:sz="3"/>
        </w:pBdr>
        <w:spacing w:before="80" w:after="80"/>
      </w:pPr>
    </w:p>
    <w:p>
      <w:pPr>
        <w:spacing w:after="1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Female Sexual Dysfunction (FSD) affects 40–50% of women at some point in their lives. It is vastly under-recognized, under-reported, and under-treated. A women-centric AI must be able to recognize, describe, and appropriately respond to FSD concerns.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5174E" w:sz="1"/>
              <w:left w:val="single" w:color="B5174E" w:sz="1"/>
              <w:bottom w:val="single" w:color="B5174E" w:sz="1"/>
              <w:right w:val="single" w:color="B5174E" w:sz="1"/>
            </w:tcBorders>
            <w:shd w:fill="FDF0F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B5174E"/>
                <w:sz w:val="23"/>
                <w:szCs w:val="23"/>
              </w:rPr>
              <w:t xml:space="preserve">☑ ADD-ON CHECKLIST: DOMAIN 24 — FEMALE SEXUAL DYSFUNCTION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01.  FSD classification (DSM-5): HSDD, FSAD, Female Orgasmic Disorder, GPPPD — definitions and overlap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02.  Hypoactive Sexual Desire Disorder (HSDD): biopsychosocial model, prevalence (10% premenopausal, 40%+ postmenopausal)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03.  Female Sexual Arousal Disorder (FSAD): genital vs subjective arousal dissociation, lubrication disorders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04.  Female Orgasmic Disorder (FOD): primary vs secondary anorgasmia, cultural barriers, clitoral anatomy knowledge gap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05.  Genitopelvic Pain/Penetration Disorder (GPPPD): DSM-5 merged category, vaginismus + dyspareunia spectrum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06.  Menstrual cycle and FSD: phase-dependent desire and arousal patterns, impact of PMS/PMDD on sexual function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07.  Hormonal causes: testosterone role in female desire (SHBG/free testosterone), estrogen for lubrication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08.  Menopause and FSD: GSM (genitourinary syndrome of menopause) — dryness, pain, arousal difficulty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09.  Medication-induced FSD: SSRIs (anorgasmia, reduced desire), antipsychotics (prolactin elevation → low libido)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10.  Psychological factors: body image, trauma history, relationship quality, anxiety, performance pressure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11.  Treatment: psychosexual therapy, pelvic floor PT, Addyi (flibanserin) for HSDD, topical testosterone, lubricants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12.  Clitoral anatomy: modern understanding (Helen O'Connell 1998/2005), internal clitoral structure, arousal physiology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2500"/>
        <w:gridCol w:w="1440"/>
        <w:gridCol w:w="2420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517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FSD Disorder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517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DSM-5 Category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517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Feature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517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Prevalence</w:t>
            </w:r>
          </w:p>
        </w:tc>
        <w:tc>
          <w:tcPr>
            <w:tcW w:type="dxa" w:w="24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517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Cycle Phase Link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HSDD — Hypoactive Sexual Desire Disorder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Sexual Dysfunction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Persistent lack of sexual thoughts, desire, fantasy causing distress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10–40% by age group</w:t>
            </w:r>
          </w:p>
        </w:tc>
        <w:tc>
          <w:tcPr>
            <w:tcW w:type="dxa" w:w="24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Worsens in late luteal phase (progesterone dominant); improves follicular phase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FSAD — Female Sexual Arousal Disorder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Sexual Dysfunction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Failure to attain or maintain lubrication/swelling during sexual activity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~20% reproductive age</w:t>
            </w:r>
          </w:p>
        </w:tc>
        <w:tc>
          <w:tcPr>
            <w:tcW w:type="dxa" w:w="24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Strongly worsens post-menopause; lubricant/estrogen responsive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Female Orgasmic Disorder (FOD)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Sexual Dysfunction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Delay/absence/reduced intensity of orgasm despite arousal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10–14% primary anorgasmia</w:t>
            </w:r>
          </w:p>
        </w:tc>
        <w:tc>
          <w:tcPr>
            <w:tcW w:type="dxa" w:w="24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Serotonin surge post-ovulation may enhance; progesterone dampens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GPPPD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Sexual Dysfunction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Pelvic pain during penetration, involuntary muscle tightening, fear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3–18% varying by definition</w:t>
            </w:r>
          </w:p>
        </w:tc>
        <w:tc>
          <w:tcPr>
            <w:tcW w:type="dxa" w:w="24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Dyspareunia often worse during/after menstruation (prostaglandins)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Persistent Genital Arousal Disorder (PGAD)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yet DSM-5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Unwanted, distressing spontaneous genital arousal without desire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Unknown; rare; underreported</w:t>
            </w:r>
          </w:p>
        </w:tc>
        <w:tc>
          <w:tcPr>
            <w:tcW w:type="dxa" w:w="24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 clear cycle pattern; worsens with stress</w:t>
            </w:r>
          </w:p>
        </w:tc>
      </w:tr>
    </w:tbl>
    <w:p>
      <w:pPr>
        <w:spacing w:after="240"/>
      </w:pPr>
    </w:p>
    <w:p>
      <w:pPr>
        <w:pBdr>
          <w:bottom w:val="single" w:color="E0B4C4" w:sz="3"/>
        </w:pBdr>
        <w:spacing w:before="80" w:after="80"/>
      </w:pP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B5174E"/>
          <w:sz w:val="38"/>
          <w:szCs w:val="38"/>
        </w:rPr>
        <w:t xml:space="preserve">DOMAIN 25: GENETICS, EPIGENETICS &amp; HEREDITARY RISK IN WOMEN'S HEALTH</w:t>
      </w:r>
    </w:p>
    <w:p>
      <w:pPr>
        <w:pBdr>
          <w:bottom w:val="single" w:color="E0B4C4" w:sz="3"/>
        </w:pBd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5174E" w:sz="1"/>
              <w:left w:val="single" w:color="B5174E" w:sz="1"/>
              <w:bottom w:val="single" w:color="B5174E" w:sz="1"/>
              <w:right w:val="single" w:color="B5174E" w:sz="1"/>
            </w:tcBorders>
            <w:shd w:fill="FDF0F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B5174E"/>
                <w:sz w:val="23"/>
                <w:szCs w:val="23"/>
              </w:rPr>
              <w:t xml:space="preserve">☑ ADD-ON CHECKLIST: DOMAIN 25 — GENETICS &amp; EPIGENETICS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01.  BRCA1/BRCA2: lifetime breast cancer risk (BRCA1: 72%; BRCA2: 69%), ovarian cancer risk, management decisions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02.  Lynch syndrome: hereditary colorectal + endometrial + ovarian cancer; MSH2, MLH1, MSH6, PMS2 genes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03.  Hereditary endometriosis: twin studies (51% heritability), VEGF, CYP19A1, WNT pathways, polygenic architecture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04.  PCOS genetics: complex polygenic; GWAS identified 20+ loci including LHCGR, FSHR, INSR genes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05.  Turner syndrome (45,X): absent second X chromosome → POI, amenorrhea, infertility, short stature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06.  Fragile X premutation (FMR1): &gt;55 CGG repeats → POI in ~20% of carrier women; FXTAS risk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07.  CAH (Congenital Adrenal Hyperplasia): 21-hydroxylase deficiency → excess androgens → menstrual irregularity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08.  MTHFR polymorphism: C677T variant → reduced folate metabolism → hyperhomocysteinemia → recurrent miscarriage risk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09.  Factor V Leiden / Prothrombin G20210A: thrombophilia → pregnancy loss, DVT on OCP — MUST screen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10.  APOE gene: menopause age and Alzheimer risk — estrogen-APOE interaction emerging research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11.  Epigenetic effects: stress, diet, smoking → methylation changes → altered gene expression in reproductive axis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12.  Pharmacogenomics: CYP2D6 (codeine metabolism, tamoxifen activation), CYP3A4 (OCP metabolism) — relevant for precision treatment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30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517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Gene/Condition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517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Chromosome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517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Reproductive Impact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517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Screening Recommendation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BRCA1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17q12-21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Breast cancer 72% lifetime; Ovarian cancer 44%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Genetic counseling if family history; RRSO by 40 for BRCA1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BRCA2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13q12-13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Breast cancer 69%; Ovarian cancer 17%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Genetic counseling; RRSO by 45 for BRCA2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Lynch syndrome (MLH1, MSH2)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Various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Endometrial cancer 25–60% lifetime risk — second only to colorectal in Lynch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Annual endometrial biopsy from age 30–35; prophylactic hysterectomy option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LHCGR / FSHR variants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2p21, 2p16.3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PCOS susceptibility; FSH receptor insensitivity (amenorrhea)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Genetic testing for unexplained anovulation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FMR1 premutation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Xq27.3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Primary Ovarian Insufficiency in ~20% of female carriers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Test any woman with unexplained POI or early menopause &lt;40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Turner syndrome (45,X)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Sex chromosome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Amenorrhea, streak ovaries, infertility, short stature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Karyotype for primary amenorrhea; HRT until age 51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MTHFR C677T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1p36.3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Homozygous → 2-4x recurrent miscarriage risk; NTD risk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Test in recurrent miscarriage (2+ losses); methylfolate supplementation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Factor V Leiden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1q24.2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Thrombophilia → OCP-associated DVT (8x relative risk); pregnancy loss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Screen before OCP in those with family history; alternative contraception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CYP2D6 *4/*5 null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22q13.2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Tamoxifen metabolism failure → reduced breast cancer protection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Pharmacogenomic test before tamoxifen in breast cancer Rx</w:t>
            </w:r>
          </w:p>
        </w:tc>
      </w:tr>
    </w:tbl>
    <w:p>
      <w:pPr>
        <w:spacing w:after="240"/>
      </w:pPr>
    </w:p>
    <w:p>
      <w:pPr>
        <w:pBdr>
          <w:bottom w:val="single" w:color="E0B4C4" w:sz="3"/>
        </w:pBdr>
        <w:spacing w:before="80" w:after="80"/>
      </w:pP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B5174E"/>
          <w:sz w:val="38"/>
          <w:szCs w:val="38"/>
        </w:rPr>
        <w:t xml:space="preserve">DOMAIN 26: INDIA-SPECIFIC WOMEN'S HEALTH DEEP DIVE</w:t>
      </w:r>
    </w:p>
    <w:p>
      <w:pPr>
        <w:pBdr>
          <w:bottom w:val="single" w:color="E0B4C4" w:sz="3"/>
        </w:pBdr>
        <w:spacing w:before="80" w:after="80"/>
      </w:pPr>
    </w:p>
    <w:p>
      <w:pPr>
        <w:spacing w:after="1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India represents the world's largest market for women-centric health AI. A model designed for Indian women must account for unique epidemiology, cultural context, dietary patterns, traditional medicine systems, healthcare access barriers, and regional diversity.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5174E" w:sz="1"/>
              <w:left w:val="single" w:color="B5174E" w:sz="1"/>
              <w:bottom w:val="single" w:color="B5174E" w:sz="1"/>
              <w:right w:val="single" w:color="B5174E" w:sz="1"/>
            </w:tcBorders>
            <w:shd w:fill="FDF0F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B5174E"/>
                <w:sz w:val="23"/>
                <w:szCs w:val="23"/>
              </w:rPr>
              <w:t xml:space="preserve">☑ ADD-ON CHECKLIST: DOMAIN 26 — INDIA-SPECIFIC KNOWLEDGE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01.  PCOS prevalence in India: ~19–22% (highest globally), linked to insulin resistance + dietary patterns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02.  Average menarche age in India: 12.5–13.1 years (urban earlier, rural later); declining trend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03.  Dysmenorrhea prevalence: 67–90% of Indian adolescents report some degree of period pain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04.  Iron deficiency anemia: 57% of reproductive-age women in India are anemic (NFHS-5) — critical context for heavy period AI triage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05.  Ayurvedic perspective on menstruation: 'Rajah' (rajodharma), doshas in cycle, Vata-Pitta-Kapha phase mapping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06.  Common Indian medicinal plants with evidence: Shatavari (estrogen modulation), Ashwagandha (cortisol/cycle), turmeric (anti-inflammatory), fenugreek (PCOS), sesame seeds (phytoestrogens)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07.  Indian dietary impact on cycle: high refined carb diet (rice/wheat/sugar) → insulin resistance → PCOS amplification; ghee and traditional fats may support hormone synthesis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08.  Siddha medicine menstrual classification: 'Maathavi' disorders, herbal protocols in Tamil Nadu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09.  Regional variations: Kerala higher education → more cycle awareness; Rajasthan/UP → highest menstrual taboo, poorest hygiene access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10.  India PCOS challenge: ~60% of Indian PCOS patients are non-obese PCOS — different from Western phenotype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11.  India healthcare gap: gynecologist density 1:1000 in cities vs near-zero in rural areas; AI fills critical gap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12.  Menstrual hygiene in India: MHS scheme, Jagyasa campaign, 'Menstrual Hygiene Day' (May 28) advocacy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13.  Language diversity: Hindi, Tamil, Telugu, Kannada, Bengali, Marathi — regional terms for menstruation differ widely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14.  Societal taboo impact: 23% of girls drop out of school when they get their period (WaterAid 2019 India report)</w:t>
            </w:r>
          </w:p>
        </w:tc>
      </w:tr>
    </w:tbl>
    <w:p>
      <w:pPr>
        <w:spacing w:after="12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26.1 PCOS in India — A Different Phenotype</w:t>
      </w:r>
    </w:p>
    <w:p>
      <w:pPr>
        <w:spacing w:after="1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India has the highest reported PCOS prevalence globally (~19–22%), and importantly, Indian PCOS presents differently from the Western presentation described in most medical literature.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Non-obese PCOS: ~60% of Indian PCOS patients have normal or low BMI. This means the classic weight-loss-first advice is often inappropriate.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Insulin resistance without obesity: Visceral adiposity (abdominal fat) even in lean women drives insulin resistance in Indian women due to genetic predisposition and dietary patterns.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Androgen excess: Hirsutism and acne are more prominent features in Indian patients than in Western cohorts.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Early onset: Indian girls showing PCOS features as young as 13–14 years — irregular cycles from menarche, acne, and hair issues.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Dietary driver: High glycemic diet (white rice, refined wheat, sugar, fried foods) → chronic insulin elevation → stimulates ovarian androgen production → PCOS cycle.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AI model implication: Weight-based triage is INSUFFICIENT for Indian PCOS. Insulin resistance markers (fasting insulin, HOMA-IR, waist:hip ratio) must be primary variables.</w:t>
      </w:r>
    </w:p>
    <w:p>
      <w:pPr>
        <w:spacing w:after="12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26.2 Ayurvedic Framework for Menstrual Health</w:t>
      </w:r>
    </w:p>
    <w:p>
      <w:pPr>
        <w:spacing w:after="1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Ayurveda classifies menstruation (Rajas/Artava) as a vital bodily function (dhatu) governed by Apana Vata (downward-moving prana). Understanding this system allows the AI to communicate with users who use traditional terminology and to provide culturally integrated responses.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200"/>
        <w:gridCol w:w="2860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517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Ayurvedic Dosha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517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Menstrual Manifestation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517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Modern Correlation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517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Traditional Management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Vata imbalance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Irregular cycles, scanty flow, dark color, severe cramps, anxiety, constipation premenstrually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FHA, anovulatory cycles, dysmenorrhea, stress-induced delay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Warm sesame oil massage (abhyanga), ghee, Shatavari, warmth, rest, Basti (enema) treatment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Pitta imbalance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Heavy flow, bright red, burning sensation, anger/irritability premenstrually, fever-like symptoms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Menorrhagia, inflammatory dysmenorrhea, PMDD anger component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Cooling foods (coconut, coriander, pomegranate), Shatavari, Lodhra herb, avoid spicy food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Kapha imbalance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Late/delayed periods, heavy dull flow, thick pale discharge, bloating, lethargy, water retention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PCOS-related oligomenorrhea, hypothyroid pattern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Light diet, exercise, Trikatu (warming spices), Kanchanara Guggulu, Punarnava</w:t>
            </w:r>
          </w:p>
        </w:tc>
      </w:tr>
    </w:tbl>
    <w:p>
      <w:pPr>
        <w:spacing w:after="12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D7B8A"/>
          <w:sz w:val="24"/>
          <w:szCs w:val="24"/>
        </w:rPr>
        <w:t xml:space="preserve">Key Ayurvedic Herbs with Modern Evidence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Shatavari (Asparagus racemosus): Contains steroidal saponins (shatavarins) with phytoestrogenic activity. Studies show FSH modulation, improved luteal phase progesterone in sub-fertile women. Used for PMS, low libido, menopausal symptoms.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Ashwagandha (Withania somnifera): Adaptogen; reduces cortisol by 27.9% (double-blind RCT). Supports HPO axis function under chronic stress. Improves thyroid function (T3, T4). Effective for stress-related cycle disruption.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Turmeric / Curcumin (Curcuma longa): NF-κB anti-inflammatory pathway → reduces prostaglandins → clinically reduces dysmenorrhea pain in RCTs. Also shown to reduce PMS severity (500 mg BID).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Fenugreek (Trigonella foenum-graecum): Saponins mimic estrogen; also reduces insulin resistance → beneficial for PCOS. Fenugreek seed extract (600 mg/day) shown to improve ovarian morphology and cycle regularity in PCOS RCTs.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Sesame seeds: High phytoestrogen (lignan) content; used in Indian traditional medicine for amenorrhea. Pre-menopause supplementation shows modest estrogen-modulating effect.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Lodhra (Symplocos racemosa): Used in Ayurveda for heavy bleeding (metrorrhagia/menorrhagia); contains loturine alkaloids. Limited modern RCT data but traditional use well-documented.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Aloe vera: Traditionally used to regulate menstruation. Contains anthraquinones (aloin) which stimulate uterine contractions — can induce periods. NOT SAFE in pregnancy. Used for amenorrhea in Ayurvedic practice.</w:t>
      </w:r>
    </w:p>
    <w:p>
      <w:pPr>
        <w:spacing w:after="12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26.3 India Healthcare Access Gap &amp; AI Opportunity</w:t>
      </w:r>
    </w:p>
    <w:p>
      <w:pPr>
        <w:spacing w:after="1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shortage of gynecological care in India makes AI the most scalable intervention for women's reproductive health. Understanding the gap quantifies the AI opportunity.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Gynecologist density: India has ~20,000 OB-GYNs for 700 million women → approximately 1 per 35,000 women. Rural areas have virtually none.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Awareness gap: 70% of Indian women in NFHS-5 reported irregular periods but never sought medical care — stigma + access + cost barriers.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Language: 22 official languages + hundreds of dialects. A menstrual health AI must support at minimum: Hindi, Tamil, Telugu, Kannada, Bengali, Marathi, Gujarati.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Terminology diversity: 'Mahvari', 'Masik dharma', 'Chums', 'Those days', 'MC' — regional slang for menstruation. AI must understand colloquial inputs.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WhatsApp-first population: 500 million+ Indian WhatsApp users; chatbot deployment via WhatsApp is the highest-penetration channel for rural India.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Trust barrier: Many Indian women will not discuss menstruation with male family members or male doctors. An AI with appropriate sensitivity can be the first point of honest disclosure.</w:t>
      </w:r>
    </w:p>
    <w:p>
      <w:pPr>
        <w:spacing w:after="240"/>
      </w:pPr>
    </w:p>
    <w:p>
      <w:pPr>
        <w:pBdr>
          <w:bottom w:val="single" w:color="E0B4C4" w:sz="3"/>
        </w:pBdr>
        <w:spacing w:before="80" w:after="8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B5174E"/>
          <w:sz w:val="34"/>
          <w:szCs w:val="34"/>
        </w:rPr>
        <w:t xml:space="preserve">COMPLETE 26-DOMAIN KNOWLEDGE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700"/>
        <w:gridCol w:w="1500"/>
        <w:gridCol w:w="1800"/>
        <w:gridCol w:w="2960"/>
      </w:tblGrid>
      <w:tr>
        <w:trPr>
          <w:tblHeader/>
        </w:trP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517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517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 Name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517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517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517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 for LLM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01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Biological Foundation — Anatomy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Base v2.0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✅ Complete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02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Cycle Phases &amp; Parameters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Base v2.0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✅ Complete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03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Lifecycle Milestones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Base v2.0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✅ Complete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04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Physical Symptoms by Phase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Base v2.0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✅ Complete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05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Mental Health &amp; Neuroscience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Base v2.0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✅ Complete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06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Nutrition &amp; Supplements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Base v2.0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✅ Complete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07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Lifestyle Factors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Base v2.0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✅ Complete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08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Sexual Activity &amp; Relationships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Base v2.0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✅ Complete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09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Pregnancy &amp; Postpartum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Base v2.0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✅ Complete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Breastfeeding &amp; Lactation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Base v2.0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✅ Complete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11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Medical Conditions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Base v2.0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✅ Complete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12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Menstrual Disorders Taxonomy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Base v2.0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✅ Complete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13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Cycle Tracking &amp; FAM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Base v2.0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✅ Complete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14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Contraception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Base v2.0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✅ Complete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15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Fertility &amp; ART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Base v2.0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✅ Complete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16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Menopause &amp; HRT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Base v2.0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✅ Complete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17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Skin, Hair &amp; Body Composition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Base v2.0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✅ Complete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18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Cultural &amp; Global Perspectives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Base v2.0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✅ Complete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19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Medications Affecting Cycle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Base v2.0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✅ Complete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AI Model Design Guidelines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Base v2.0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✅ Complete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21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Vaginal Microbiome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Add-On v1.0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✅ NEW — Complete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22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Pelvic Floor &amp; Chronic Pain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Add-On v1.0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✅ NEW — Complete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23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AI/ML &amp; Wearable Technology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Add-On v1.0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✅ NEW — Complete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24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Female Sexual Dysfunction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Add-On v1.0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✅ NEW — Complete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25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Genetics &amp; Epigenetics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Add-On v1.0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✅ NEW — Complete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26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India-Specific Deep Dive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Add-On v1.0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✅ NEW — Complete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Critical (India deployment)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B8A" w:sz="1"/>
              <w:left w:val="single" w:color="0D7B8A" w:sz="1"/>
              <w:bottom w:val="single" w:color="0D7B8A" w:sz="1"/>
              <w:right w:val="single" w:color="0D7B8A" w:sz="1"/>
            </w:tcBorders>
            <w:shd w:fill="E6F5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D7B8A"/>
                <w:sz w:val="22"/>
                <w:szCs w:val="22"/>
              </w:rPr>
              <w:t xml:space="preserve">🚀  RECOMMENDED NEXT STEPS FOR LLM TRAINING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STEP 1 — DATA INGESTION: Feed both documents (v2.0 Base + Add-On v1.0) as structured context chunks into your RAG pipeline.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STEP 2 — DATASET DOWNLOAD: Access mcPHASES (physionet.org/content/mcphases/1.0.0/) — open-access gold standard for wearable + hormonal data.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STEP 3 — FINE-TUNING DATA: Create 500–1000 Q&amp;A pairs from Section 9 of Base Doc + expand from all 26 domains.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STEP 4 — EVALUATION: Test model against red flag detection protocol (Section 8.3 of Base Doc) as primary safety metric.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STEP 5 — LOCALIZATION: Translate and adapt for Hindi, Tamil, Telugu minimum. Add Indian dietary and Ayurvedic context layer.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STEP 6 — PRIVACY AUDIT: Implement on-device processing, data minimization, and DPDP Act 2023 compliance before India launch.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STEP 7 — ONGOING: The menstrual health AI field is moving fast (2025 saw 10+ major papers). Quarterly knowledge base refresh recommended.</w:t>
            </w:r>
          </w:p>
        </w:tc>
      </w:tr>
    </w:tbl>
    <w:p>
      <w:pPr>
        <w:spacing w:after="120"/>
      </w:pPr>
    </w:p>
    <w:p>
      <w:pPr>
        <w:pBdr>
          <w:bottom w:val="single" w:color="E0B4C4" w:sz="3"/>
        </w:pBdr>
        <w:spacing w:before="80" w:after="80"/>
      </w:pPr>
    </w:p>
    <w:p>
      <w:pPr>
        <w:spacing w:before="240" w:after="120"/>
        <w:jc w:val="center"/>
      </w:pPr>
      <w:r>
        <w:rPr>
          <w:rFonts w:ascii="Arial" w:cs="Arial" w:eastAsia="Arial" w:hAnsi="Arial"/>
          <w:b/>
          <w:bCs/>
          <w:color w:val="B5174E"/>
          <w:sz w:val="22"/>
          <w:szCs w:val="22"/>
        </w:rPr>
        <w:t xml:space="preserve">END OF ADD-ON EXTENSION v1.0  |  Combine with Base Document v2.0 for Complete 26-Domain LLM Training Dataset</w:t>
      </w:r>
    </w:p>
    <w:p>
      <w:pPr>
        <w:spacing w:after="120"/>
      </w:pP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Women-Centric AI Knowledge Base  |  ADD-ON Extension v1.0  |  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B5174E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320" w:after="14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0D7B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2026-03-14T05:25:05.313Z</dcterms:created>
  <dcterms:modified xsi:type="dcterms:W3CDTF">2026-03-14T05:25:05.314Z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