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p>
    <w:p>
      <w:pPr>
        <w:spacing w:after="60"/>
        <w:jc w:val="center"/>
      </w:pPr>
      <w:r>
        <w:rPr>
          <w:rFonts w:ascii="Arial" w:cs="Arial" w:eastAsia="Arial" w:hAnsi="Arial"/>
          <w:b/>
          <w:bCs/>
          <w:color w:val="B5174E"/>
          <w:sz w:val="72"/>
          <w:szCs w:val="72"/>
        </w:rPr>
        <w:t xml:space="preserve">WOMEN-CENTRIC AI</w:t>
      </w:r>
    </w:p>
    <w:p>
      <w:pPr>
        <w:spacing w:after="60"/>
        <w:jc w:val="center"/>
      </w:pPr>
      <w:r>
        <w:rPr>
          <w:rFonts w:ascii="Arial" w:cs="Arial" w:eastAsia="Arial" w:hAnsi="Arial"/>
          <w:b/>
          <w:bCs/>
          <w:color w:val="7A0E34"/>
          <w:sz w:val="72"/>
          <w:szCs w:val="72"/>
        </w:rPr>
        <w:t xml:space="preserve">KNOWLEDGE BASE</w:t>
      </w:r>
    </w:p>
    <w:p>
      <w:pPr>
        <w:spacing w:after="80"/>
        <w:jc w:val="center"/>
      </w:pPr>
      <w:r>
        <w:rPr>
          <w:rFonts w:ascii="Arial" w:cs="Arial" w:eastAsia="Arial" w:hAnsi="Arial"/>
          <w:b/>
          <w:bCs/>
          <w:color w:val="0D7B8A"/>
          <w:sz w:val="32"/>
          <w:szCs w:val="32"/>
        </w:rPr>
        <w:t xml:space="preserve">FINAL EXTENSION  |  v2.0</w:t>
      </w:r>
    </w:p>
    <w:p>
      <w:pPr>
        <w:spacing w:after="120"/>
        <w:jc w:val="center"/>
      </w:pPr>
      <w:r>
        <w:rPr>
          <w:rFonts w:ascii="Arial" w:cs="Arial" w:eastAsia="Arial" w:hAnsi="Arial"/>
          <w:i/>
          <w:iCs/>
          <w:color w:val="5A6070"/>
          <w:sz w:val="24"/>
          <w:szCs w:val="24"/>
        </w:rPr>
        <w:t xml:space="preserve">8 Final Domains Completing the 32-Domain Master LLM Training Dataset</w:t>
      </w:r>
    </w:p>
    <w:p>
      <w:pPr>
        <w:pBdr>
          <w:bottom w:val="single" w:color="B5174E" w:sz="8"/>
        </w:pBdr>
        <w:jc w:val="center"/>
      </w:pP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1170"/>
        <w:gridCol w:w="1170"/>
        <w:gridCol w:w="1170"/>
        <w:gridCol w:w="1170"/>
        <w:gridCol w:w="1170"/>
        <w:gridCol w:w="1170"/>
        <w:gridCol w:w="1170"/>
      </w:tblGrid>
      <w:tr>
        <w:tc>
          <w:tcPr>
            <w:tcW w:type="dxa" w:w="1170"/>
            <w:tcBorders>
              <w:top w:val="single" w:color="B5174E" w:sz="1"/>
              <w:left w:val="single" w:color="B5174E" w:sz="1"/>
              <w:bottom w:val="single" w:color="B5174E" w:sz="1"/>
              <w:right w:val="single" w:color="B5174E" w:sz="1"/>
            </w:tcBorders>
            <w:shd w:fill="FDF0F5" w:val="clear"/>
            <w:tcMar>
              <w:top w:type="dxa" w:w="100"/>
              <w:left w:type="dxa" w:w="60"/>
              <w:bottom w:type="dxa" w:w="100"/>
              <w:right w:type="dxa" w:w="60"/>
            </w:tcMar>
          </w:tcPr>
          <w:p>
            <w:pPr>
              <w:jc w:val="center"/>
            </w:pPr>
            <w:r>
              <w:rPr>
                <w:rFonts w:ascii="Arial" w:cs="Arial" w:eastAsia="Arial" w:hAnsi="Arial"/>
                <w:b/>
                <w:bCs/>
                <w:color w:val="B5174E"/>
                <w:sz w:val="18"/>
                <w:szCs w:val="18"/>
              </w:rPr>
              <w:t xml:space="preserve">🌱 Preconception
Health</w:t>
            </w:r>
          </w:p>
        </w:tc>
        <w:tc>
          <w:tcPr>
            <w:tcW w:type="dxa" w:w="1170"/>
            <w:tcBorders>
              <w:top w:val="single" w:color="B5174E" w:sz="1"/>
              <w:left w:val="single" w:color="B5174E" w:sz="1"/>
              <w:bottom w:val="single" w:color="B5174E" w:sz="1"/>
              <w:right w:val="single" w:color="B5174E" w:sz="1"/>
            </w:tcBorders>
            <w:shd w:fill="FDF0F5" w:val="clear"/>
            <w:tcMar>
              <w:top w:type="dxa" w:w="100"/>
              <w:left w:type="dxa" w:w="60"/>
              <w:bottom w:type="dxa" w:w="100"/>
              <w:right w:type="dxa" w:w="60"/>
            </w:tcMar>
          </w:tcPr>
          <w:p>
            <w:pPr>
              <w:jc w:val="center"/>
            </w:pPr>
            <w:r>
              <w:rPr>
                <w:rFonts w:ascii="Arial" w:cs="Arial" w:eastAsia="Arial" w:hAnsi="Arial"/>
                <w:b/>
                <w:bCs/>
                <w:color w:val="B5174E"/>
                <w:sz w:val="18"/>
                <w:szCs w:val="18"/>
              </w:rPr>
              <w:t xml:space="preserve">☠️ EDCs &amp;
Environment</w:t>
            </w:r>
          </w:p>
        </w:tc>
        <w:tc>
          <w:tcPr>
            <w:tcW w:type="dxa" w:w="1170"/>
            <w:tcBorders>
              <w:top w:val="single" w:color="B5174E" w:sz="1"/>
              <w:left w:val="single" w:color="B5174E" w:sz="1"/>
              <w:bottom w:val="single" w:color="B5174E" w:sz="1"/>
              <w:right w:val="single" w:color="B5174E" w:sz="1"/>
            </w:tcBorders>
            <w:shd w:fill="FDF0F5" w:val="clear"/>
            <w:tcMar>
              <w:top w:type="dxa" w:w="100"/>
              <w:left w:type="dxa" w:w="60"/>
              <w:bottom w:type="dxa" w:w="100"/>
              <w:right w:type="dxa" w:w="60"/>
            </w:tcMar>
          </w:tcPr>
          <w:p>
            <w:pPr>
              <w:jc w:val="center"/>
            </w:pPr>
            <w:r>
              <w:rPr>
                <w:rFonts w:ascii="Arial" w:cs="Arial" w:eastAsia="Arial" w:hAnsi="Arial"/>
                <w:b/>
                <w:bCs/>
                <w:color w:val="B5174E"/>
                <w:sz w:val="18"/>
                <w:szCs w:val="18"/>
              </w:rPr>
              <w:t xml:space="preserve">🏳️‍⚧️ LGBTQ+
&amp; Trans Health</w:t>
            </w:r>
          </w:p>
        </w:tc>
        <w:tc>
          <w:tcPr>
            <w:tcW w:type="dxa" w:w="1170"/>
            <w:tcBorders>
              <w:top w:val="single" w:color="B5174E" w:sz="1"/>
              <w:left w:val="single" w:color="B5174E" w:sz="1"/>
              <w:bottom w:val="single" w:color="B5174E" w:sz="1"/>
              <w:right w:val="single" w:color="B5174E" w:sz="1"/>
            </w:tcBorders>
            <w:shd w:fill="FDF0F5" w:val="clear"/>
            <w:tcMar>
              <w:top w:type="dxa" w:w="100"/>
              <w:left w:type="dxa" w:w="60"/>
              <w:bottom w:type="dxa" w:w="100"/>
              <w:right w:type="dxa" w:w="60"/>
            </w:tcMar>
          </w:tcPr>
          <w:p>
            <w:pPr>
              <w:jc w:val="center"/>
            </w:pPr>
            <w:r>
              <w:rPr>
                <w:rFonts w:ascii="Arial" w:cs="Arial" w:eastAsia="Arial" w:hAnsi="Arial"/>
                <w:b/>
                <w:bCs/>
                <w:color w:val="B5174E"/>
                <w:sz w:val="18"/>
                <w:szCs w:val="18"/>
              </w:rPr>
              <w:t xml:space="preserve">📦 Menstrual
Products</w:t>
            </w:r>
          </w:p>
        </w:tc>
        <w:tc>
          <w:tcPr>
            <w:tcW w:type="dxa" w:w="1170"/>
            <w:tcBorders>
              <w:top w:val="single" w:color="B5174E" w:sz="1"/>
              <w:left w:val="single" w:color="B5174E" w:sz="1"/>
              <w:bottom w:val="single" w:color="B5174E" w:sz="1"/>
              <w:right w:val="single" w:color="B5174E" w:sz="1"/>
            </w:tcBorders>
            <w:shd w:fill="FDF0F5" w:val="clear"/>
            <w:tcMar>
              <w:top w:type="dxa" w:w="100"/>
              <w:left w:type="dxa" w:w="60"/>
              <w:bottom w:type="dxa" w:w="100"/>
              <w:right w:type="dxa" w:w="60"/>
            </w:tcMar>
          </w:tcPr>
          <w:p>
            <w:pPr>
              <w:jc w:val="center"/>
            </w:pPr>
            <w:r>
              <w:rPr>
                <w:rFonts w:ascii="Arial" w:cs="Arial" w:eastAsia="Arial" w:hAnsi="Arial"/>
                <w:b/>
                <w:bCs/>
                <w:color w:val="B5174E"/>
                <w:sz w:val="18"/>
                <w:szCs w:val="18"/>
              </w:rPr>
              <w:t xml:space="preserve">🧒 Adolescent
&amp; Puberty</w:t>
            </w:r>
          </w:p>
        </w:tc>
        <w:tc>
          <w:tcPr>
            <w:tcW w:type="dxa" w:w="1170"/>
            <w:tcBorders>
              <w:top w:val="single" w:color="B5174E" w:sz="1"/>
              <w:left w:val="single" w:color="B5174E" w:sz="1"/>
              <w:bottom w:val="single" w:color="B5174E" w:sz="1"/>
              <w:right w:val="single" w:color="B5174E" w:sz="1"/>
            </w:tcBorders>
            <w:shd w:fill="FDF0F5" w:val="clear"/>
            <w:tcMar>
              <w:top w:type="dxa" w:w="100"/>
              <w:left w:type="dxa" w:w="60"/>
              <w:bottom w:type="dxa" w:w="100"/>
              <w:right w:type="dxa" w:w="60"/>
            </w:tcMar>
          </w:tcPr>
          <w:p>
            <w:pPr>
              <w:jc w:val="center"/>
            </w:pPr>
            <w:r>
              <w:rPr>
                <w:rFonts w:ascii="Arial" w:cs="Arial" w:eastAsia="Arial" w:hAnsi="Arial"/>
                <w:b/>
                <w:bCs/>
                <w:color w:val="B5174E"/>
                <w:sz w:val="18"/>
                <w:szCs w:val="18"/>
              </w:rPr>
              <w:t xml:space="preserve">♿ Disability &amp;
Menstruation</w:t>
            </w:r>
          </w:p>
        </w:tc>
        <w:tc>
          <w:tcPr>
            <w:tcW w:type="dxa" w:w="1170"/>
            <w:tcBorders>
              <w:top w:val="single" w:color="B5174E" w:sz="1"/>
              <w:left w:val="single" w:color="B5174E" w:sz="1"/>
              <w:bottom w:val="single" w:color="B5174E" w:sz="1"/>
              <w:right w:val="single" w:color="B5174E" w:sz="1"/>
            </w:tcBorders>
            <w:shd w:fill="FDF0F5" w:val="clear"/>
            <w:tcMar>
              <w:top w:type="dxa" w:w="100"/>
              <w:left w:type="dxa" w:w="60"/>
              <w:bottom w:type="dxa" w:w="100"/>
              <w:right w:type="dxa" w:w="60"/>
            </w:tcMar>
          </w:tcPr>
          <w:p>
            <w:pPr>
              <w:jc w:val="center"/>
            </w:pPr>
            <w:r>
              <w:rPr>
                <w:rFonts w:ascii="Arial" w:cs="Arial" w:eastAsia="Arial" w:hAnsi="Arial"/>
                <w:b/>
                <w:bCs/>
                <w:color w:val="B5174E"/>
                <w:sz w:val="18"/>
                <w:szCs w:val="18"/>
              </w:rPr>
              <w:t xml:space="preserve">🔬 Cancer
Screening</w:t>
            </w:r>
          </w:p>
        </w:tc>
        <w:tc>
          <w:tcPr>
            <w:tcW w:type="dxa" w:w="1170"/>
            <w:tcBorders>
              <w:top w:val="single" w:color="B5174E" w:sz="1"/>
              <w:left w:val="single" w:color="B5174E" w:sz="1"/>
              <w:bottom w:val="single" w:color="B5174E" w:sz="1"/>
              <w:right w:val="single" w:color="B5174E" w:sz="1"/>
            </w:tcBorders>
            <w:shd w:fill="FDF0F5" w:val="clear"/>
            <w:tcMar>
              <w:top w:type="dxa" w:w="100"/>
              <w:left w:type="dxa" w:w="60"/>
              <w:bottom w:type="dxa" w:w="100"/>
              <w:right w:type="dxa" w:w="60"/>
            </w:tcMar>
          </w:tcPr>
          <w:p>
            <w:pPr>
              <w:jc w:val="center"/>
            </w:pPr>
            <w:r>
              <w:rPr>
                <w:rFonts w:ascii="Arial" w:cs="Arial" w:eastAsia="Arial" w:hAnsi="Arial"/>
                <w:b/>
                <w:bCs/>
                <w:color w:val="B5174E"/>
                <w:sz w:val="18"/>
                <w:szCs w:val="18"/>
              </w:rPr>
              <w:t xml:space="preserve">🏢 Policy &amp;
Workplace</w:t>
            </w:r>
          </w:p>
        </w:tc>
      </w:tr>
    </w:tbl>
    <w:p>
      <w:pPr>
        <w:spacing w:after="120"/>
      </w:pPr>
    </w:p>
    <w:p>
      <w:pPr>
        <w:spacing w:after="40"/>
        <w:jc w:val="center"/>
      </w:pPr>
      <w:r>
        <w:rPr>
          <w:rFonts w:ascii="Arial" w:cs="Arial" w:eastAsia="Arial" w:hAnsi="Arial"/>
          <w:color w:val="5A6070"/>
          <w:sz w:val="18"/>
          <w:szCs w:val="18"/>
        </w:rPr>
        <w:t xml:space="preserve">Sources: FIGO 2024 • PMC • Frontiers • WPATH SOC-8 • NCBI • WHO • ACOG • PubMed 2024–2025</w:t>
      </w:r>
    </w:p>
    <w:p>
      <w:pPr>
        <w:spacing w:after="40"/>
        <w:jc w:val="center"/>
      </w:pPr>
      <w:r>
        <w:rPr>
          <w:rFonts w:ascii="Arial" w:cs="Arial" w:eastAsia="Arial" w:hAnsi="Arial"/>
          <w:color w:val="5A6070"/>
          <w:sz w:val="18"/>
          <w:szCs w:val="18"/>
        </w:rPr>
        <w:t xml:space="preserve">Compiled: March 2026  |  Supplement to Base v2.0 + Add-On v1.0</w:t>
      </w:r>
    </w:p>
    <w:p>
      <w:pPr>
        <w:jc w:val="center"/>
      </w:pPr>
      <w:r>
        <w:rPr>
          <w:rFonts w:ascii="Arial" w:cs="Arial" w:eastAsia="Arial" w:hAnsi="Arial"/>
          <w:b/>
          <w:bCs/>
          <w:color w:val="B91C1C"/>
          <w:sz w:val="18"/>
          <w:szCs w:val="18"/>
        </w:rPr>
        <w:t xml:space="preserve">⚠  Educational &amp; AI training use only. Not a substitute for medical advice.</w:t>
      </w:r>
    </w:p>
    <w:p>
      <w:pPr>
        <w:spacing w:after="360"/>
      </w:pPr>
    </w:p>
    <w:p>
      <w:pPr>
        <w:pBdr>
          <w:bottom w:val="single" w:color="E0B4C4" w:sz="3"/>
        </w:pBdr>
        <w:spacing w:before="80" w:after="80"/>
      </w:pPr>
    </w:p>
    <w:p>
      <w:pPr>
        <w:spacing w:after="160"/>
        <w:jc w:val="center"/>
      </w:pPr>
      <w:r>
        <w:rPr>
          <w:rFonts w:ascii="Arial" w:cs="Arial" w:eastAsia="Arial" w:hAnsi="Arial"/>
          <w:b/>
          <w:bCs/>
          <w:color w:val="B5174E"/>
          <w:sz w:val="34"/>
          <w:szCs w:val="34"/>
        </w:rPr>
        <w:t xml:space="preserve">FINAL GAP ANALYSIS — WHAT BOTH PREVIOUS DOCS MISSED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5174E" w:sz="1"/>
              <w:left w:val="single" w:color="B5174E" w:sz="1"/>
              <w:bottom w:val="single" w:color="B5174E" w:sz="1"/>
              <w:right w:val="single" w:color="B5174E" w:sz="1"/>
            </w:tcBorders>
            <w:shd w:fill="FCE8EF" w:val="clear"/>
            <w:tcMar>
              <w:top w:type="dxa" w:w="160"/>
              <w:left w:type="dxa" w:w="200"/>
              <w:bottom w:type="dxa" w:w="160"/>
              <w:right w:type="dxa" w:w="200"/>
            </w:tcMar>
          </w:tcPr>
          <w:p>
            <w:pPr>
              <w:spacing w:after="80"/>
            </w:pPr>
            <w:r>
              <w:rPr>
                <w:rFonts w:ascii="Arial" w:cs="Arial" w:eastAsia="Arial" w:hAnsi="Arial"/>
                <w:b/>
                <w:bCs/>
                <w:color w:val="B5174E"/>
                <w:sz w:val="22"/>
                <w:szCs w:val="22"/>
              </w:rPr>
              <w:t xml:space="preserve">🔍  8 REMAINING CRITICAL KNOWLEDGE GAPS IDENTIFIED</w:t>
            </w:r>
          </w:p>
          <w:p>
            <w:pPr>
              <w:spacing w:after="60"/>
            </w:pPr>
            <w:r>
              <w:rPr>
                <w:rFonts w:ascii="Arial" w:cs="Arial" w:eastAsia="Arial" w:hAnsi="Arial"/>
                <w:color w:val="333333"/>
                <w:sz w:val="20"/>
                <w:szCs w:val="20"/>
              </w:rPr>
              <w:t xml:space="preserve">GAP 1 — PRECONCEPTION HEALTH: Complete 90-day pre-pregnancy protocol, vaccination schedule, genetic screening, medication audit,</w:t>
            </w:r>
          </w:p>
          <w:p>
            <w:pPr>
              <w:spacing w:after="60"/>
            </w:pPr>
            <w:r>
              <w:rPr>
                <w:rFonts w:ascii="Arial" w:cs="Arial" w:eastAsia="Arial" w:hAnsi="Arial"/>
                <w:color w:val="333333"/>
                <w:sz w:val="20"/>
                <w:szCs w:val="20"/>
              </w:rPr>
              <w:t xml:space="preserve">   environmental detox, FIGO 2024 preconception guidelines — entirely absent from both previous documents.</w:t>
            </w:r>
          </w:p>
          <w:p>
            <w:pPr>
              <w:spacing w:after="60"/>
            </w:pPr>
            <w:r>
              <w:rPr>
                <w:rFonts w:ascii="Arial" w:cs="Arial" w:eastAsia="Arial" w:hAnsi="Arial"/>
                <w:color w:val="333333"/>
                <w:sz w:val="20"/>
                <w:szCs w:val="20"/>
              </w:rPr>
              <w:t xml:space="preserve"/>
            </w:r>
          </w:p>
          <w:p>
            <w:pPr>
              <w:spacing w:after="60"/>
            </w:pPr>
            <w:r>
              <w:rPr>
                <w:rFonts w:ascii="Arial" w:cs="Arial" w:eastAsia="Arial" w:hAnsi="Arial"/>
                <w:color w:val="333333"/>
                <w:sz w:val="20"/>
                <w:szCs w:val="20"/>
              </w:rPr>
              <w:t xml:space="preserve">GAP 2 — ENDOCRINE DISRUPTORS (EDCs) &amp; ENVIRONMENT: BPA, phthalates, PFAS, PCBs, dioxins, microplastics, heavy metals —</w:t>
            </w:r>
          </w:p>
          <w:p>
            <w:pPr>
              <w:spacing w:after="60"/>
            </w:pPr>
            <w:r>
              <w:rPr>
                <w:rFonts w:ascii="Arial" w:cs="Arial" w:eastAsia="Arial" w:hAnsi="Arial"/>
                <w:color w:val="333333"/>
                <w:sz w:val="20"/>
                <w:szCs w:val="20"/>
              </w:rPr>
              <w:t xml:space="preserve">   each chemical's specific mechanism, sources, impact on cycle/fertility, and practical reduction guide.</w:t>
            </w:r>
          </w:p>
          <w:p>
            <w:pPr>
              <w:spacing w:after="60"/>
            </w:pPr>
            <w:r>
              <w:rPr>
                <w:rFonts w:ascii="Arial" w:cs="Arial" w:eastAsia="Arial" w:hAnsi="Arial"/>
                <w:color w:val="333333"/>
                <w:sz w:val="20"/>
                <w:szCs w:val="20"/>
              </w:rPr>
              <w:t xml:space="preserve"/>
            </w:r>
          </w:p>
          <w:p>
            <w:pPr>
              <w:spacing w:after="60"/>
            </w:pPr>
            <w:r>
              <w:rPr>
                <w:rFonts w:ascii="Arial" w:cs="Arial" w:eastAsia="Arial" w:hAnsi="Arial"/>
                <w:color w:val="333333"/>
                <w:sz w:val="20"/>
                <w:szCs w:val="20"/>
              </w:rPr>
              <w:t xml:space="preserve">GAP 3 — LGBTQ+ &amp; TRANSGENDER HEALTH: Transgender men and non-binary AFAB individuals who menstruate,</w:t>
            </w:r>
          </w:p>
          <w:p>
            <w:pPr>
              <w:spacing w:after="60"/>
            </w:pPr>
            <w:r>
              <w:rPr>
                <w:rFonts w:ascii="Arial" w:cs="Arial" w:eastAsia="Arial" w:hAnsi="Arial"/>
                <w:color w:val="333333"/>
                <w:sz w:val="20"/>
                <w:szCs w:val="20"/>
              </w:rPr>
              <w:t xml:space="preserve">   testosterone GAHT effects on the cycle (55% amenorrhea by 6 months), WPATH SOC-8, gender dysphoria from menses,</w:t>
            </w:r>
          </w:p>
          <w:p>
            <w:pPr>
              <w:spacing w:after="60"/>
            </w:pPr>
            <w:r>
              <w:rPr>
                <w:rFonts w:ascii="Arial" w:cs="Arial" w:eastAsia="Arial" w:hAnsi="Arial"/>
                <w:color w:val="333333"/>
                <w:sz w:val="20"/>
                <w:szCs w:val="20"/>
              </w:rPr>
              <w:t xml:space="preserve">   fertility preservation, breakthrough bleeding management — completely absent.</w:t>
            </w:r>
          </w:p>
          <w:p>
            <w:pPr>
              <w:spacing w:after="60"/>
            </w:pPr>
            <w:r>
              <w:rPr>
                <w:rFonts w:ascii="Arial" w:cs="Arial" w:eastAsia="Arial" w:hAnsi="Arial"/>
                <w:color w:val="333333"/>
                <w:sz w:val="20"/>
                <w:szCs w:val="20"/>
              </w:rPr>
              <w:t xml:space="preserve"/>
            </w:r>
          </w:p>
          <w:p>
            <w:pPr>
              <w:spacing w:after="60"/>
            </w:pPr>
            <w:r>
              <w:rPr>
                <w:rFonts w:ascii="Arial" w:cs="Arial" w:eastAsia="Arial" w:hAnsi="Arial"/>
                <w:color w:val="333333"/>
                <w:sz w:val="20"/>
                <w:szCs w:val="20"/>
              </w:rPr>
              <w:t xml:space="preserve">GAP 4 — MENSTRUAL PRODUCT DEEP DIVE: Full comparison of pads, tampons, menstrual cups, discs, period underwear —</w:t>
            </w:r>
          </w:p>
          <w:p>
            <w:pPr>
              <w:spacing w:after="60"/>
            </w:pPr>
            <w:r>
              <w:rPr>
                <w:rFonts w:ascii="Arial" w:cs="Arial" w:eastAsia="Arial" w:hAnsi="Arial"/>
                <w:color w:val="333333"/>
                <w:sz w:val="20"/>
                <w:szCs w:val="20"/>
              </w:rPr>
              <w:t xml:space="preserve">   materials, safety, capacity, pH effect, TSS risk, cost, environmental impact, correct use instructions.</w:t>
            </w:r>
          </w:p>
          <w:p>
            <w:pPr>
              <w:spacing w:after="60"/>
            </w:pPr>
            <w:r>
              <w:rPr>
                <w:rFonts w:ascii="Arial" w:cs="Arial" w:eastAsia="Arial" w:hAnsi="Arial"/>
                <w:color w:val="333333"/>
                <w:sz w:val="20"/>
                <w:szCs w:val="20"/>
              </w:rPr>
              <w:t xml:space="preserve"/>
            </w:r>
          </w:p>
          <w:p>
            <w:pPr>
              <w:spacing w:after="60"/>
            </w:pPr>
            <w:r>
              <w:rPr>
                <w:rFonts w:ascii="Arial" w:cs="Arial" w:eastAsia="Arial" w:hAnsi="Arial"/>
                <w:color w:val="333333"/>
                <w:sz w:val="20"/>
                <w:szCs w:val="20"/>
              </w:rPr>
              <w:t xml:space="preserve">GAP 5 — ADOLESCENT HEALTH &amp; PUBERTY EDUCATION: Tanner stages, precocious vs delayed puberty, first period preparation,</w:t>
            </w:r>
          </w:p>
          <w:p>
            <w:pPr>
              <w:spacing w:after="60"/>
            </w:pPr>
            <w:r>
              <w:rPr>
                <w:rFonts w:ascii="Arial" w:cs="Arial" w:eastAsia="Arial" w:hAnsi="Arial"/>
                <w:color w:val="333333"/>
                <w:sz w:val="20"/>
                <w:szCs w:val="20"/>
              </w:rPr>
              <w:t xml:space="preserve">   period education programs, school absenteeism interventions — the foundation of menstrual literacy.</w:t>
            </w:r>
          </w:p>
          <w:p>
            <w:pPr>
              <w:spacing w:after="60"/>
            </w:pPr>
            <w:r>
              <w:rPr>
                <w:rFonts w:ascii="Arial" w:cs="Arial" w:eastAsia="Arial" w:hAnsi="Arial"/>
                <w:color w:val="333333"/>
                <w:sz w:val="20"/>
                <w:szCs w:val="20"/>
              </w:rPr>
              <w:t xml:space="preserve"/>
            </w:r>
          </w:p>
          <w:p>
            <w:pPr>
              <w:spacing w:after="60"/>
            </w:pPr>
            <w:r>
              <w:rPr>
                <w:rFonts w:ascii="Arial" w:cs="Arial" w:eastAsia="Arial" w:hAnsi="Arial"/>
                <w:color w:val="333333"/>
                <w:sz w:val="20"/>
                <w:szCs w:val="20"/>
              </w:rPr>
              <w:t xml:space="preserve">GAP 6 — DISABILITY &amp; MENSTRUATION: Intellectual disability, spinal cord injury, autism spectrum, wheelchair users,</w:t>
            </w:r>
          </w:p>
          <w:p>
            <w:pPr>
              <w:spacing w:after="60"/>
            </w:pPr>
            <w:r>
              <w:rPr>
                <w:rFonts w:ascii="Arial" w:cs="Arial" w:eastAsia="Arial" w:hAnsi="Arial"/>
                <w:color w:val="333333"/>
                <w:sz w:val="20"/>
                <w:szCs w:val="20"/>
              </w:rPr>
              <w:t xml:space="preserve">   institutionalized women — often the most underserved and invisible group in women's health.</w:t>
            </w:r>
          </w:p>
          <w:p>
            <w:pPr>
              <w:spacing w:after="60"/>
            </w:pPr>
            <w:r>
              <w:rPr>
                <w:rFonts w:ascii="Arial" w:cs="Arial" w:eastAsia="Arial" w:hAnsi="Arial"/>
                <w:color w:val="333333"/>
                <w:sz w:val="20"/>
                <w:szCs w:val="20"/>
              </w:rPr>
              <w:t xml:space="preserve"/>
            </w:r>
          </w:p>
          <w:p>
            <w:pPr>
              <w:spacing w:after="60"/>
            </w:pPr>
            <w:r>
              <w:rPr>
                <w:rFonts w:ascii="Arial" w:cs="Arial" w:eastAsia="Arial" w:hAnsi="Arial"/>
                <w:color w:val="333333"/>
                <w:sz w:val="20"/>
                <w:szCs w:val="20"/>
              </w:rPr>
              <w:t xml:space="preserve">GAP 7 — CANCER SCREENING PROTOCOLS: Age-by-age cervical, breast, ovarian, endometrial cancer screening;</w:t>
            </w:r>
          </w:p>
          <w:p>
            <w:pPr>
              <w:spacing w:after="60"/>
            </w:pPr>
            <w:r>
              <w:rPr>
                <w:rFonts w:ascii="Arial" w:cs="Arial" w:eastAsia="Arial" w:hAnsi="Arial"/>
                <w:color w:val="333333"/>
                <w:sz w:val="20"/>
                <w:szCs w:val="20"/>
              </w:rPr>
              <w:t xml:space="preserve">   HPV vaccination schedule, Pap smear/colposcopy protocols, abnormal findings management.</w:t>
            </w:r>
          </w:p>
          <w:p>
            <w:pPr>
              <w:spacing w:after="60"/>
            </w:pPr>
            <w:r>
              <w:rPr>
                <w:rFonts w:ascii="Arial" w:cs="Arial" w:eastAsia="Arial" w:hAnsi="Arial"/>
                <w:color w:val="333333"/>
                <w:sz w:val="20"/>
                <w:szCs w:val="20"/>
              </w:rPr>
              <w:t xml:space="preserve"/>
            </w:r>
          </w:p>
          <w:p>
            <w:pPr>
              <w:spacing w:after="60"/>
            </w:pPr>
            <w:r>
              <w:rPr>
                <w:rFonts w:ascii="Arial" w:cs="Arial" w:eastAsia="Arial" w:hAnsi="Arial"/>
                <w:color w:val="333333"/>
                <w:sz w:val="20"/>
                <w:szCs w:val="20"/>
              </w:rPr>
              <w:t xml:space="preserve">GAP 8 — WORKPLACE, POLICY &amp; PARTNER EDUCATION: Menstrual leave laws globally, workplace accommodations,</w:t>
            </w:r>
          </w:p>
          <w:p>
            <w:pPr>
              <w:spacing w:after="60"/>
            </w:pPr>
            <w:r>
              <w:rPr>
                <w:rFonts w:ascii="Arial" w:cs="Arial" w:eastAsia="Arial" w:hAnsi="Arial"/>
                <w:color w:val="333333"/>
                <w:sz w:val="20"/>
                <w:szCs w:val="20"/>
              </w:rPr>
              <w:t xml:space="preserve">   period poverty policy, partner/family support education, men's literacy about menstruation.</w:t>
            </w:r>
          </w:p>
        </w:tc>
      </w:tr>
    </w:tbl>
    <w:p>
      <w:pPr>
        <w:spacing w:after="240"/>
      </w:pPr>
    </w:p>
    <w:p>
      <w:pPr>
        <w:pBdr>
          <w:bottom w:val="single" w:color="E0B4C4" w:sz="3"/>
        </w:pBdr>
        <w:spacing w:before="80" w:after="80"/>
      </w:pPr>
    </w:p>
    <w:p>
      <w:pPr>
        <w:pStyle w:val="Heading1"/>
        <w:spacing w:before="480" w:after="200"/>
      </w:pPr>
      <w:r>
        <w:rPr>
          <w:rFonts w:ascii="Arial" w:cs="Arial" w:eastAsia="Arial" w:hAnsi="Arial"/>
          <w:b/>
          <w:bCs/>
          <w:color w:val="B5174E"/>
          <w:sz w:val="38"/>
          <w:szCs w:val="38"/>
        </w:rPr>
        <w:t xml:space="preserve">DOMAIN 27: PRECONCEPTION HEALTH — THE 90-DAY PROTOCOL</w:t>
      </w:r>
    </w:p>
    <w:p>
      <w:pPr>
        <w:pBdr>
          <w:bottom w:val="single" w:color="E0B4C4" w:sz="3"/>
        </w:pBdr>
        <w:spacing w:before="80" w:after="80"/>
      </w:pPr>
    </w:p>
    <w:p>
      <w:pPr>
        <w:spacing w:after="120"/>
      </w:pPr>
      <w:r>
        <w:rPr>
          <w:rFonts w:ascii="Arial" w:cs="Arial" w:eastAsia="Arial" w:hAnsi="Arial"/>
          <w:color w:val="2D2D2D"/>
          <w:sz w:val="22"/>
          <w:szCs w:val="22"/>
        </w:rPr>
        <w:t xml:space="preserve">Preconception health is the single most impactful intervention point for pregnancy outcomes, yet it is entirely absent from standard menstrual health AI. ACOG, FIGO (2024), and WHO all recommend that preconception counseling start at least 3 months — ideally 6–12 months — before conception.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5174E" w:sz="1"/>
              <w:left w:val="single" w:color="B5174E" w:sz="1"/>
              <w:bottom w:val="single" w:color="B5174E" w:sz="1"/>
              <w:right w:val="single" w:color="B5174E" w:sz="1"/>
            </w:tcBorders>
            <w:shd w:fill="FDF0F5" w:val="clear"/>
            <w:tcMar>
              <w:top w:type="dxa" w:w="160"/>
              <w:left w:type="dxa" w:w="220"/>
              <w:bottom w:type="dxa" w:w="160"/>
              <w:right w:type="dxa" w:w="220"/>
            </w:tcMar>
          </w:tcPr>
          <w:p>
            <w:pPr>
              <w:spacing w:after="100"/>
            </w:pPr>
            <w:r>
              <w:rPr>
                <w:rFonts w:ascii="Arial" w:cs="Arial" w:eastAsia="Arial" w:hAnsi="Arial"/>
                <w:b/>
                <w:bCs/>
                <w:color w:val="B5174E"/>
                <w:sz w:val="23"/>
                <w:szCs w:val="23"/>
              </w:rPr>
              <w:t xml:space="preserve">☑ CHECKLIST: DOMAIN 27 — PRECONCEPTION HEALTH</w:t>
            </w:r>
          </w:p>
          <w:p>
            <w:pPr>
              <w:spacing w:after="70"/>
            </w:pPr>
            <w:r>
              <w:rPr>
                <w:rFonts w:ascii="Arial" w:cs="Arial" w:eastAsia="Arial" w:hAnsi="Arial"/>
                <w:color w:val="1A1A2E"/>
                <w:sz w:val="20"/>
                <w:szCs w:val="20"/>
              </w:rPr>
              <w:t xml:space="preserve">  01.  FIGO 2024 preconception guidelines: chronic disease management, nutrition, lifestyle, vaccination, toxin avoidance</w:t>
            </w:r>
          </w:p>
          <w:p>
            <w:pPr>
              <w:spacing w:after="70"/>
            </w:pPr>
            <w:r>
              <w:rPr>
                <w:rFonts w:ascii="Arial" w:cs="Arial" w:eastAsia="Arial" w:hAnsi="Arial"/>
                <w:color w:val="1A1A2E"/>
                <w:sz w:val="20"/>
                <w:szCs w:val="20"/>
              </w:rPr>
              <w:t xml:space="preserve">  02.  90-day protocol: sperm and egg take 90 days to mature — any lifestyle change needs 90+ days lead time</w:t>
            </w:r>
          </w:p>
          <w:p>
            <w:pPr>
              <w:spacing w:after="70"/>
            </w:pPr>
            <w:r>
              <w:rPr>
                <w:rFonts w:ascii="Arial" w:cs="Arial" w:eastAsia="Arial" w:hAnsi="Arial"/>
                <w:color w:val="1A1A2E"/>
                <w:sz w:val="20"/>
                <w:szCs w:val="20"/>
              </w:rPr>
              <w:t xml:space="preserve">  03.  Folic acid: 400–800 mcg/day from 3 months pre-conception; reduces NTD (spina bifida) risk by 70%</w:t>
            </w:r>
          </w:p>
          <w:p>
            <w:pPr>
              <w:spacing w:after="70"/>
            </w:pPr>
            <w:r>
              <w:rPr>
                <w:rFonts w:ascii="Arial" w:cs="Arial" w:eastAsia="Arial" w:hAnsi="Arial"/>
                <w:color w:val="1A1A2E"/>
                <w:sz w:val="20"/>
                <w:szCs w:val="20"/>
              </w:rPr>
              <w:t xml:space="preserve">  04.  Prenatal vitamins: start pre-conception; key ingredients (folate, iron, iodine, DHA, B12, D3, choline)</w:t>
            </w:r>
          </w:p>
          <w:p>
            <w:pPr>
              <w:spacing w:after="70"/>
            </w:pPr>
            <w:r>
              <w:rPr>
                <w:rFonts w:ascii="Arial" w:cs="Arial" w:eastAsia="Arial" w:hAnsi="Arial"/>
                <w:color w:val="1A1A2E"/>
                <w:sz w:val="20"/>
                <w:szCs w:val="20"/>
              </w:rPr>
              <w:t xml:space="preserve">  05.  Medication audit: Category X drugs to stop (isotretinoin, methotrexate, valproic acid, warfarin, lithium)</w:t>
            </w:r>
          </w:p>
          <w:p>
            <w:pPr>
              <w:spacing w:after="70"/>
            </w:pPr>
            <w:r>
              <w:rPr>
                <w:rFonts w:ascii="Arial" w:cs="Arial" w:eastAsia="Arial" w:hAnsi="Arial"/>
                <w:color w:val="1A1A2E"/>
                <w:sz w:val="20"/>
                <w:szCs w:val="20"/>
              </w:rPr>
              <w:t xml:space="preserve">  06.  Vaccination protocol: Rubella/MMR (1+ months before conception), Varicella, Tdap, Flu, Hepatitis B, COVID</w:t>
            </w:r>
          </w:p>
          <w:p>
            <w:pPr>
              <w:spacing w:after="70"/>
            </w:pPr>
            <w:r>
              <w:rPr>
                <w:rFonts w:ascii="Arial" w:cs="Arial" w:eastAsia="Arial" w:hAnsi="Arial"/>
                <w:color w:val="1A1A2E"/>
                <w:sz w:val="20"/>
                <w:szCs w:val="20"/>
              </w:rPr>
              <w:t xml:space="preserve">  07.  Genetic carrier screening: offered to all — cystic fibrosis, spinal muscular atrophy, fragile X, sickle cell, thalassemia</w:t>
            </w:r>
          </w:p>
          <w:p>
            <w:pPr>
              <w:spacing w:after="70"/>
            </w:pPr>
            <w:r>
              <w:rPr>
                <w:rFonts w:ascii="Arial" w:cs="Arial" w:eastAsia="Arial" w:hAnsi="Arial"/>
                <w:color w:val="1A1A2E"/>
                <w:sz w:val="20"/>
                <w:szCs w:val="20"/>
              </w:rPr>
              <w:t xml:space="preserve">  08.  Chronic disease optimization: diabetes HbA1c &lt;6.5%, thyroid TSH 0.5–2.5 mIU/L, blood pressure &lt;130/80</w:t>
            </w:r>
          </w:p>
          <w:p>
            <w:pPr>
              <w:spacing w:after="70"/>
            </w:pPr>
            <w:r>
              <w:rPr>
                <w:rFonts w:ascii="Arial" w:cs="Arial" w:eastAsia="Arial" w:hAnsi="Arial"/>
                <w:color w:val="1A1A2E"/>
                <w:sz w:val="20"/>
                <w:szCs w:val="20"/>
              </w:rPr>
              <w:t xml:space="preserve">  09.  Mental health assessment: EPDS pre-screening, anxiety/depression treatment optimization before pregnancy</w:t>
            </w:r>
          </w:p>
          <w:p>
            <w:pPr>
              <w:spacing w:after="70"/>
            </w:pPr>
            <w:r>
              <w:rPr>
                <w:rFonts w:ascii="Arial" w:cs="Arial" w:eastAsia="Arial" w:hAnsi="Arial"/>
                <w:color w:val="1A1A2E"/>
                <w:sz w:val="20"/>
                <w:szCs w:val="20"/>
              </w:rPr>
              <w:t xml:space="preserve">  10.  BMI optimization: obese women lose 5–10% weight; underweight women restore cycle first</w:t>
            </w:r>
          </w:p>
          <w:p>
            <w:pPr>
              <w:spacing w:after="70"/>
            </w:pPr>
            <w:r>
              <w:rPr>
                <w:rFonts w:ascii="Arial" w:cs="Arial" w:eastAsia="Arial" w:hAnsi="Arial"/>
                <w:color w:val="1A1A2E"/>
                <w:sz w:val="20"/>
                <w:szCs w:val="20"/>
              </w:rPr>
              <w:t xml:space="preserve">  11.  Dental health: periodontal disease linked to preterm birth; complete dental work pre-conception</w:t>
            </w:r>
          </w:p>
          <w:p>
            <w:pPr>
              <w:spacing w:after="70"/>
            </w:pPr>
            <w:r>
              <w:rPr>
                <w:rFonts w:ascii="Arial" w:cs="Arial" w:eastAsia="Arial" w:hAnsi="Arial"/>
                <w:color w:val="1A1A2E"/>
                <w:sz w:val="20"/>
                <w:szCs w:val="20"/>
              </w:rPr>
              <w:t xml:space="preserve">  12.  Environmental toxin audit: home, personal care, food, workplace chemical exposure reduction</w:t>
            </w:r>
          </w:p>
          <w:p>
            <w:pPr>
              <w:spacing w:after="70"/>
            </w:pPr>
            <w:r>
              <w:rPr>
                <w:rFonts w:ascii="Arial" w:cs="Arial" w:eastAsia="Arial" w:hAnsi="Arial"/>
                <w:color w:val="1A1A2E"/>
                <w:sz w:val="20"/>
                <w:szCs w:val="20"/>
              </w:rPr>
              <w:t xml:space="preserve">  13.  Exercise protocol: establish 150 min/week moderate aerobic + 2–3 strength training sessions</w:t>
            </w:r>
          </w:p>
          <w:p>
            <w:pPr>
              <w:spacing w:after="70"/>
            </w:pPr>
            <w:r>
              <w:rPr>
                <w:rFonts w:ascii="Arial" w:cs="Arial" w:eastAsia="Arial" w:hAnsi="Arial"/>
                <w:color w:val="1A1A2E"/>
                <w:sz w:val="20"/>
                <w:szCs w:val="20"/>
              </w:rPr>
              <w:t xml:space="preserve">  14.  Male partner health: sperm takes 90 days to mature — male partner needs same lifestyle changes</w:t>
            </w:r>
          </w:p>
          <w:p>
            <w:pPr>
              <w:spacing w:after="70"/>
            </w:pPr>
            <w:r>
              <w:rPr>
                <w:rFonts w:ascii="Arial" w:cs="Arial" w:eastAsia="Arial" w:hAnsi="Arial"/>
                <w:color w:val="1A1A2E"/>
                <w:sz w:val="20"/>
                <w:szCs w:val="20"/>
              </w:rPr>
              <w:t xml:space="preserve">  15.  Financial and insurance planning: coverage verification, fertility benefit investigation, parental leave planning</w:t>
            </w:r>
          </w:p>
        </w:tc>
      </w:tr>
    </w:tbl>
    <w:p>
      <w:pPr>
        <w:spacing w:after="120"/>
      </w:pPr>
    </w:p>
    <w:p>
      <w:pPr>
        <w:pStyle w:val="Heading2"/>
        <w:spacing w:before="320" w:after="140"/>
      </w:pPr>
      <w:r>
        <w:rPr>
          <w:rFonts w:ascii="Arial" w:cs="Arial" w:eastAsia="Arial" w:hAnsi="Arial"/>
          <w:b/>
          <w:bCs/>
          <w:color w:val="1A1A2E"/>
          <w:sz w:val="28"/>
          <w:szCs w:val="28"/>
        </w:rPr>
        <w:t xml:space="preserve">27.1 The 90-Day Biological Rationale</w:t>
      </w:r>
    </w:p>
    <w:p>
      <w:pPr>
        <w:pStyle w:val="ListParagraph"/>
        <w:numPr>
          <w:ilvl w:val="0"/>
          <w:numId w:val="2"/>
        </w:numPr>
        <w:spacing w:after="80"/>
      </w:pPr>
      <w:r>
        <w:rPr>
          <w:rFonts w:ascii="Arial" w:cs="Arial" w:eastAsia="Arial" w:hAnsi="Arial"/>
          <w:color w:val="333333"/>
          <w:sz w:val="21"/>
          <w:szCs w:val="21"/>
        </w:rPr>
        <w:t xml:space="preserve">Oogenesis: The final stages of egg maturation (final growth of the dominant follicle) occur over 90–120 days before ovulation. Nutritional, hormonal, and oxidative stress during this period directly affects egg quality.</w:t>
      </w:r>
    </w:p>
    <w:p>
      <w:pPr>
        <w:pStyle w:val="ListParagraph"/>
        <w:numPr>
          <w:ilvl w:val="0"/>
          <w:numId w:val="2"/>
        </w:numPr>
        <w:spacing w:after="80"/>
      </w:pPr>
      <w:r>
        <w:rPr>
          <w:rFonts w:ascii="Arial" w:cs="Arial" w:eastAsia="Arial" w:hAnsi="Arial"/>
          <w:color w:val="333333"/>
          <w:sz w:val="21"/>
          <w:szCs w:val="21"/>
        </w:rPr>
        <w:t xml:space="preserve">Spermatogenesis: Sperm take 72–90 days to fully develop. Any male partner lifestyle changes require the same 90-day lead time.</w:t>
      </w:r>
    </w:p>
    <w:p>
      <w:pPr>
        <w:pStyle w:val="ListParagraph"/>
        <w:numPr>
          <w:ilvl w:val="0"/>
          <w:numId w:val="2"/>
        </w:numPr>
        <w:spacing w:after="80"/>
      </w:pPr>
      <w:r>
        <w:rPr>
          <w:rFonts w:ascii="Arial" w:cs="Arial" w:eastAsia="Arial" w:hAnsi="Arial"/>
          <w:color w:val="333333"/>
          <w:sz w:val="21"/>
          <w:szCs w:val="21"/>
        </w:rPr>
        <w:t xml:space="preserve">Endometrial preparation: The uterine lining needs 2–3 healthy cycles to be optimally prepared for implantation.</w:t>
      </w:r>
    </w:p>
    <w:p>
      <w:pPr>
        <w:pStyle w:val="ListParagraph"/>
        <w:numPr>
          <w:ilvl w:val="0"/>
          <w:numId w:val="2"/>
        </w:numPr>
        <w:spacing w:after="80"/>
      </w:pPr>
      <w:r>
        <w:rPr>
          <w:rFonts w:ascii="Arial" w:cs="Arial" w:eastAsia="Arial" w:hAnsi="Arial"/>
          <w:color w:val="333333"/>
          <w:sz w:val="21"/>
          <w:szCs w:val="21"/>
        </w:rPr>
        <w:t xml:space="preserve">Epigenetic programming: Nutrition and lifestyle in the 3 months before conception influences epigenetic marks on the egg and early embryo that persist through fetal development.</w:t>
      </w:r>
    </w:p>
    <w:p>
      <w:pPr>
        <w:pStyle w:val="ListParagraph"/>
        <w:numPr>
          <w:ilvl w:val="0"/>
          <w:numId w:val="2"/>
        </w:numPr>
        <w:spacing w:after="80"/>
      </w:pPr>
      <w:r>
        <w:rPr>
          <w:rFonts w:ascii="Arial" w:cs="Arial" w:eastAsia="Arial" w:hAnsi="Arial"/>
          <w:color w:val="333333"/>
          <w:sz w:val="21"/>
          <w:szCs w:val="21"/>
        </w:rPr>
        <w:t xml:space="preserve">FIGO 2024 statement: 'The preconception period is a unique window of opportunity. Improving preconception health can improve both fetal and maternal outcomes and reduce neonatal mortality.'</w:t>
      </w:r>
    </w:p>
    <w:p>
      <w:pPr>
        <w:spacing w:after="120"/>
      </w:pPr>
    </w:p>
    <w:p>
      <w:pPr>
        <w:pStyle w:val="Heading2"/>
        <w:spacing w:before="320" w:after="140"/>
      </w:pPr>
      <w:r>
        <w:rPr>
          <w:rFonts w:ascii="Arial" w:cs="Arial" w:eastAsia="Arial" w:hAnsi="Arial"/>
          <w:b/>
          <w:bCs/>
          <w:color w:val="1A1A2E"/>
          <w:sz w:val="28"/>
          <w:szCs w:val="28"/>
        </w:rPr>
        <w:t xml:space="preserve">27.2 Month-by-Month Preconception Protocol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200"/>
        <w:gridCol w:w="1800"/>
        <w:gridCol w:w="1760"/>
      </w:tblGrid>
      <w:tr>
        <w:trPr>
          <w:tblHeader/>
        </w:trPr>
        <w:tc>
          <w:tcPr>
            <w:tcW w:type="dxa" w:w="1400"/>
            <w:tcBorders>
              <w:top w:val="single" w:color="AAAAAA" w:sz="1"/>
              <w:left w:val="single" w:color="AAAAAA" w:sz="1"/>
              <w:bottom w:val="single" w:color="AAAAAA" w:sz="1"/>
              <w:right w:val="single" w:color="AAAAAA" w:sz="1"/>
            </w:tcBorders>
            <w:shd w:fill="B5174E" w:val="clear"/>
            <w:tcMar>
              <w:top w:type="dxa" w:w="100"/>
              <w:left w:type="dxa" w:w="140"/>
              <w:bottom w:type="dxa" w:w="100"/>
              <w:right w:type="dxa" w:w="140"/>
            </w:tcMar>
          </w:tcPr>
          <w:p>
            <w:r>
              <w:rPr>
                <w:rFonts w:ascii="Arial" w:cs="Arial" w:eastAsia="Arial" w:hAnsi="Arial"/>
                <w:b/>
                <w:bCs/>
                <w:color w:val="FFFFFF"/>
                <w:sz w:val="20"/>
                <w:szCs w:val="20"/>
              </w:rPr>
              <w:t xml:space="preserve">Timeframe</w:t>
            </w:r>
          </w:p>
        </w:tc>
        <w:tc>
          <w:tcPr>
            <w:tcW w:type="dxa" w:w="2200"/>
            <w:tcBorders>
              <w:top w:val="single" w:color="AAAAAA" w:sz="1"/>
              <w:left w:val="single" w:color="AAAAAA" w:sz="1"/>
              <w:bottom w:val="single" w:color="AAAAAA" w:sz="1"/>
              <w:right w:val="single" w:color="AAAAAA" w:sz="1"/>
            </w:tcBorders>
            <w:shd w:fill="B5174E" w:val="clear"/>
            <w:tcMar>
              <w:top w:type="dxa" w:w="100"/>
              <w:left w:type="dxa" w:w="140"/>
              <w:bottom w:type="dxa" w:w="100"/>
              <w:right w:type="dxa" w:w="140"/>
            </w:tcMar>
          </w:tcPr>
          <w:p>
            <w:r>
              <w:rPr>
                <w:rFonts w:ascii="Arial" w:cs="Arial" w:eastAsia="Arial" w:hAnsi="Arial"/>
                <w:b/>
                <w:bCs/>
                <w:color w:val="FFFFFF"/>
                <w:sz w:val="20"/>
                <w:szCs w:val="20"/>
              </w:rPr>
              <w:t xml:space="preserve">Nutrition</w:t>
            </w:r>
          </w:p>
        </w:tc>
        <w:tc>
          <w:tcPr>
            <w:tcW w:type="dxa" w:w="2200"/>
            <w:tcBorders>
              <w:top w:val="single" w:color="AAAAAA" w:sz="1"/>
              <w:left w:val="single" w:color="AAAAAA" w:sz="1"/>
              <w:bottom w:val="single" w:color="AAAAAA" w:sz="1"/>
              <w:right w:val="single" w:color="AAAAAA" w:sz="1"/>
            </w:tcBorders>
            <w:shd w:fill="B5174E" w:val="clear"/>
            <w:tcMar>
              <w:top w:type="dxa" w:w="100"/>
              <w:left w:type="dxa" w:w="140"/>
              <w:bottom w:type="dxa" w:w="100"/>
              <w:right w:type="dxa" w:w="140"/>
            </w:tcMar>
          </w:tcPr>
          <w:p>
            <w:r>
              <w:rPr>
                <w:rFonts w:ascii="Arial" w:cs="Arial" w:eastAsia="Arial" w:hAnsi="Arial"/>
                <w:b/>
                <w:bCs/>
                <w:color w:val="FFFFFF"/>
                <w:sz w:val="20"/>
                <w:szCs w:val="20"/>
              </w:rPr>
              <w:t xml:space="preserve">Lifestyle</w:t>
            </w:r>
          </w:p>
        </w:tc>
        <w:tc>
          <w:tcPr>
            <w:tcW w:type="dxa" w:w="1800"/>
            <w:tcBorders>
              <w:top w:val="single" w:color="AAAAAA" w:sz="1"/>
              <w:left w:val="single" w:color="AAAAAA" w:sz="1"/>
              <w:bottom w:val="single" w:color="AAAAAA" w:sz="1"/>
              <w:right w:val="single" w:color="AAAAAA" w:sz="1"/>
            </w:tcBorders>
            <w:shd w:fill="B5174E" w:val="clear"/>
            <w:tcMar>
              <w:top w:type="dxa" w:w="100"/>
              <w:left w:type="dxa" w:w="140"/>
              <w:bottom w:type="dxa" w:w="100"/>
              <w:right w:type="dxa" w:w="140"/>
            </w:tcMar>
          </w:tcPr>
          <w:p>
            <w:r>
              <w:rPr>
                <w:rFonts w:ascii="Arial" w:cs="Arial" w:eastAsia="Arial" w:hAnsi="Arial"/>
                <w:b/>
                <w:bCs/>
                <w:color w:val="FFFFFF"/>
                <w:sz w:val="20"/>
                <w:szCs w:val="20"/>
              </w:rPr>
              <w:t xml:space="preserve">Medical</w:t>
            </w:r>
          </w:p>
        </w:tc>
        <w:tc>
          <w:tcPr>
            <w:tcW w:type="dxa" w:w="1760"/>
            <w:tcBorders>
              <w:top w:val="single" w:color="AAAAAA" w:sz="1"/>
              <w:left w:val="single" w:color="AAAAAA" w:sz="1"/>
              <w:bottom w:val="single" w:color="AAAAAA" w:sz="1"/>
              <w:right w:val="single" w:color="AAAAAA" w:sz="1"/>
            </w:tcBorders>
            <w:shd w:fill="B5174E" w:val="clear"/>
            <w:tcMar>
              <w:top w:type="dxa" w:w="100"/>
              <w:left w:type="dxa" w:w="140"/>
              <w:bottom w:type="dxa" w:w="100"/>
              <w:right w:type="dxa" w:w="140"/>
            </w:tcMar>
          </w:tcPr>
          <w:p>
            <w:r>
              <w:rPr>
                <w:rFonts w:ascii="Arial" w:cs="Arial" w:eastAsia="Arial" w:hAnsi="Arial"/>
                <w:b/>
                <w:bCs/>
                <w:color w:val="FFFFFF"/>
                <w:sz w:val="20"/>
                <w:szCs w:val="20"/>
              </w:rPr>
              <w:t xml:space="preserve">Investigations</w:t>
            </w:r>
          </w:p>
        </w:tc>
      </w:tr>
      <w:tr>
        <w:tc>
          <w:tcPr>
            <w:tcW w:type="dxa" w:w="14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6 months before</w:t>
            </w:r>
          </w:p>
        </w:tc>
        <w:tc>
          <w:tcPr>
            <w:tcW w:type="dxa" w:w="22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Start folate 400–800 mcg; add prenatal vitamin; Mediterranean diet</w:t>
            </w:r>
          </w:p>
        </w:tc>
        <w:tc>
          <w:tcPr>
            <w:tcW w:type="dxa" w:w="22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Stop alcohol completely; quit smoking; establish exercise routine</w:t>
            </w:r>
          </w:p>
        </w:tc>
        <w:tc>
          <w:tcPr>
            <w:tcW w:type="dxa" w:w="18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Review all medications with GP; start dental check</w:t>
            </w:r>
          </w:p>
        </w:tc>
        <w:tc>
          <w:tcPr>
            <w:tcW w:type="dxa" w:w="17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Carrier genetic screening; baseline blood work (CBC, iron, glucose, TSH, Rubella immunity)</w:t>
            </w:r>
          </w:p>
        </w:tc>
      </w:tr>
      <w:tr>
        <w:tc>
          <w:tcPr>
            <w:tcW w:type="dxa" w:w="14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3 months before</w:t>
            </w:r>
          </w:p>
        </w:tc>
        <w:tc>
          <w:tcPr>
            <w:tcW w:type="dxa" w:w="22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Add CoQ10 200–400 mg; omega-3 1–2 g/day; ensure iron + Vit D adequate</w:t>
            </w:r>
          </w:p>
        </w:tc>
        <w:tc>
          <w:tcPr>
            <w:tcW w:type="dxa" w:w="22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Reduce caffeine &lt;200 mg/day; audit home EDCs; optimize sleep to 7–9 hrs</w:t>
            </w:r>
          </w:p>
        </w:tc>
        <w:tc>
          <w:tcPr>
            <w:tcW w:type="dxa" w:w="18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Ensure rubella/varicella immunity; get MMR if needed (wait 1 month post-MMR to conceive)</w:t>
            </w:r>
          </w:p>
        </w:tc>
        <w:tc>
          <w:tcPr>
            <w:tcW w:type="dxa" w:w="176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AMH + AFC if &gt;35 or family history of early menopause; STI screen; Pap if due</w:t>
            </w:r>
          </w:p>
        </w:tc>
      </w:tr>
      <w:tr>
        <w:tc>
          <w:tcPr>
            <w:tcW w:type="dxa" w:w="14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1 month before</w:t>
            </w:r>
          </w:p>
        </w:tc>
        <w:tc>
          <w:tcPr>
            <w:tcW w:type="dxa" w:w="22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Confirm prenatal vitamin established; add choline 450 mg/day</w:t>
            </w:r>
          </w:p>
        </w:tc>
        <w:tc>
          <w:tcPr>
            <w:tcW w:type="dxa" w:w="22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Begin cycle tracking (BBT + mucus) to confirm ovulation; manage stress</w:t>
            </w:r>
          </w:p>
        </w:tc>
        <w:tc>
          <w:tcPr>
            <w:tcW w:type="dxa" w:w="18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Confirm all vaccinations up to date (NOT live vaccines now); optimize chronic diseases</w:t>
            </w:r>
          </w:p>
        </w:tc>
        <w:tc>
          <w:tcPr>
            <w:tcW w:type="dxa" w:w="17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Day 3 FSH, LH, E2 if concerned about ovarian reserve; semen analysis for partner if indicated</w:t>
            </w:r>
          </w:p>
        </w:tc>
      </w:tr>
      <w:tr>
        <w:tc>
          <w:tcPr>
            <w:tcW w:type="dxa" w:w="14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Actively trying</w:t>
            </w:r>
          </w:p>
        </w:tc>
        <w:tc>
          <w:tcPr>
            <w:tcW w:type="dxa" w:w="22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Maintain all above; time intercourse in fertile window (Day 10–17 in 28d cycle)</w:t>
            </w:r>
          </w:p>
        </w:tc>
        <w:tc>
          <w:tcPr>
            <w:tcW w:type="dxa" w:w="22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Avoid lubricants (most are spermicidal) — use Pre-Seed or canola oil</w:t>
            </w:r>
          </w:p>
        </w:tc>
        <w:tc>
          <w:tcPr>
            <w:tcW w:type="dxa" w:w="18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Continue prenatal vitamins; treat any infections promptly</w:t>
            </w:r>
          </w:p>
        </w:tc>
        <w:tc>
          <w:tcPr>
            <w:tcW w:type="dxa" w:w="176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Confirm ovulation with Day 21 progesterone &gt;3 ng/mL; home pregnancy test from Day 1 of missed period</w:t>
            </w:r>
          </w:p>
        </w:tc>
      </w:tr>
    </w:tbl>
    <w:p>
      <w:pPr>
        <w:spacing w:after="120"/>
      </w:pPr>
    </w:p>
    <w:p>
      <w:pPr>
        <w:pStyle w:val="Heading2"/>
        <w:spacing w:before="320" w:after="140"/>
      </w:pPr>
      <w:r>
        <w:rPr>
          <w:rFonts w:ascii="Arial" w:cs="Arial" w:eastAsia="Arial" w:hAnsi="Arial"/>
          <w:b/>
          <w:bCs/>
          <w:color w:val="1A1A2E"/>
          <w:sz w:val="28"/>
          <w:szCs w:val="28"/>
        </w:rPr>
        <w:t xml:space="preserve">27.3 Medications to Stop Before Pregnancy (Teratogenic Risk)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000"/>
        <w:gridCol w:w="3760"/>
      </w:tblGrid>
      <w:tr>
        <w:trPr>
          <w:tblHeader/>
        </w:trPr>
        <w:tc>
          <w:tcPr>
            <w:tcW w:type="dxa" w:w="2000"/>
            <w:tcBorders>
              <w:top w:val="single" w:color="AAAAAA" w:sz="1"/>
              <w:left w:val="single" w:color="AAAAAA" w:sz="1"/>
              <w:bottom w:val="single" w:color="AAAAAA" w:sz="1"/>
              <w:right w:val="single" w:color="AAAAAA" w:sz="1"/>
            </w:tcBorders>
            <w:shd w:fill="B5174E" w:val="clear"/>
            <w:tcMar>
              <w:top w:type="dxa" w:w="100"/>
              <w:left w:type="dxa" w:w="140"/>
              <w:bottom w:type="dxa" w:w="100"/>
              <w:right w:type="dxa" w:w="140"/>
            </w:tcMar>
          </w:tcPr>
          <w:p>
            <w:r>
              <w:rPr>
                <w:rFonts w:ascii="Arial" w:cs="Arial" w:eastAsia="Arial" w:hAnsi="Arial"/>
                <w:b/>
                <w:bCs/>
                <w:color w:val="FFFFFF"/>
                <w:sz w:val="20"/>
                <w:szCs w:val="20"/>
              </w:rPr>
              <w:t xml:space="preserve">Medication</w:t>
            </w:r>
          </w:p>
        </w:tc>
        <w:tc>
          <w:tcPr>
            <w:tcW w:type="dxa" w:w="1600"/>
            <w:tcBorders>
              <w:top w:val="single" w:color="AAAAAA" w:sz="1"/>
              <w:left w:val="single" w:color="AAAAAA" w:sz="1"/>
              <w:bottom w:val="single" w:color="AAAAAA" w:sz="1"/>
              <w:right w:val="single" w:color="AAAAAA" w:sz="1"/>
            </w:tcBorders>
            <w:shd w:fill="B5174E" w:val="clear"/>
            <w:tcMar>
              <w:top w:type="dxa" w:w="100"/>
              <w:left w:type="dxa" w:w="140"/>
              <w:bottom w:type="dxa" w:w="100"/>
              <w:right w:type="dxa" w:w="140"/>
            </w:tcMar>
          </w:tcPr>
          <w:p>
            <w:r>
              <w:rPr>
                <w:rFonts w:ascii="Arial" w:cs="Arial" w:eastAsia="Arial" w:hAnsi="Arial"/>
                <w:b/>
                <w:bCs/>
                <w:color w:val="FFFFFF"/>
                <w:sz w:val="20"/>
                <w:szCs w:val="20"/>
              </w:rPr>
              <w:t xml:space="preserve">Category</w:t>
            </w:r>
          </w:p>
        </w:tc>
        <w:tc>
          <w:tcPr>
            <w:tcW w:type="dxa" w:w="2000"/>
            <w:tcBorders>
              <w:top w:val="single" w:color="AAAAAA" w:sz="1"/>
              <w:left w:val="single" w:color="AAAAAA" w:sz="1"/>
              <w:bottom w:val="single" w:color="AAAAAA" w:sz="1"/>
              <w:right w:val="single" w:color="AAAAAA" w:sz="1"/>
            </w:tcBorders>
            <w:shd w:fill="B5174E" w:val="clear"/>
            <w:tcMar>
              <w:top w:type="dxa" w:w="100"/>
              <w:left w:type="dxa" w:w="140"/>
              <w:bottom w:type="dxa" w:w="100"/>
              <w:right w:type="dxa" w:w="140"/>
            </w:tcMar>
          </w:tcPr>
          <w:p>
            <w:r>
              <w:rPr>
                <w:rFonts w:ascii="Arial" w:cs="Arial" w:eastAsia="Arial" w:hAnsi="Arial"/>
                <w:b/>
                <w:bCs/>
                <w:color w:val="FFFFFF"/>
                <w:sz w:val="20"/>
                <w:szCs w:val="20"/>
              </w:rPr>
              <w:t xml:space="preserve">Time to Stop Before Conception</w:t>
            </w:r>
          </w:p>
        </w:tc>
        <w:tc>
          <w:tcPr>
            <w:tcW w:type="dxa" w:w="3760"/>
            <w:tcBorders>
              <w:top w:val="single" w:color="AAAAAA" w:sz="1"/>
              <w:left w:val="single" w:color="AAAAAA" w:sz="1"/>
              <w:bottom w:val="single" w:color="AAAAAA" w:sz="1"/>
              <w:right w:val="single" w:color="AAAAAA" w:sz="1"/>
            </w:tcBorders>
            <w:shd w:fill="B5174E" w:val="clear"/>
            <w:tcMar>
              <w:top w:type="dxa" w:w="100"/>
              <w:left w:type="dxa" w:w="140"/>
              <w:bottom w:type="dxa" w:w="100"/>
              <w:right w:type="dxa" w:w="140"/>
            </w:tcMar>
          </w:tcPr>
          <w:p>
            <w:r>
              <w:rPr>
                <w:rFonts w:ascii="Arial" w:cs="Arial" w:eastAsia="Arial" w:hAnsi="Arial"/>
                <w:b/>
                <w:bCs/>
                <w:color w:val="FFFFFF"/>
                <w:sz w:val="20"/>
                <w:szCs w:val="20"/>
              </w:rPr>
              <w:t xml:space="preserve">Reason / Risk</w:t>
            </w:r>
          </w:p>
        </w:tc>
      </w:tr>
      <w:tr>
        <w:tc>
          <w:tcPr>
            <w:tcW w:type="dxa" w:w="20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Isotretinoin (Accutane)</w:t>
            </w:r>
          </w:p>
        </w:tc>
        <w:tc>
          <w:tcPr>
            <w:tcW w:type="dxa" w:w="16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X — Absolutely contraindicated</w:t>
            </w:r>
          </w:p>
        </w:tc>
        <w:tc>
          <w:tcPr>
            <w:tcW w:type="dxa" w:w="20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1+ month (iPLEDGE program requirement)</w:t>
            </w:r>
          </w:p>
        </w:tc>
        <w:tc>
          <w:tcPr>
            <w:tcW w:type="dxa" w:w="37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Severe fetal malformations (CNS, cardiac, craniofacial). Requires 2 forms of contraception.</w:t>
            </w:r>
          </w:p>
        </w:tc>
      </w:tr>
      <w:tr>
        <w:tc>
          <w:tcPr>
            <w:tcW w:type="dxa" w:w="20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Methotrexate (RA, psoriasis)</w:t>
            </w:r>
          </w:p>
        </w:tc>
        <w:tc>
          <w:tcPr>
            <w:tcW w:type="dxa" w:w="16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X — Absolutely contraindicated</w:t>
            </w:r>
          </w:p>
        </w:tc>
        <w:tc>
          <w:tcPr>
            <w:tcW w:type="dxa" w:w="20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3–6 months (folic acid antagonist)</w:t>
            </w:r>
          </w:p>
        </w:tc>
        <w:tc>
          <w:tcPr>
            <w:tcW w:type="dxa" w:w="376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Embryotoxic, teratogenic. Also depletes folate — take high-dose folate after stopping.</w:t>
            </w:r>
          </w:p>
        </w:tc>
      </w:tr>
      <w:tr>
        <w:tc>
          <w:tcPr>
            <w:tcW w:type="dxa" w:w="20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Valproic acid (epilepsy)</w:t>
            </w:r>
          </w:p>
        </w:tc>
        <w:tc>
          <w:tcPr>
            <w:tcW w:type="dxa" w:w="16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D — Strong evidence of risk</w:t>
            </w:r>
          </w:p>
        </w:tc>
        <w:tc>
          <w:tcPr>
            <w:tcW w:type="dxa" w:w="20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Switch before conception with neurologist</w:t>
            </w:r>
          </w:p>
        </w:tc>
        <w:tc>
          <w:tcPr>
            <w:tcW w:type="dxa" w:w="37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Neural tube defects (10–20x risk), cognitive impairment. Switch to lamotrigine with neurologist.</w:t>
            </w:r>
          </w:p>
        </w:tc>
      </w:tr>
      <w:tr>
        <w:tc>
          <w:tcPr>
            <w:tcW w:type="dxa" w:w="20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Warfarin (blood thinner)</w:t>
            </w:r>
          </w:p>
        </w:tc>
        <w:tc>
          <w:tcPr>
            <w:tcW w:type="dxa" w:w="16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D/X — first trimester</w:t>
            </w:r>
          </w:p>
        </w:tc>
        <w:tc>
          <w:tcPr>
            <w:tcW w:type="dxa" w:w="20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Switch to heparin at conception</w:t>
            </w:r>
          </w:p>
        </w:tc>
        <w:tc>
          <w:tcPr>
            <w:tcW w:type="dxa" w:w="376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Warfarin embryopathy (nasal hypoplasia, stippled epiphyses) in first trimester.</w:t>
            </w:r>
          </w:p>
        </w:tc>
      </w:tr>
      <w:tr>
        <w:tc>
          <w:tcPr>
            <w:tcW w:type="dxa" w:w="20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Lithium (bipolar)</w:t>
            </w:r>
          </w:p>
        </w:tc>
        <w:tc>
          <w:tcPr>
            <w:tcW w:type="dxa" w:w="16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D — Evidence of risk</w:t>
            </w:r>
          </w:p>
        </w:tc>
        <w:tc>
          <w:tcPr>
            <w:tcW w:type="dxa" w:w="20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Discuss with psychiatrist</w:t>
            </w:r>
          </w:p>
        </w:tc>
        <w:tc>
          <w:tcPr>
            <w:tcW w:type="dxa" w:w="37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Ebstein's anomaly (cardiac). Risk low but real. Carefully weigh with psychiatrist.</w:t>
            </w:r>
          </w:p>
        </w:tc>
      </w:tr>
      <w:tr>
        <w:tc>
          <w:tcPr>
            <w:tcW w:type="dxa" w:w="20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Finasteride (hair loss)</w:t>
            </w:r>
          </w:p>
        </w:tc>
        <w:tc>
          <w:tcPr>
            <w:tcW w:type="dxa" w:w="16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X — women should not handle</w:t>
            </w:r>
          </w:p>
        </w:tc>
        <w:tc>
          <w:tcPr>
            <w:tcW w:type="dxa" w:w="20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Stop before conception</w:t>
            </w:r>
          </w:p>
        </w:tc>
        <w:tc>
          <w:tcPr>
            <w:tcW w:type="dxa" w:w="376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5-alpha reductase inhibitor → can feminize male fetus. Not for reproductive-age women.</w:t>
            </w:r>
          </w:p>
        </w:tc>
      </w:tr>
      <w:tr>
        <w:tc>
          <w:tcPr>
            <w:tcW w:type="dxa" w:w="20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ACE inhibitors / ARBs (hypertension)</w:t>
            </w:r>
          </w:p>
        </w:tc>
        <w:tc>
          <w:tcPr>
            <w:tcW w:type="dxa" w:w="16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D — avoid in 2nd/3rd trimester</w:t>
            </w:r>
          </w:p>
        </w:tc>
        <w:tc>
          <w:tcPr>
            <w:tcW w:type="dxa" w:w="20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Switch to methyldopa, labetalol, nifedipine pre-conception</w:t>
            </w:r>
          </w:p>
        </w:tc>
        <w:tc>
          <w:tcPr>
            <w:tcW w:type="dxa" w:w="37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Fetal renal failure, oligohydramnios, skull defects in 2nd+3rd trimester.</w:t>
            </w:r>
          </w:p>
        </w:tc>
      </w:tr>
      <w:tr>
        <w:tc>
          <w:tcPr>
            <w:tcW w:type="dxa" w:w="20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Statins (cholesterol)</w:t>
            </w:r>
          </w:p>
        </w:tc>
        <w:tc>
          <w:tcPr>
            <w:tcW w:type="dxa" w:w="16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X</w:t>
            </w:r>
          </w:p>
        </w:tc>
        <w:tc>
          <w:tcPr>
            <w:tcW w:type="dxa" w:w="20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Stop before trying to conceive</w:t>
            </w:r>
          </w:p>
        </w:tc>
        <w:tc>
          <w:tcPr>
            <w:tcW w:type="dxa" w:w="376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Teratogenic in animal models; cholesterol required for fetal development.</w:t>
            </w:r>
          </w:p>
        </w:tc>
      </w:tr>
      <w:tr>
        <w:tc>
          <w:tcPr>
            <w:tcW w:type="dxa" w:w="20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High-dose Vitamin A (&gt;10,000 IU/day)</w:t>
            </w:r>
          </w:p>
        </w:tc>
        <w:tc>
          <w:tcPr>
            <w:tcW w:type="dxa" w:w="16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Teratogenic</w:t>
            </w:r>
          </w:p>
        </w:tc>
        <w:tc>
          <w:tcPr>
            <w:tcW w:type="dxa" w:w="20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Switch to beta-carotene form (safe)</w:t>
            </w:r>
          </w:p>
        </w:tc>
        <w:tc>
          <w:tcPr>
            <w:tcW w:type="dxa" w:w="37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Retinoic acid teratogenesis — craniofacial, cardiac, CNS malformations.</w:t>
            </w:r>
          </w:p>
        </w:tc>
      </w:tr>
      <w:tr>
        <w:tc>
          <w:tcPr>
            <w:tcW w:type="dxa" w:w="20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SSRIs / SNRIs</w:t>
            </w:r>
          </w:p>
        </w:tc>
        <w:tc>
          <w:tcPr>
            <w:tcW w:type="dxa" w:w="16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Category C — discuss with psychiatrist</w:t>
            </w:r>
          </w:p>
        </w:tc>
        <w:tc>
          <w:tcPr>
            <w:tcW w:type="dxa" w:w="20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Do not stop abruptly without guidance</w:t>
            </w:r>
          </w:p>
        </w:tc>
        <w:tc>
          <w:tcPr>
            <w:tcW w:type="dxa" w:w="376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Persistent pulmonary hypertension of newborn (PPHN) risk; weigh vs untreated depression risk.</w:t>
            </w:r>
          </w:p>
        </w:tc>
      </w:tr>
    </w:tbl>
    <w:p>
      <w:pPr>
        <w:spacing w:after="240"/>
      </w:pPr>
    </w:p>
    <w:p>
      <w:pPr>
        <w:pBdr>
          <w:bottom w:val="single" w:color="E0B4C4" w:sz="3"/>
        </w:pBdr>
        <w:spacing w:before="80" w:after="80"/>
      </w:pPr>
    </w:p>
    <w:p>
      <w:pPr>
        <w:pStyle w:val="Heading1"/>
        <w:spacing w:before="480" w:after="200"/>
      </w:pPr>
      <w:r>
        <w:rPr>
          <w:rFonts w:ascii="Arial" w:cs="Arial" w:eastAsia="Arial" w:hAnsi="Arial"/>
          <w:b/>
          <w:bCs/>
          <w:color w:val="B5174E"/>
          <w:sz w:val="38"/>
          <w:szCs w:val="38"/>
        </w:rPr>
        <w:t xml:space="preserve">DOMAIN 28: ENDOCRINE DISRUPTING CHEMICALS (EDCs) &amp; ENVIRONMENTAL HEALTH</w:t>
      </w:r>
    </w:p>
    <w:p>
      <w:pPr>
        <w:pBdr>
          <w:bottom w:val="single" w:color="E0B4C4" w:sz="3"/>
        </w:pBdr>
        <w:spacing w:before="80" w:after="80"/>
      </w:pPr>
    </w:p>
    <w:p>
      <w:pPr>
        <w:spacing w:after="120"/>
      </w:pPr>
      <w:r>
        <w:rPr>
          <w:rFonts w:ascii="Arial" w:cs="Arial" w:eastAsia="Arial" w:hAnsi="Arial"/>
          <w:color w:val="2D2D2D"/>
          <w:sz w:val="22"/>
          <w:szCs w:val="22"/>
        </w:rPr>
        <w:t xml:space="preserve">EDCs are one of the fastest-growing research areas in reproductive medicine. A 2025 FIGO committee opinion and 2025 PMC systematic review both confirm that BPA, phthalates, PFAS, PCBs, and microplastics are significantly associated with menstrual irregularities, reduced ovarian reserve, endometriosis, fibroids, PCOS, and impaired ART outcomes.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5174E" w:sz="1"/>
              <w:left w:val="single" w:color="B5174E" w:sz="1"/>
              <w:bottom w:val="single" w:color="B5174E" w:sz="1"/>
              <w:right w:val="single" w:color="B5174E" w:sz="1"/>
            </w:tcBorders>
            <w:shd w:fill="FDF0F5" w:val="clear"/>
            <w:tcMar>
              <w:top w:type="dxa" w:w="160"/>
              <w:left w:type="dxa" w:w="220"/>
              <w:bottom w:type="dxa" w:w="160"/>
              <w:right w:type="dxa" w:w="220"/>
            </w:tcMar>
          </w:tcPr>
          <w:p>
            <w:pPr>
              <w:spacing w:after="100"/>
            </w:pPr>
            <w:r>
              <w:rPr>
                <w:rFonts w:ascii="Arial" w:cs="Arial" w:eastAsia="Arial" w:hAnsi="Arial"/>
                <w:b/>
                <w:bCs/>
                <w:color w:val="B5174E"/>
                <w:sz w:val="23"/>
                <w:szCs w:val="23"/>
              </w:rPr>
              <w:t xml:space="preserve">☑ CHECKLIST: DOMAIN 28 — EDCs &amp; ENVIRONMENT</w:t>
            </w:r>
          </w:p>
          <w:p>
            <w:pPr>
              <w:spacing w:after="70"/>
            </w:pPr>
            <w:r>
              <w:rPr>
                <w:rFonts w:ascii="Arial" w:cs="Arial" w:eastAsia="Arial" w:hAnsi="Arial"/>
                <w:color w:val="1A1A2E"/>
                <w:sz w:val="20"/>
                <w:szCs w:val="20"/>
              </w:rPr>
              <w:t xml:space="preserve">  01.  BPA (Bisphenol A): estrogen mimic, source (plastics, can linings, receipts), menstrual irregularity, ovarian reserve reduction, IVF failure</w:t>
            </w:r>
          </w:p>
          <w:p>
            <w:pPr>
              <w:spacing w:after="70"/>
            </w:pPr>
            <w:r>
              <w:rPr>
                <w:rFonts w:ascii="Arial" w:cs="Arial" w:eastAsia="Arial" w:hAnsi="Arial"/>
                <w:color w:val="1A1A2E"/>
                <w:sz w:val="20"/>
                <w:szCs w:val="20"/>
              </w:rPr>
              <w:t xml:space="preserve">  02.  Phthalates: HPO axis disruption, altered menstrual cyclicity, POI acceleration, folliculogenesis disruption, PCOS, endometriosis, leiomyomas</w:t>
            </w:r>
          </w:p>
          <w:p>
            <w:pPr>
              <w:spacing w:after="70"/>
            </w:pPr>
            <w:r>
              <w:rPr>
                <w:rFonts w:ascii="Arial" w:cs="Arial" w:eastAsia="Arial" w:hAnsi="Arial"/>
                <w:color w:val="1A1A2E"/>
                <w:sz w:val="20"/>
                <w:szCs w:val="20"/>
              </w:rPr>
              <w:t xml:space="preserve">  03.  PFAS ('forever chemicals'): earlier menopause (independent association), ovarian reserve impairment, lower implantation rates</w:t>
            </w:r>
          </w:p>
          <w:p>
            <w:pPr>
              <w:spacing w:after="70"/>
            </w:pPr>
            <w:r>
              <w:rPr>
                <w:rFonts w:ascii="Arial" w:cs="Arial" w:eastAsia="Arial" w:hAnsi="Arial"/>
                <w:color w:val="1A1A2E"/>
                <w:sz w:val="20"/>
                <w:szCs w:val="20"/>
              </w:rPr>
              <w:t xml:space="preserve">  04.  PCBs / Dioxins: persistent organic pollutants, endometriosis risk, POI, ovarian aging acceleration</w:t>
            </w:r>
          </w:p>
          <w:p>
            <w:pPr>
              <w:spacing w:after="70"/>
            </w:pPr>
            <w:r>
              <w:rPr>
                <w:rFonts w:ascii="Arial" w:cs="Arial" w:eastAsia="Arial" w:hAnsi="Arial"/>
                <w:color w:val="1A1A2E"/>
                <w:sz w:val="20"/>
                <w:szCs w:val="20"/>
              </w:rPr>
              <w:t xml:space="preserve">  05.  Heavy metals (lead, cadmium, mercury): shortened reproductive years, ovarian follicle damage, neurotoxic to fetus</w:t>
            </w:r>
          </w:p>
          <w:p>
            <w:pPr>
              <w:spacing w:after="70"/>
            </w:pPr>
            <w:r>
              <w:rPr>
                <w:rFonts w:ascii="Arial" w:cs="Arial" w:eastAsia="Arial" w:hAnsi="Arial"/>
                <w:color w:val="1A1A2E"/>
                <w:sz w:val="20"/>
                <w:szCs w:val="20"/>
              </w:rPr>
              <w:t xml:space="preserve">  06.  Pesticides (DDT, organochlorines): follicular atresia acceleration, menstrual irregularity, preterm birth</w:t>
            </w:r>
          </w:p>
          <w:p>
            <w:pPr>
              <w:spacing w:after="70"/>
            </w:pPr>
            <w:r>
              <w:rPr>
                <w:rFonts w:ascii="Arial" w:cs="Arial" w:eastAsia="Arial" w:hAnsi="Arial"/>
                <w:color w:val="1A1A2E"/>
                <w:sz w:val="20"/>
                <w:szCs w:val="20"/>
              </w:rPr>
              <w:t xml:space="preserve">  07.  Microplastics: found in ovarian follicular fluid (2025 Italian study); PFAS/BPA vectors into ovarian environment</w:t>
            </w:r>
          </w:p>
          <w:p>
            <w:pPr>
              <w:spacing w:after="70"/>
            </w:pPr>
            <w:r>
              <w:rPr>
                <w:rFonts w:ascii="Arial" w:cs="Arial" w:eastAsia="Arial" w:hAnsi="Arial"/>
                <w:color w:val="1A1A2E"/>
                <w:sz w:val="20"/>
                <w:szCs w:val="20"/>
              </w:rPr>
              <w:t xml:space="preserve">  08.  Parabens (preservatives in cosmetics): estrogenic activity, HPO disruption; high skin absorption via personal care products</w:t>
            </w:r>
          </w:p>
          <w:p>
            <w:pPr>
              <w:spacing w:after="70"/>
            </w:pPr>
            <w:r>
              <w:rPr>
                <w:rFonts w:ascii="Arial" w:cs="Arial" w:eastAsia="Arial" w:hAnsi="Arial"/>
                <w:color w:val="1A1A2E"/>
                <w:sz w:val="20"/>
                <w:szCs w:val="20"/>
              </w:rPr>
              <w:t xml:space="preserve">  09.  Air pollution (PM2.5, NO2): impaired ovarian reserve, reduced ART success, early menopause, menstrual irregularity</w:t>
            </w:r>
          </w:p>
          <w:p>
            <w:pPr>
              <w:spacing w:after="70"/>
            </w:pPr>
            <w:r>
              <w:rPr>
                <w:rFonts w:ascii="Arial" w:cs="Arial" w:eastAsia="Arial" w:hAnsi="Arial"/>
                <w:color w:val="1A1A2E"/>
                <w:sz w:val="20"/>
                <w:szCs w:val="20"/>
              </w:rPr>
              <w:t xml:space="preserve">  10.  Critical windows of vulnerability: prenatal, puberty, perimenopause — EDC exposure during these windows is most damaging</w:t>
            </w:r>
          </w:p>
          <w:p>
            <w:pPr>
              <w:spacing w:after="70"/>
            </w:pPr>
            <w:r>
              <w:rPr>
                <w:rFonts w:ascii="Arial" w:cs="Arial" w:eastAsia="Arial" w:hAnsi="Arial"/>
                <w:color w:val="1A1A2E"/>
                <w:sz w:val="20"/>
                <w:szCs w:val="20"/>
              </w:rPr>
              <w:t xml:space="preserve">  11.  Practical EDC reduction guide: product-by-product swaps for home, kitchen, personal care, food</w:t>
            </w:r>
          </w:p>
          <w:p>
            <w:pPr>
              <w:spacing w:after="70"/>
            </w:pPr>
            <w:r>
              <w:rPr>
                <w:rFonts w:ascii="Arial" w:cs="Arial" w:eastAsia="Arial" w:hAnsi="Arial"/>
                <w:color w:val="1A1A2E"/>
                <w:sz w:val="20"/>
                <w:szCs w:val="20"/>
              </w:rPr>
              <w:t xml:space="preserve">  12.  Epigenetic effects: BPA, phthalates alter DNA methylation in uterine tissues — multi-generational effects possible</w:t>
            </w:r>
          </w:p>
        </w:tc>
      </w:tr>
    </w:tbl>
    <w:p>
      <w:pPr>
        <w:spacing w:after="120"/>
      </w:pPr>
    </w:p>
    <w:p>
      <w:pPr>
        <w:pStyle w:val="Heading2"/>
        <w:spacing w:before="320" w:after="140"/>
      </w:pPr>
      <w:r>
        <w:rPr>
          <w:rFonts w:ascii="Arial" w:cs="Arial" w:eastAsia="Arial" w:hAnsi="Arial"/>
          <w:b/>
          <w:bCs/>
          <w:color w:val="1A1A2E"/>
          <w:sz w:val="28"/>
          <w:szCs w:val="28"/>
        </w:rPr>
        <w:t xml:space="preserve">28.1 EDC Master Reference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600"/>
        <w:gridCol w:w="1800"/>
        <w:gridCol w:w="2100"/>
        <w:gridCol w:w="2300"/>
      </w:tblGrid>
      <w:tr>
        <w:trPr>
          <w:tblHeader/>
        </w:trPr>
        <w:tc>
          <w:tcPr>
            <w:tcW w:type="dxa" w:w="1560"/>
            <w:tcBorders>
              <w:top w:val="single" w:color="AAAAAA" w:sz="1"/>
              <w:left w:val="single" w:color="AAAAAA" w:sz="1"/>
              <w:bottom w:val="single" w:color="AAAAAA" w:sz="1"/>
              <w:right w:val="single" w:color="AAAAAA" w:sz="1"/>
            </w:tcBorders>
            <w:shd w:fill="B5174E" w:val="clear"/>
            <w:tcMar>
              <w:top w:type="dxa" w:w="100"/>
              <w:left w:type="dxa" w:w="140"/>
              <w:bottom w:type="dxa" w:w="100"/>
              <w:right w:type="dxa" w:w="140"/>
            </w:tcMar>
          </w:tcPr>
          <w:p>
            <w:r>
              <w:rPr>
                <w:rFonts w:ascii="Arial" w:cs="Arial" w:eastAsia="Arial" w:hAnsi="Arial"/>
                <w:b/>
                <w:bCs/>
                <w:color w:val="FFFFFF"/>
                <w:sz w:val="20"/>
                <w:szCs w:val="20"/>
              </w:rPr>
              <w:t xml:space="preserve">Chemical Class</w:t>
            </w:r>
          </w:p>
        </w:tc>
        <w:tc>
          <w:tcPr>
            <w:tcW w:type="dxa" w:w="1600"/>
            <w:tcBorders>
              <w:top w:val="single" w:color="AAAAAA" w:sz="1"/>
              <w:left w:val="single" w:color="AAAAAA" w:sz="1"/>
              <w:bottom w:val="single" w:color="AAAAAA" w:sz="1"/>
              <w:right w:val="single" w:color="AAAAAA" w:sz="1"/>
            </w:tcBorders>
            <w:shd w:fill="B5174E" w:val="clear"/>
            <w:tcMar>
              <w:top w:type="dxa" w:w="100"/>
              <w:left w:type="dxa" w:w="140"/>
              <w:bottom w:type="dxa" w:w="100"/>
              <w:right w:type="dxa" w:w="140"/>
            </w:tcMar>
          </w:tcPr>
          <w:p>
            <w:r>
              <w:rPr>
                <w:rFonts w:ascii="Arial" w:cs="Arial" w:eastAsia="Arial" w:hAnsi="Arial"/>
                <w:b/>
                <w:bCs/>
                <w:color w:val="FFFFFF"/>
                <w:sz w:val="20"/>
                <w:szCs w:val="20"/>
              </w:rPr>
              <w:t xml:space="preserve">Common Sources</w:t>
            </w:r>
          </w:p>
        </w:tc>
        <w:tc>
          <w:tcPr>
            <w:tcW w:type="dxa" w:w="1800"/>
            <w:tcBorders>
              <w:top w:val="single" w:color="AAAAAA" w:sz="1"/>
              <w:left w:val="single" w:color="AAAAAA" w:sz="1"/>
              <w:bottom w:val="single" w:color="AAAAAA" w:sz="1"/>
              <w:right w:val="single" w:color="AAAAAA" w:sz="1"/>
            </w:tcBorders>
            <w:shd w:fill="B5174E" w:val="clear"/>
            <w:tcMar>
              <w:top w:type="dxa" w:w="100"/>
              <w:left w:type="dxa" w:w="140"/>
              <w:bottom w:type="dxa" w:w="100"/>
              <w:right w:type="dxa" w:w="140"/>
            </w:tcMar>
          </w:tcPr>
          <w:p>
            <w:r>
              <w:rPr>
                <w:rFonts w:ascii="Arial" w:cs="Arial" w:eastAsia="Arial" w:hAnsi="Arial"/>
                <w:b/>
                <w:bCs/>
                <w:color w:val="FFFFFF"/>
                <w:sz w:val="20"/>
                <w:szCs w:val="20"/>
              </w:rPr>
              <w:t xml:space="preserve">Mechanism of Harm</w:t>
            </w:r>
          </w:p>
        </w:tc>
        <w:tc>
          <w:tcPr>
            <w:tcW w:type="dxa" w:w="2100"/>
            <w:tcBorders>
              <w:top w:val="single" w:color="AAAAAA" w:sz="1"/>
              <w:left w:val="single" w:color="AAAAAA" w:sz="1"/>
              <w:bottom w:val="single" w:color="AAAAAA" w:sz="1"/>
              <w:right w:val="single" w:color="AAAAAA" w:sz="1"/>
            </w:tcBorders>
            <w:shd w:fill="B5174E" w:val="clear"/>
            <w:tcMar>
              <w:top w:type="dxa" w:w="100"/>
              <w:left w:type="dxa" w:w="140"/>
              <w:bottom w:type="dxa" w:w="100"/>
              <w:right w:type="dxa" w:w="140"/>
            </w:tcMar>
          </w:tcPr>
          <w:p>
            <w:r>
              <w:rPr>
                <w:rFonts w:ascii="Arial" w:cs="Arial" w:eastAsia="Arial" w:hAnsi="Arial"/>
                <w:b/>
                <w:bCs/>
                <w:color w:val="FFFFFF"/>
                <w:sz w:val="20"/>
                <w:szCs w:val="20"/>
              </w:rPr>
              <w:t xml:space="preserve">Reproductive Effect</w:t>
            </w:r>
          </w:p>
        </w:tc>
        <w:tc>
          <w:tcPr>
            <w:tcW w:type="dxa" w:w="2300"/>
            <w:tcBorders>
              <w:top w:val="single" w:color="AAAAAA" w:sz="1"/>
              <w:left w:val="single" w:color="AAAAAA" w:sz="1"/>
              <w:bottom w:val="single" w:color="AAAAAA" w:sz="1"/>
              <w:right w:val="single" w:color="AAAAAA" w:sz="1"/>
            </w:tcBorders>
            <w:shd w:fill="B5174E" w:val="clear"/>
            <w:tcMar>
              <w:top w:type="dxa" w:w="100"/>
              <w:left w:type="dxa" w:w="140"/>
              <w:bottom w:type="dxa" w:w="100"/>
              <w:right w:type="dxa" w:w="140"/>
            </w:tcMar>
          </w:tcPr>
          <w:p>
            <w:r>
              <w:rPr>
                <w:rFonts w:ascii="Arial" w:cs="Arial" w:eastAsia="Arial" w:hAnsi="Arial"/>
                <w:b/>
                <w:bCs/>
                <w:color w:val="FFFFFF"/>
                <w:sz w:val="20"/>
                <w:szCs w:val="20"/>
              </w:rPr>
              <w:t xml:space="preserve">Reduction Strategy</w:t>
            </w:r>
          </w:p>
        </w:tc>
      </w:tr>
      <w:tr>
        <w:tc>
          <w:tcPr>
            <w:tcW w:type="dxa" w:w="15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BPA &amp; analogs (BPS, BPF)</w:t>
            </w:r>
          </w:p>
        </w:tc>
        <w:tc>
          <w:tcPr>
            <w:tcW w:type="dxa" w:w="16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Plastic #7 bottles, canned food linings, thermal receipts, dental sealants</w:t>
            </w:r>
          </w:p>
        </w:tc>
        <w:tc>
          <w:tcPr>
            <w:tcW w:type="dxa" w:w="18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Estrogen receptor agonist; disrupts HPO axis; alters gene methylation</w:t>
            </w:r>
          </w:p>
        </w:tc>
        <w:tc>
          <w:tcPr>
            <w:tcW w:type="dxa" w:w="21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Menstrual irregularity; reduced ovarian reserve; IVF failure; PCOS exacerbation; miscarriage risk</w:t>
            </w:r>
          </w:p>
        </w:tc>
        <w:tc>
          <w:tcPr>
            <w:tcW w:type="dxa" w:w="23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Choose glass/stainless steel storage; avoid canned goods or choose BPA-free; don't handle thermal receipts</w:t>
            </w:r>
          </w:p>
        </w:tc>
      </w:tr>
      <w:tr>
        <w:tc>
          <w:tcPr>
            <w:tcW w:type="dxa" w:w="156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Phthalates (DEHP, DBP, BBP)</w:t>
            </w:r>
          </w:p>
        </w:tc>
        <w:tc>
          <w:tcPr>
            <w:tcW w:type="dxa" w:w="16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Flexible plastics (food wrap, containers); fragrances; cosmetics; nail polish; vinyl flooring; IV tubing</w:t>
            </w:r>
          </w:p>
        </w:tc>
        <w:tc>
          <w:tcPr>
            <w:tcW w:type="dxa" w:w="18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Anti-androgenic; disrupt FSH/LH signaling in HPO axis; accelerate follicular atresia</w:t>
            </w:r>
          </w:p>
        </w:tc>
        <w:tc>
          <w:tcPr>
            <w:tcW w:type="dxa" w:w="21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Altered menstrual cyclicity; POI risk; PCOS; endometriosis; poor IVF outcomes; preterm birth</w:t>
            </w:r>
          </w:p>
        </w:tc>
        <w:tc>
          <w:tcPr>
            <w:tcW w:type="dxa" w:w="23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Choose 'fragrance-free'; avoid soft plastics for food; use natural cosmetics; never microwave in plastic</w:t>
            </w:r>
          </w:p>
        </w:tc>
      </w:tr>
      <w:tr>
        <w:tc>
          <w:tcPr>
            <w:tcW w:type="dxa" w:w="15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PFAS (PFOA, PFOS, PFAS)</w:t>
            </w:r>
          </w:p>
        </w:tc>
        <w:tc>
          <w:tcPr>
            <w:tcW w:type="dxa" w:w="16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Nonstick cookware (Teflon); food wrappers; waterproof clothing; firefighting foam; stain repellents; drinking water</w:t>
            </w:r>
          </w:p>
        </w:tc>
        <w:tc>
          <w:tcPr>
            <w:tcW w:type="dxa" w:w="18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Persist indefinitely; disrupt estrogen synthesis; promote follicular death; alter HPO signaling</w:t>
            </w:r>
          </w:p>
        </w:tc>
        <w:tc>
          <w:tcPr>
            <w:tcW w:type="dxa" w:w="21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Earlier menopause (~1–2 years); reduced ovarian reserve; lower implantation rates in IVF; infertility</w:t>
            </w:r>
          </w:p>
        </w:tc>
        <w:tc>
          <w:tcPr>
            <w:tcW w:type="dxa" w:w="23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Stainless steel or cast iron cookware; filter water (reverse osmosis removes PFAS); avoid stain-treated products</w:t>
            </w:r>
          </w:p>
        </w:tc>
      </w:tr>
      <w:tr>
        <w:tc>
          <w:tcPr>
            <w:tcW w:type="dxa" w:w="156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PCBs / Dioxins</w:t>
            </w:r>
          </w:p>
        </w:tc>
        <w:tc>
          <w:tcPr>
            <w:tcW w:type="dxa" w:w="16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Legacy industrial chemicals; still in environment via contaminated fish, meat, dairy; paper bleaching byproducts</w:t>
            </w:r>
          </w:p>
        </w:tc>
        <w:tc>
          <w:tcPr>
            <w:tcW w:type="dxa" w:w="18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Aryl hydrocarbon receptor activation; anti-estrogenic; immune dysregulation</w:t>
            </w:r>
          </w:p>
        </w:tc>
        <w:tc>
          <w:tcPr>
            <w:tcW w:type="dxa" w:w="21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Endometriosis (strong association); POI; ovarian aging acceleration; developmental toxicity to fetus</w:t>
            </w:r>
          </w:p>
        </w:tc>
        <w:tc>
          <w:tcPr>
            <w:tcW w:type="dxa" w:w="23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Reduce fatty animal product consumption (bioaccumulate); choose organic dairy/meat where possible</w:t>
            </w:r>
          </w:p>
        </w:tc>
      </w:tr>
      <w:tr>
        <w:tc>
          <w:tcPr>
            <w:tcW w:type="dxa" w:w="15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Organochlorine Pesticides (DDT, DDE)</w:t>
            </w:r>
          </w:p>
        </w:tc>
        <w:tc>
          <w:tcPr>
            <w:tcW w:type="dxa" w:w="16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Banned in developed world but persists in soil/water; imported food; some developing countries still use</w:t>
            </w:r>
          </w:p>
        </w:tc>
        <w:tc>
          <w:tcPr>
            <w:tcW w:type="dxa" w:w="18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Estrogen mimic or anti-androgen; follicular atresia acceleration; HPO disruption</w:t>
            </w:r>
          </w:p>
        </w:tc>
        <w:tc>
          <w:tcPr>
            <w:tcW w:type="dxa" w:w="21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Menstrual irregularity; earlier menarche; earlier menopause; PCOS-like picture; preterm birth</w:t>
            </w:r>
          </w:p>
        </w:tc>
        <w:tc>
          <w:tcPr>
            <w:tcW w:type="dxa" w:w="23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'Dirty Dozen' list (EWG): choose organic for highest-pesticide produce; wash all produce thoroughly</w:t>
            </w:r>
          </w:p>
        </w:tc>
      </w:tr>
      <w:tr>
        <w:tc>
          <w:tcPr>
            <w:tcW w:type="dxa" w:w="156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Heavy metals (Pb, Cd, Hg)</w:t>
            </w:r>
          </w:p>
        </w:tc>
        <w:tc>
          <w:tcPr>
            <w:tcW w:type="dxa" w:w="16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Lead: old paint, some cosmetics, water pipes; Cadmium: cigarettes, industrial; Mercury: fish (tuna, swordfish)</w:t>
            </w:r>
          </w:p>
        </w:tc>
        <w:tc>
          <w:tcPr>
            <w:tcW w:type="dxa" w:w="18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Oxidative damage to follicles; disrupt steroidogenesis; neurotoxic to developing fetus</w:t>
            </w:r>
          </w:p>
        </w:tc>
        <w:tc>
          <w:tcPr>
            <w:tcW w:type="dxa" w:w="21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Shortened reproductive years; reduced ovarian reserve; miscarriage; developmental defects</w:t>
            </w:r>
          </w:p>
        </w:tc>
        <w:tc>
          <w:tcPr>
            <w:tcW w:type="dxa" w:w="23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Stop smoking (cadmium source); test home water for lead; limit high-mercury fish in pregnancy</w:t>
            </w:r>
          </w:p>
        </w:tc>
      </w:tr>
      <w:tr>
        <w:tc>
          <w:tcPr>
            <w:tcW w:type="dxa" w:w="15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Microplastics</w:t>
            </w:r>
          </w:p>
        </w:tc>
        <w:tc>
          <w:tcPr>
            <w:tcW w:type="dxa" w:w="16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Tap and bottled water; sea salt; fish; food packaging; synthetic clothing (microfiber); air (indoor dust)</w:t>
            </w:r>
          </w:p>
        </w:tc>
        <w:tc>
          <w:tcPr>
            <w:tcW w:type="dxa" w:w="18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Physical carrier for EDCs (BPA, phthalates) into ovarian fluid; oxidative stress</w:t>
            </w:r>
          </w:p>
        </w:tc>
        <w:tc>
          <w:tcPr>
            <w:tcW w:type="dxa" w:w="21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Found in human follicular fluid (2025 Italian IVF study); impairs oocyte development and ART outcomes</w:t>
            </w:r>
          </w:p>
        </w:tc>
        <w:tc>
          <w:tcPr>
            <w:tcW w:type="dxa" w:w="23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Filter tap water; reduce plastic packaging; avoid synthetic fleece near food; vacuum frequently (plastic dust)</w:t>
            </w:r>
          </w:p>
        </w:tc>
      </w:tr>
      <w:tr>
        <w:tc>
          <w:tcPr>
            <w:tcW w:type="dxa" w:w="156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Parabens (methylparaben, propylparaben)</w:t>
            </w:r>
          </w:p>
        </w:tc>
        <w:tc>
          <w:tcPr>
            <w:tcW w:type="dxa" w:w="16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Cosmetics, shampoo, lotions, food preservatives — among highest skin absorption EDCs</w:t>
            </w:r>
          </w:p>
        </w:tc>
        <w:tc>
          <w:tcPr>
            <w:tcW w:type="dxa" w:w="18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Weak estrogenic activity; accumulate in breast tissue and reproductive organs</w:t>
            </w:r>
          </w:p>
        </w:tc>
        <w:tc>
          <w:tcPr>
            <w:tcW w:type="dxa" w:w="21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Linked to infertility in US women (NHANES study); breast cancer tissue studies</w:t>
            </w:r>
          </w:p>
        </w:tc>
        <w:tc>
          <w:tcPr>
            <w:tcW w:type="dxa" w:w="23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Choose 'paraben-free' cosmetics; read labels — any ingredient ending in '-paraben'</w:t>
            </w:r>
          </w:p>
        </w:tc>
      </w:tr>
      <w:tr>
        <w:tc>
          <w:tcPr>
            <w:tcW w:type="dxa" w:w="15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Air pollutants (PM2.5, NO2, O3)</w:t>
            </w:r>
          </w:p>
        </w:tc>
        <w:tc>
          <w:tcPr>
            <w:tcW w:type="dxa" w:w="16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Vehicle exhaust, industrial emissions, indoor cooking smoke</w:t>
            </w:r>
          </w:p>
        </w:tc>
        <w:tc>
          <w:tcPr>
            <w:tcW w:type="dxa" w:w="18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Oxidative stress; systemic inflammation; disrupts HPO via inflammatory cytokines</w:t>
            </w:r>
          </w:p>
        </w:tc>
        <w:tc>
          <w:tcPr>
            <w:tcW w:type="dxa" w:w="21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Impaired ovarian reserve; reduced IVF success rates; earlier menopause; menstrual irregularity</w:t>
            </w:r>
          </w:p>
        </w:tc>
        <w:tc>
          <w:tcPr>
            <w:tcW w:type="dxa" w:w="23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Air purifier (HEPA) indoors; reduce cooking smoke ventilation; check AQI and limit outdoor exercise on high-pollution days</w:t>
            </w:r>
          </w:p>
        </w:tc>
      </w:tr>
    </w:tbl>
    <w:p>
      <w:pPr>
        <w:spacing w:after="240"/>
      </w:pPr>
    </w:p>
    <w:p>
      <w:pPr>
        <w:pBdr>
          <w:bottom w:val="single" w:color="E0B4C4" w:sz="3"/>
        </w:pBdr>
        <w:spacing w:before="80" w:after="80"/>
      </w:pPr>
    </w:p>
    <w:p>
      <w:pPr>
        <w:pStyle w:val="Heading1"/>
        <w:spacing w:before="480" w:after="200"/>
      </w:pPr>
      <w:r>
        <w:rPr>
          <w:rFonts w:ascii="Arial" w:cs="Arial" w:eastAsia="Arial" w:hAnsi="Arial"/>
          <w:b/>
          <w:bCs/>
          <w:color w:val="B5174E"/>
          <w:sz w:val="38"/>
          <w:szCs w:val="38"/>
        </w:rPr>
        <w:t xml:space="preserve">DOMAIN 29: LGBTQ+ INCLUSIVE HEALTH &amp; TRANSGENDER MENSTRUAL CARE</w:t>
      </w:r>
    </w:p>
    <w:p>
      <w:pPr>
        <w:pBdr>
          <w:bottom w:val="single" w:color="E0B4C4" w:sz="3"/>
        </w:pBdr>
        <w:spacing w:before="80" w:after="80"/>
      </w:pPr>
    </w:p>
    <w:p>
      <w:pPr>
        <w:spacing w:after="120"/>
      </w:pPr>
      <w:r>
        <w:rPr>
          <w:rFonts w:ascii="Arial" w:cs="Arial" w:eastAsia="Arial" w:hAnsi="Arial"/>
          <w:color w:val="2D2D2D"/>
          <w:sz w:val="22"/>
          <w:szCs w:val="22"/>
        </w:rPr>
        <w:t xml:space="preserve">Up to 1.6 million people in the US identify as transgender or gender diverse. A women-centric AI must be inclusive of all people who menstruate — including transgender men, non-binary individuals, and others assigned female at birth (AFAB). This domain uses inclusive language while maintaining clinical accuracy.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5174E" w:sz="1"/>
              <w:left w:val="single" w:color="B5174E" w:sz="1"/>
              <w:bottom w:val="single" w:color="B5174E" w:sz="1"/>
              <w:right w:val="single" w:color="B5174E" w:sz="1"/>
            </w:tcBorders>
            <w:shd w:fill="FDF0F5" w:val="clear"/>
            <w:tcMar>
              <w:top w:type="dxa" w:w="160"/>
              <w:left w:type="dxa" w:w="220"/>
              <w:bottom w:type="dxa" w:w="160"/>
              <w:right w:type="dxa" w:w="220"/>
            </w:tcMar>
          </w:tcPr>
          <w:p>
            <w:pPr>
              <w:spacing w:after="100"/>
            </w:pPr>
            <w:r>
              <w:rPr>
                <w:rFonts w:ascii="Arial" w:cs="Arial" w:eastAsia="Arial" w:hAnsi="Arial"/>
                <w:b/>
                <w:bCs/>
                <w:color w:val="B5174E"/>
                <w:sz w:val="23"/>
                <w:szCs w:val="23"/>
              </w:rPr>
              <w:t xml:space="preserve">☑ CHECKLIST: DOMAIN 29 — LGBTQ+ &amp; TRANS HEALTH</w:t>
            </w:r>
          </w:p>
          <w:p>
            <w:pPr>
              <w:spacing w:after="70"/>
            </w:pPr>
            <w:r>
              <w:rPr>
                <w:rFonts w:ascii="Arial" w:cs="Arial" w:eastAsia="Arial" w:hAnsi="Arial"/>
                <w:color w:val="1A1A2E"/>
                <w:sz w:val="20"/>
                <w:szCs w:val="20"/>
              </w:rPr>
              <w:t xml:space="preserve">  01.  Inclusive language: AFAB (assigned female at birth), TGD (transgender and gender diverse), transmenstruators, menstruating people</w:t>
            </w:r>
          </w:p>
          <w:p>
            <w:pPr>
              <w:spacing w:after="70"/>
            </w:pPr>
            <w:r>
              <w:rPr>
                <w:rFonts w:ascii="Arial" w:cs="Arial" w:eastAsia="Arial" w:hAnsi="Arial"/>
                <w:color w:val="1A1A2E"/>
                <w:sz w:val="20"/>
                <w:szCs w:val="20"/>
              </w:rPr>
              <w:t xml:space="preserve">  02.  Testosterone GAHT (gender-affirming hormone therapy): mechanism of amenorrhea (endometrial atrophy), timeline, failure modes</w:t>
            </w:r>
          </w:p>
          <w:p>
            <w:pPr>
              <w:spacing w:after="70"/>
            </w:pPr>
            <w:r>
              <w:rPr>
                <w:rFonts w:ascii="Arial" w:cs="Arial" w:eastAsia="Arial" w:hAnsi="Arial"/>
                <w:color w:val="1A1A2E"/>
                <w:sz w:val="20"/>
                <w:szCs w:val="20"/>
              </w:rPr>
              <w:t xml:space="preserve">  03.  Testosterone amenorrhea timeline: 55% by 6 months (IM injection); median 151 days on testosterone alone</w:t>
            </w:r>
          </w:p>
          <w:p>
            <w:pPr>
              <w:spacing w:after="70"/>
            </w:pPr>
            <w:r>
              <w:rPr>
                <w:rFonts w:ascii="Arial" w:cs="Arial" w:eastAsia="Arial" w:hAnsi="Arial"/>
                <w:color w:val="1A1A2E"/>
                <w:sz w:val="20"/>
                <w:szCs w:val="20"/>
              </w:rPr>
              <w:t xml:space="preserve">  04.  Persistent breakthrough bleeding on testosterone: BMI, formulation, dose as predictors; add progestin options</w:t>
            </w:r>
          </w:p>
          <w:p>
            <w:pPr>
              <w:spacing w:after="70"/>
            </w:pPr>
            <w:r>
              <w:rPr>
                <w:rFonts w:ascii="Arial" w:cs="Arial" w:eastAsia="Arial" w:hAnsi="Arial"/>
                <w:color w:val="1A1A2E"/>
                <w:sz w:val="20"/>
                <w:szCs w:val="20"/>
              </w:rPr>
              <w:t xml:space="preserve">  05.  Gender dysphoria from menstruation: psychological burden, WPATH SOC-8 menstrual suppression recommendations</w:t>
            </w:r>
          </w:p>
          <w:p>
            <w:pPr>
              <w:spacing w:after="70"/>
            </w:pPr>
            <w:r>
              <w:rPr>
                <w:rFonts w:ascii="Arial" w:cs="Arial" w:eastAsia="Arial" w:hAnsi="Arial"/>
                <w:color w:val="1A1A2E"/>
                <w:sz w:val="20"/>
                <w:szCs w:val="20"/>
              </w:rPr>
              <w:t xml:space="preserve">  06.  Menstrual suppression options pre-testosterone: hormonal IUD (Mirena, 95% amenorrhea at 1yr), NETA, Depo-Provera, GnRH agonists</w:t>
            </w:r>
          </w:p>
          <w:p>
            <w:pPr>
              <w:spacing w:after="70"/>
            </w:pPr>
            <w:r>
              <w:rPr>
                <w:rFonts w:ascii="Arial" w:cs="Arial" w:eastAsia="Arial" w:hAnsi="Arial"/>
                <w:color w:val="1A1A2E"/>
                <w:sz w:val="20"/>
                <w:szCs w:val="20"/>
              </w:rPr>
              <w:t xml:space="preserve">  07.  NETA (norethindrone acetate) vs Depot leuprolide for fastest suppression: median 78 and 77 days respectively</w:t>
            </w:r>
          </w:p>
          <w:p>
            <w:pPr>
              <w:spacing w:after="70"/>
            </w:pPr>
            <w:r>
              <w:rPr>
                <w:rFonts w:ascii="Arial" w:cs="Arial" w:eastAsia="Arial" w:hAnsi="Arial"/>
                <w:color w:val="1A1A2E"/>
                <w:sz w:val="20"/>
                <w:szCs w:val="20"/>
              </w:rPr>
              <w:t xml:space="preserve">  08.  Fertility preservation for TGD-AFAB: oocyte cryopreservation, embryo banking before GAHT or surgery; low uptake (fears of dysphoria from procedures)</w:t>
            </w:r>
          </w:p>
          <w:p>
            <w:pPr>
              <w:spacing w:after="70"/>
            </w:pPr>
            <w:r>
              <w:rPr>
                <w:rFonts w:ascii="Arial" w:cs="Arial" w:eastAsia="Arial" w:hAnsi="Arial"/>
                <w:color w:val="1A1A2E"/>
                <w:sz w:val="20"/>
                <w:szCs w:val="20"/>
              </w:rPr>
              <w:t xml:space="preserve">  09.  Breakthrough ovulation on testosterone: still possible; pregnancy risk even when amenorrheic; contraception essential</w:t>
            </w:r>
          </w:p>
          <w:p>
            <w:pPr>
              <w:spacing w:after="70"/>
            </w:pPr>
            <w:r>
              <w:rPr>
                <w:rFonts w:ascii="Arial" w:cs="Arial" w:eastAsia="Arial" w:hAnsi="Arial"/>
                <w:color w:val="1A1A2E"/>
                <w:sz w:val="20"/>
                <w:szCs w:val="20"/>
              </w:rPr>
              <w:t xml:space="preserve">  10.  20% of pregnancies in testosterone-using trans men occurred during amenorrhea (Brandt study)</w:t>
            </w:r>
          </w:p>
          <w:p>
            <w:pPr>
              <w:spacing w:after="70"/>
            </w:pPr>
            <w:r>
              <w:rPr>
                <w:rFonts w:ascii="Arial" w:cs="Arial" w:eastAsia="Arial" w:hAnsi="Arial"/>
                <w:color w:val="1A1A2E"/>
                <w:sz w:val="20"/>
                <w:szCs w:val="20"/>
              </w:rPr>
              <w:t xml:space="preserve">  11.  Pregnancy in transgender men: testosterone must be stopped; fertility usually preserved if oophorectomy not performed</w:t>
            </w:r>
          </w:p>
          <w:p>
            <w:pPr>
              <w:spacing w:after="70"/>
            </w:pPr>
            <w:r>
              <w:rPr>
                <w:rFonts w:ascii="Arial" w:cs="Arial" w:eastAsia="Arial" w:hAnsi="Arial"/>
                <w:color w:val="1A1A2E"/>
                <w:sz w:val="20"/>
                <w:szCs w:val="20"/>
              </w:rPr>
              <w:t xml:space="preserve">  12.  Lesbian/bisexual women: higher PCOS rates in some studies; different STI risk profile; Pap smear still needed</w:t>
            </w:r>
          </w:p>
          <w:p>
            <w:pPr>
              <w:spacing w:after="70"/>
            </w:pPr>
            <w:r>
              <w:rPr>
                <w:rFonts w:ascii="Arial" w:cs="Arial" w:eastAsia="Arial" w:hAnsi="Arial"/>
                <w:color w:val="1A1A2E"/>
                <w:sz w:val="20"/>
                <w:szCs w:val="20"/>
              </w:rPr>
              <w:t xml:space="preserve">  13.  Intersex conditions: DSDs (differences of sex development), ambiguous genitalia, complete androgen insensitivity — menstrual implications</w:t>
            </w:r>
          </w:p>
          <w:p>
            <w:pPr>
              <w:spacing w:after="70"/>
            </w:pPr>
            <w:r>
              <w:rPr>
                <w:rFonts w:ascii="Arial" w:cs="Arial" w:eastAsia="Arial" w:hAnsi="Arial"/>
                <w:color w:val="1A1A2E"/>
                <w:sz w:val="20"/>
                <w:szCs w:val="20"/>
              </w:rPr>
              <w:t xml:space="preserve">  14.  Gender-affirming clinical communication: avoid gendered language, use name/pronouns, create inclusive intake forms</w:t>
            </w:r>
          </w:p>
          <w:p>
            <w:pPr>
              <w:spacing w:after="70"/>
            </w:pPr>
            <w:r>
              <w:rPr>
                <w:rFonts w:ascii="Arial" w:cs="Arial" w:eastAsia="Arial" w:hAnsi="Arial"/>
                <w:color w:val="1A1A2E"/>
                <w:sz w:val="20"/>
                <w:szCs w:val="20"/>
              </w:rPr>
              <w:t xml:space="preserve">  15.  WPATH SOC-8 (2022): current standard of care for TGD health; includes menstrual management chapter</w:t>
            </w:r>
          </w:p>
        </w:tc>
      </w:tr>
    </w:tbl>
    <w:p>
      <w:pPr>
        <w:spacing w:after="120"/>
      </w:pPr>
    </w:p>
    <w:p>
      <w:pPr>
        <w:pStyle w:val="Heading2"/>
        <w:spacing w:before="320" w:after="140"/>
      </w:pPr>
      <w:r>
        <w:rPr>
          <w:rFonts w:ascii="Arial" w:cs="Arial" w:eastAsia="Arial" w:hAnsi="Arial"/>
          <w:b/>
          <w:bCs/>
          <w:color w:val="1A1A2E"/>
          <w:sz w:val="28"/>
          <w:szCs w:val="28"/>
        </w:rPr>
        <w:t xml:space="preserve">29.1 Testosterone Effects on Menstruation — Timeline and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100"/>
        <w:gridCol w:w="3060"/>
      </w:tblGrid>
      <w:tr>
        <w:trPr>
          <w:tblHeader/>
        </w:trPr>
        <w:tc>
          <w:tcPr>
            <w:tcW w:type="dxa" w:w="2200"/>
            <w:tcBorders>
              <w:top w:val="single" w:color="AAAAAA" w:sz="1"/>
              <w:left w:val="single" w:color="AAAAAA" w:sz="1"/>
              <w:bottom w:val="single" w:color="AAAAAA" w:sz="1"/>
              <w:right w:val="single" w:color="AAAAAA" w:sz="1"/>
            </w:tcBorders>
            <w:shd w:fill="B5174E" w:val="clear"/>
            <w:tcMar>
              <w:top w:type="dxa" w:w="100"/>
              <w:left w:type="dxa" w:w="140"/>
              <w:bottom w:type="dxa" w:w="100"/>
              <w:right w:type="dxa" w:w="140"/>
            </w:tcMar>
          </w:tcPr>
          <w:p>
            <w:r>
              <w:rPr>
                <w:rFonts w:ascii="Arial" w:cs="Arial" w:eastAsia="Arial" w:hAnsi="Arial"/>
                <w:b/>
                <w:bCs/>
                <w:color w:val="FFFFFF"/>
                <w:sz w:val="20"/>
                <w:szCs w:val="20"/>
              </w:rPr>
              <w:t xml:space="preserve">Testosterone Route</w:t>
            </w:r>
          </w:p>
        </w:tc>
        <w:tc>
          <w:tcPr>
            <w:tcW w:type="dxa" w:w="2000"/>
            <w:tcBorders>
              <w:top w:val="single" w:color="AAAAAA" w:sz="1"/>
              <w:left w:val="single" w:color="AAAAAA" w:sz="1"/>
              <w:bottom w:val="single" w:color="AAAAAA" w:sz="1"/>
              <w:right w:val="single" w:color="AAAAAA" w:sz="1"/>
            </w:tcBorders>
            <w:shd w:fill="B5174E" w:val="clear"/>
            <w:tcMar>
              <w:top w:type="dxa" w:w="100"/>
              <w:left w:type="dxa" w:w="140"/>
              <w:bottom w:type="dxa" w:w="100"/>
              <w:right w:type="dxa" w:w="140"/>
            </w:tcMar>
          </w:tcPr>
          <w:p>
            <w:r>
              <w:rPr>
                <w:rFonts w:ascii="Arial" w:cs="Arial" w:eastAsia="Arial" w:hAnsi="Arial"/>
                <w:b/>
                <w:bCs/>
                <w:color w:val="FFFFFF"/>
                <w:sz w:val="20"/>
                <w:szCs w:val="20"/>
              </w:rPr>
              <w:t xml:space="preserve">Amenorrhea by 6 months</w:t>
            </w:r>
          </w:p>
        </w:tc>
        <w:tc>
          <w:tcPr>
            <w:tcW w:type="dxa" w:w="2100"/>
            <w:tcBorders>
              <w:top w:val="single" w:color="AAAAAA" w:sz="1"/>
              <w:left w:val="single" w:color="AAAAAA" w:sz="1"/>
              <w:bottom w:val="single" w:color="AAAAAA" w:sz="1"/>
              <w:right w:val="single" w:color="AAAAAA" w:sz="1"/>
            </w:tcBorders>
            <w:shd w:fill="B5174E" w:val="clear"/>
            <w:tcMar>
              <w:top w:type="dxa" w:w="100"/>
              <w:left w:type="dxa" w:w="140"/>
              <w:bottom w:type="dxa" w:w="100"/>
              <w:right w:type="dxa" w:w="140"/>
            </w:tcMar>
          </w:tcPr>
          <w:p>
            <w:r>
              <w:rPr>
                <w:rFonts w:ascii="Arial" w:cs="Arial" w:eastAsia="Arial" w:hAnsi="Arial"/>
                <w:b/>
                <w:bCs/>
                <w:color w:val="FFFFFF"/>
                <w:sz w:val="20"/>
                <w:szCs w:val="20"/>
              </w:rPr>
              <w:t xml:space="preserve">Median Time to Cessation</w:t>
            </w:r>
          </w:p>
        </w:tc>
        <w:tc>
          <w:tcPr>
            <w:tcW w:type="dxa" w:w="3060"/>
            <w:tcBorders>
              <w:top w:val="single" w:color="AAAAAA" w:sz="1"/>
              <w:left w:val="single" w:color="AAAAAA" w:sz="1"/>
              <w:bottom w:val="single" w:color="AAAAAA" w:sz="1"/>
              <w:right w:val="single" w:color="AAAAAA" w:sz="1"/>
            </w:tcBorders>
            <w:shd w:fill="B5174E"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22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Intramuscular (IM) injection</w:t>
            </w:r>
          </w:p>
        </w:tc>
        <w:tc>
          <w:tcPr>
            <w:tcW w:type="dxa" w:w="20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55% (clinical series) to 84–97% (various studies)</w:t>
            </w:r>
          </w:p>
        </w:tc>
        <w:tc>
          <w:tcPr>
            <w:tcW w:type="dxa" w:w="21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~151 days (testosterone alone)</w:t>
            </w:r>
          </w:p>
        </w:tc>
        <w:tc>
          <w:tcPr>
            <w:tcW w:type="dxa" w:w="30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Most studied route; peak/trough levels may affect bleeding pattern</w:t>
            </w:r>
          </w:p>
        </w:tc>
      </w:tr>
      <w:tr>
        <w:tc>
          <w:tcPr>
            <w:tcW w:type="dxa" w:w="22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Subcutaneous injection</w:t>
            </w:r>
          </w:p>
        </w:tc>
        <w:tc>
          <w:tcPr>
            <w:tcW w:type="dxa" w:w="20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~85% in adolescents</w:t>
            </w:r>
          </w:p>
        </w:tc>
        <w:tc>
          <w:tcPr>
            <w:tcW w:type="dxa" w:w="21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Similar to IM</w:t>
            </w:r>
          </w:p>
        </w:tc>
        <w:tc>
          <w:tcPr>
            <w:tcW w:type="dxa" w:w="306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Smoother hormone levels; adolescent-specific data</w:t>
            </w:r>
          </w:p>
        </w:tc>
      </w:tr>
      <w:tr>
        <w:tc>
          <w:tcPr>
            <w:tcW w:type="dxa" w:w="22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Gel / cream (transdermal)</w:t>
            </w:r>
          </w:p>
        </w:tc>
        <w:tc>
          <w:tcPr>
            <w:tcW w:type="dxa" w:w="20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Lower cessation rate — gel odds &gt;10x higher for persistent bleeding than injections</w:t>
            </w:r>
          </w:p>
        </w:tc>
        <w:tc>
          <w:tcPr>
            <w:tcW w:type="dxa" w:w="21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Longer — often 6–12 months</w:t>
            </w:r>
          </w:p>
        </w:tc>
        <w:tc>
          <w:tcPr>
            <w:tcW w:type="dxa" w:w="30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Consistent but lower peak levels; often insufficient for amenorrhea</w:t>
            </w:r>
          </w:p>
        </w:tc>
      </w:tr>
      <w:tr>
        <w:tc>
          <w:tcPr>
            <w:tcW w:type="dxa" w:w="22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Testosterone + NETA (add-on progestin)</w:t>
            </w:r>
          </w:p>
        </w:tc>
        <w:tc>
          <w:tcPr>
            <w:tcW w:type="dxa" w:w="20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~95% at 1 year</w:t>
            </w:r>
          </w:p>
        </w:tc>
        <w:tc>
          <w:tcPr>
            <w:tcW w:type="dxa" w:w="21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~56 days (with NETA added)</w:t>
            </w:r>
          </w:p>
        </w:tc>
        <w:tc>
          <w:tcPr>
            <w:tcW w:type="dxa" w:w="306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Adding NETA norethindrone acetate markedly accelerates amenorrhea</w:t>
            </w:r>
          </w:p>
        </w:tc>
      </w:tr>
      <w:tr>
        <w:tc>
          <w:tcPr>
            <w:tcW w:type="dxa" w:w="22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Depot medroxyprogesterone (Depo-Provera) alone</w:t>
            </w:r>
          </w:p>
        </w:tc>
        <w:tc>
          <w:tcPr>
            <w:tcW w:type="dxa" w:w="20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~50% at 6 months, ~75% at 12 months</w:t>
            </w:r>
          </w:p>
        </w:tc>
        <w:tc>
          <w:tcPr>
            <w:tcW w:type="dxa" w:w="21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Variable</w:t>
            </w:r>
          </w:p>
        </w:tc>
        <w:tc>
          <w:tcPr>
            <w:tcW w:type="dxa" w:w="30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Used when GAHT not yet started or desired; fewer systemic effects</w:t>
            </w:r>
          </w:p>
        </w:tc>
      </w:tr>
      <w:tr>
        <w:tc>
          <w:tcPr>
            <w:tcW w:type="dxa" w:w="22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Hormonal IUD (Mirena) alone</w:t>
            </w:r>
          </w:p>
        </w:tc>
        <w:tc>
          <w:tcPr>
            <w:tcW w:type="dxa" w:w="20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Up to 95% at 1 year</w:t>
            </w:r>
          </w:p>
        </w:tc>
        <w:tc>
          <w:tcPr>
            <w:tcW w:type="dxa" w:w="21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3–6 months for full suppression</w:t>
            </w:r>
          </w:p>
        </w:tc>
        <w:tc>
          <w:tcPr>
            <w:tcW w:type="dxa" w:w="306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Local progestin; safe; effective for TGD patients not ready for testosterone; no systemic masculinization</w:t>
            </w:r>
          </w:p>
        </w:tc>
      </w:tr>
      <w:tr>
        <w:tc>
          <w:tcPr>
            <w:tcW w:type="dxa" w:w="22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GnRH agonist (depot leuprolide)</w:t>
            </w:r>
          </w:p>
        </w:tc>
        <w:tc>
          <w:tcPr>
            <w:tcW w:type="dxa" w:w="20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Near-complete suppression</w:t>
            </w:r>
          </w:p>
        </w:tc>
        <w:tc>
          <w:tcPr>
            <w:tcW w:type="dxa" w:w="21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~77 days</w:t>
            </w:r>
          </w:p>
        </w:tc>
        <w:tc>
          <w:tcPr>
            <w:tcW w:type="dxa" w:w="30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Fastest non-testosterone option; used in adolescents; expensive</w:t>
            </w:r>
          </w:p>
        </w:tc>
      </w:tr>
    </w:tbl>
    <w:p>
      <w:pPr>
        <w:spacing w:after="120"/>
      </w:pPr>
    </w:p>
    <w:p>
      <w:pPr>
        <w:pStyle w:val="Heading2"/>
        <w:spacing w:before="320" w:after="140"/>
      </w:pPr>
      <w:r>
        <w:rPr>
          <w:rFonts w:ascii="Arial" w:cs="Arial" w:eastAsia="Arial" w:hAnsi="Arial"/>
          <w:b/>
          <w:bCs/>
          <w:color w:val="1A1A2E"/>
          <w:sz w:val="28"/>
          <w:szCs w:val="28"/>
        </w:rPr>
        <w:t xml:space="preserve">29.2 Gender-Affirming Clinical Communication for 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D28D9" w:sz="1"/>
              <w:left w:val="single" w:color="6D28D9" w:sz="1"/>
              <w:bottom w:val="single" w:color="6D28D9" w:sz="1"/>
              <w:right w:val="single" w:color="6D28D9" w:sz="1"/>
            </w:tcBorders>
            <w:shd w:fill="EDE9FE" w:val="clear"/>
            <w:tcMar>
              <w:top w:type="dxa" w:w="160"/>
              <w:left w:type="dxa" w:w="200"/>
              <w:bottom w:type="dxa" w:w="160"/>
              <w:right w:type="dxa" w:w="200"/>
            </w:tcMar>
          </w:tcPr>
          <w:p>
            <w:pPr>
              <w:spacing w:after="80"/>
            </w:pPr>
            <w:r>
              <w:rPr>
                <w:rFonts w:ascii="Arial" w:cs="Arial" w:eastAsia="Arial" w:hAnsi="Arial"/>
                <w:b/>
                <w:bCs/>
                <w:color w:val="6D28D9"/>
                <w:sz w:val="22"/>
                <w:szCs w:val="22"/>
              </w:rPr>
              <w:t xml:space="preserve">🏳️‍⚧️  AI INCLUSIVE DESIGN — LANGUAGE AND INTAKE FORM PRINCIPLES</w:t>
            </w:r>
          </w:p>
          <w:p>
            <w:pPr>
              <w:spacing w:after="60"/>
            </w:pPr>
            <w:r>
              <w:rPr>
                <w:rFonts w:ascii="Arial" w:cs="Arial" w:eastAsia="Arial" w:hAnsi="Arial"/>
                <w:color w:val="333333"/>
                <w:sz w:val="20"/>
                <w:szCs w:val="20"/>
              </w:rPr>
              <w:t xml:space="preserve">1. INTAKE FORM: Never ask 'Are you male or female?' — ask 'What is your gender identity?' + 'What sex were you assigned at birth?'</w:t>
            </w:r>
          </w:p>
          <w:p>
            <w:pPr>
              <w:spacing w:after="60"/>
            </w:pPr>
            <w:r>
              <w:rPr>
                <w:rFonts w:ascii="Arial" w:cs="Arial" w:eastAsia="Arial" w:hAnsi="Arial"/>
                <w:color w:val="333333"/>
                <w:sz w:val="20"/>
                <w:szCs w:val="20"/>
              </w:rPr>
              <w:t xml:space="preserve">2. PRONOUNS: Always offer preferred pronoun field. Store and use consistently across the conversation.</w:t>
            </w:r>
          </w:p>
          <w:p>
            <w:pPr>
              <w:spacing w:after="60"/>
            </w:pPr>
            <w:r>
              <w:rPr>
                <w:rFonts w:ascii="Arial" w:cs="Arial" w:eastAsia="Arial" w:hAnsi="Arial"/>
                <w:color w:val="333333"/>
                <w:sz w:val="20"/>
                <w:szCs w:val="20"/>
              </w:rPr>
              <w:t xml:space="preserve">3. BODY PARTS: Use anatomical language (uterus, ovaries, vagina) without gendered framing — 'your uterus' not 'her uterus'.</w:t>
            </w:r>
          </w:p>
          <w:p>
            <w:pPr>
              <w:spacing w:after="60"/>
            </w:pPr>
            <w:r>
              <w:rPr>
                <w:rFonts w:ascii="Arial" w:cs="Arial" w:eastAsia="Arial" w:hAnsi="Arial"/>
                <w:color w:val="333333"/>
                <w:sz w:val="20"/>
                <w:szCs w:val="20"/>
              </w:rPr>
              <w:t xml:space="preserve">4. PERIOD LANGUAGE: Offer 'period', 'menstruation', 'monthly bleeding' — let the user choose what feels right.</w:t>
            </w:r>
          </w:p>
          <w:p>
            <w:pPr>
              <w:spacing w:after="60"/>
            </w:pPr>
            <w:r>
              <w:rPr>
                <w:rFonts w:ascii="Arial" w:cs="Arial" w:eastAsia="Arial" w:hAnsi="Arial"/>
                <w:color w:val="333333"/>
                <w:sz w:val="20"/>
                <w:szCs w:val="20"/>
              </w:rPr>
              <w:t xml:space="preserve">5. NO ASSUMPTIONS: Do not assume a person asking about periods identifies as a woman.</w:t>
            </w:r>
          </w:p>
          <w:p>
            <w:pPr>
              <w:spacing w:after="60"/>
            </w:pPr>
            <w:r>
              <w:rPr>
                <w:rFonts w:ascii="Arial" w:cs="Arial" w:eastAsia="Arial" w:hAnsi="Arial"/>
                <w:color w:val="333333"/>
                <w:sz w:val="20"/>
                <w:szCs w:val="20"/>
              </w:rPr>
              <w:t xml:space="preserve">6. DYSPHORIA AWARENESS: If a user expresses distress about having periods, acknowledge it with sensitivity before providing clinical information.</w:t>
            </w:r>
          </w:p>
          <w:p>
            <w:pPr>
              <w:spacing w:after="60"/>
            </w:pPr>
            <w:r>
              <w:rPr>
                <w:rFonts w:ascii="Arial" w:cs="Arial" w:eastAsia="Arial" w:hAnsi="Arial"/>
                <w:color w:val="333333"/>
                <w:sz w:val="20"/>
                <w:szCs w:val="20"/>
              </w:rPr>
              <w:t xml:space="preserve">7. FERTILITY COUNSELING: Always offer fertility preservation information to TGD-AFAB individuals before GAHT or surgery — do not assume they don't want children.</w:t>
            </w:r>
          </w:p>
          <w:p>
            <w:pPr>
              <w:spacing w:after="60"/>
            </w:pPr>
            <w:r>
              <w:rPr>
                <w:rFonts w:ascii="Arial" w:cs="Arial" w:eastAsia="Arial" w:hAnsi="Arial"/>
                <w:color w:val="333333"/>
                <w:sz w:val="20"/>
                <w:szCs w:val="20"/>
              </w:rPr>
              <w:t xml:space="preserve">8. CONTRACEPTION: Even amenorrheic TGD individuals on testosterone can ovulate — always discuss contraception if sexually active with sperm-producing partners.</w:t>
            </w:r>
          </w:p>
          <w:p>
            <w:pPr>
              <w:spacing w:after="60"/>
            </w:pPr>
            <w:r>
              <w:rPr>
                <w:rFonts w:ascii="Arial" w:cs="Arial" w:eastAsia="Arial" w:hAnsi="Arial"/>
                <w:color w:val="333333"/>
                <w:sz w:val="20"/>
                <w:szCs w:val="20"/>
              </w:rPr>
              <w:t xml:space="preserve">9. SCREENING: Transgender men with a cervix still need cervical cancer screening per CIS female schedule — do not omit.</w:t>
            </w:r>
          </w:p>
          <w:p>
            <w:pPr>
              <w:spacing w:after="60"/>
            </w:pPr>
            <w:r>
              <w:rPr>
                <w:rFonts w:ascii="Arial" w:cs="Arial" w:eastAsia="Arial" w:hAnsi="Arial"/>
                <w:color w:val="333333"/>
                <w:sz w:val="20"/>
                <w:szCs w:val="20"/>
              </w:rPr>
              <w:t xml:space="preserve">10. SAFE SPACE: Use non-judgmental language; validate experiences; normalize care-seeking regardless of gender identity.</w:t>
            </w:r>
          </w:p>
        </w:tc>
      </w:tr>
    </w:tbl>
    <w:p>
      <w:pPr>
        <w:spacing w:after="240"/>
      </w:pPr>
    </w:p>
    <w:p>
      <w:pPr>
        <w:pBdr>
          <w:bottom w:val="single" w:color="E0B4C4" w:sz="3"/>
        </w:pBdr>
        <w:spacing w:before="80" w:after="80"/>
      </w:pPr>
    </w:p>
    <w:p>
      <w:pPr>
        <w:pStyle w:val="Heading1"/>
        <w:spacing w:before="480" w:after="200"/>
      </w:pPr>
      <w:r>
        <w:rPr>
          <w:rFonts w:ascii="Arial" w:cs="Arial" w:eastAsia="Arial" w:hAnsi="Arial"/>
          <w:b/>
          <w:bCs/>
          <w:color w:val="B5174E"/>
          <w:sz w:val="38"/>
          <w:szCs w:val="38"/>
        </w:rPr>
        <w:t xml:space="preserve">DOMAIN 30: MENSTRUAL PRODUCTS — COMPLETE COMPARATIVE GUIDE</w:t>
      </w:r>
    </w:p>
    <w:p>
      <w:pPr>
        <w:pBdr>
          <w:bottom w:val="single" w:color="E0B4C4" w:sz="3"/>
        </w:pBdr>
        <w:spacing w:before="80" w:after="80"/>
      </w:pPr>
    </w:p>
    <w:p>
      <w:pPr>
        <w:spacing w:after="120"/>
      </w:pPr>
      <w:r>
        <w:rPr>
          <w:rFonts w:ascii="Arial" w:cs="Arial" w:eastAsia="Arial" w:hAnsi="Arial"/>
          <w:color w:val="2D2D2D"/>
          <w:sz w:val="22"/>
          <w:szCs w:val="22"/>
        </w:rPr>
        <w:t xml:space="preserve">A women-centric AI should be able to advise on menstrual product choice based on flow, lifestyle, body anatomy, health conditions, cultural preferences, and environmental values. This is a frequent practical query that requires accurate, non-judgmental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300"/>
        <w:gridCol w:w="1200"/>
        <w:gridCol w:w="1400"/>
        <w:gridCol w:w="900"/>
        <w:gridCol w:w="1200"/>
        <w:gridCol w:w="1200"/>
        <w:gridCol w:w="1160"/>
        <w:gridCol w:w="1600"/>
      </w:tblGrid>
      <w:tr>
        <w:trPr>
          <w:tblHeader/>
        </w:trPr>
        <w:tc>
          <w:tcPr>
            <w:tcW w:type="dxa" w:w="1400"/>
            <w:tcBorders>
              <w:top w:val="single" w:color="AAAAAA" w:sz="1"/>
              <w:left w:val="single" w:color="AAAAAA" w:sz="1"/>
              <w:bottom w:val="single" w:color="AAAAAA" w:sz="1"/>
              <w:right w:val="single" w:color="AAAAAA" w:sz="1"/>
            </w:tcBorders>
            <w:shd w:fill="B5174E" w:val="clear"/>
            <w:tcMar>
              <w:top w:type="dxa" w:w="100"/>
              <w:left w:type="dxa" w:w="140"/>
              <w:bottom w:type="dxa" w:w="100"/>
              <w:right w:type="dxa" w:w="140"/>
            </w:tcMar>
          </w:tcPr>
          <w:p>
            <w:r>
              <w:rPr>
                <w:rFonts w:ascii="Arial" w:cs="Arial" w:eastAsia="Arial" w:hAnsi="Arial"/>
                <w:b/>
                <w:bCs/>
                <w:color w:val="FFFFFF"/>
                <w:sz w:val="20"/>
                <w:szCs w:val="20"/>
              </w:rPr>
              <w:t xml:space="preserve">Product</w:t>
            </w:r>
          </w:p>
        </w:tc>
        <w:tc>
          <w:tcPr>
            <w:tcW w:type="dxa" w:w="1300"/>
            <w:tcBorders>
              <w:top w:val="single" w:color="AAAAAA" w:sz="1"/>
              <w:left w:val="single" w:color="AAAAAA" w:sz="1"/>
              <w:bottom w:val="single" w:color="AAAAAA" w:sz="1"/>
              <w:right w:val="single" w:color="AAAAAA" w:sz="1"/>
            </w:tcBorders>
            <w:shd w:fill="B5174E" w:val="clear"/>
            <w:tcMar>
              <w:top w:type="dxa" w:w="100"/>
              <w:left w:type="dxa" w:w="140"/>
              <w:bottom w:type="dxa" w:w="100"/>
              <w:right w:type="dxa" w:w="140"/>
            </w:tcMar>
          </w:tcPr>
          <w:p>
            <w:r>
              <w:rPr>
                <w:rFonts w:ascii="Arial" w:cs="Arial" w:eastAsia="Arial" w:hAnsi="Arial"/>
                <w:b/>
                <w:bCs/>
                <w:color w:val="FFFFFF"/>
                <w:sz w:val="20"/>
                <w:szCs w:val="20"/>
              </w:rPr>
              <w:t xml:space="preserve">Material</w:t>
            </w:r>
          </w:p>
        </w:tc>
        <w:tc>
          <w:tcPr>
            <w:tcW w:type="dxa" w:w="1200"/>
            <w:tcBorders>
              <w:top w:val="single" w:color="AAAAAA" w:sz="1"/>
              <w:left w:val="single" w:color="AAAAAA" w:sz="1"/>
              <w:bottom w:val="single" w:color="AAAAAA" w:sz="1"/>
              <w:right w:val="single" w:color="AAAAAA" w:sz="1"/>
            </w:tcBorders>
            <w:shd w:fill="B5174E" w:val="clear"/>
            <w:tcMar>
              <w:top w:type="dxa" w:w="100"/>
              <w:left w:type="dxa" w:w="140"/>
              <w:bottom w:type="dxa" w:w="100"/>
              <w:right w:type="dxa" w:w="140"/>
            </w:tcMar>
          </w:tcPr>
          <w:p>
            <w:r>
              <w:rPr>
                <w:rFonts w:ascii="Arial" w:cs="Arial" w:eastAsia="Arial" w:hAnsi="Arial"/>
                <w:b/>
                <w:bCs/>
                <w:color w:val="FFFFFF"/>
                <w:sz w:val="20"/>
                <w:szCs w:val="20"/>
              </w:rPr>
              <w:t xml:space="preserve">Capacity</w:t>
            </w:r>
          </w:p>
        </w:tc>
        <w:tc>
          <w:tcPr>
            <w:tcW w:type="dxa" w:w="1400"/>
            <w:tcBorders>
              <w:top w:val="single" w:color="AAAAAA" w:sz="1"/>
              <w:left w:val="single" w:color="AAAAAA" w:sz="1"/>
              <w:bottom w:val="single" w:color="AAAAAA" w:sz="1"/>
              <w:right w:val="single" w:color="AAAAAA" w:sz="1"/>
            </w:tcBorders>
            <w:shd w:fill="B5174E" w:val="clear"/>
            <w:tcMar>
              <w:top w:type="dxa" w:w="100"/>
              <w:left w:type="dxa" w:w="140"/>
              <w:bottom w:type="dxa" w:w="100"/>
              <w:right w:type="dxa" w:w="140"/>
            </w:tcMar>
          </w:tcPr>
          <w:p>
            <w:r>
              <w:rPr>
                <w:rFonts w:ascii="Arial" w:cs="Arial" w:eastAsia="Arial" w:hAnsi="Arial"/>
                <w:b/>
                <w:bCs/>
                <w:color w:val="FFFFFF"/>
                <w:sz w:val="20"/>
                <w:szCs w:val="20"/>
              </w:rPr>
              <w:t xml:space="preserve">Avg Duration Before Change</w:t>
            </w:r>
          </w:p>
        </w:tc>
        <w:tc>
          <w:tcPr>
            <w:tcW w:type="dxa" w:w="900"/>
            <w:tcBorders>
              <w:top w:val="single" w:color="AAAAAA" w:sz="1"/>
              <w:left w:val="single" w:color="AAAAAA" w:sz="1"/>
              <w:bottom w:val="single" w:color="AAAAAA" w:sz="1"/>
              <w:right w:val="single" w:color="AAAAAA" w:sz="1"/>
            </w:tcBorders>
            <w:shd w:fill="B5174E" w:val="clear"/>
            <w:tcMar>
              <w:top w:type="dxa" w:w="100"/>
              <w:left w:type="dxa" w:w="140"/>
              <w:bottom w:type="dxa" w:w="100"/>
              <w:right w:type="dxa" w:w="140"/>
            </w:tcMar>
          </w:tcPr>
          <w:p>
            <w:r>
              <w:rPr>
                <w:rFonts w:ascii="Arial" w:cs="Arial" w:eastAsia="Arial" w:hAnsi="Arial"/>
                <w:b/>
                <w:bCs/>
                <w:color w:val="FFFFFF"/>
                <w:sz w:val="20"/>
                <w:szCs w:val="20"/>
              </w:rPr>
              <w:t xml:space="preserve">TSS Risk</w:t>
            </w:r>
          </w:p>
        </w:tc>
        <w:tc>
          <w:tcPr>
            <w:tcW w:type="dxa" w:w="1200"/>
            <w:tcBorders>
              <w:top w:val="single" w:color="AAAAAA" w:sz="1"/>
              <w:left w:val="single" w:color="AAAAAA" w:sz="1"/>
              <w:bottom w:val="single" w:color="AAAAAA" w:sz="1"/>
              <w:right w:val="single" w:color="AAAAAA" w:sz="1"/>
            </w:tcBorders>
            <w:shd w:fill="B5174E" w:val="clear"/>
            <w:tcMar>
              <w:top w:type="dxa" w:w="100"/>
              <w:left w:type="dxa" w:w="140"/>
              <w:bottom w:type="dxa" w:w="100"/>
              <w:right w:type="dxa" w:w="140"/>
            </w:tcMar>
          </w:tcPr>
          <w:p>
            <w:r>
              <w:rPr>
                <w:rFonts w:ascii="Arial" w:cs="Arial" w:eastAsia="Arial" w:hAnsi="Arial"/>
                <w:b/>
                <w:bCs/>
                <w:color w:val="FFFFFF"/>
                <w:sz w:val="20"/>
                <w:szCs w:val="20"/>
              </w:rPr>
              <w:t xml:space="preserve">pH Impact</w:t>
            </w:r>
          </w:p>
        </w:tc>
        <w:tc>
          <w:tcPr>
            <w:tcW w:type="dxa" w:w="1200"/>
            <w:tcBorders>
              <w:top w:val="single" w:color="AAAAAA" w:sz="1"/>
              <w:left w:val="single" w:color="AAAAAA" w:sz="1"/>
              <w:bottom w:val="single" w:color="AAAAAA" w:sz="1"/>
              <w:right w:val="single" w:color="AAAAAA" w:sz="1"/>
            </w:tcBorders>
            <w:shd w:fill="B5174E" w:val="clear"/>
            <w:tcMar>
              <w:top w:type="dxa" w:w="100"/>
              <w:left w:type="dxa" w:w="140"/>
              <w:bottom w:type="dxa" w:w="100"/>
              <w:right w:type="dxa" w:w="140"/>
            </w:tcMar>
          </w:tcPr>
          <w:p>
            <w:r>
              <w:rPr>
                <w:rFonts w:ascii="Arial" w:cs="Arial" w:eastAsia="Arial" w:hAnsi="Arial"/>
                <w:b/>
                <w:bCs/>
                <w:color w:val="FFFFFF"/>
                <w:sz w:val="20"/>
                <w:szCs w:val="20"/>
              </w:rPr>
              <w:t xml:space="preserve">Environment</w:t>
            </w:r>
          </w:p>
        </w:tc>
        <w:tc>
          <w:tcPr>
            <w:tcW w:type="dxa" w:w="1160"/>
            <w:tcBorders>
              <w:top w:val="single" w:color="AAAAAA" w:sz="1"/>
              <w:left w:val="single" w:color="AAAAAA" w:sz="1"/>
              <w:bottom w:val="single" w:color="AAAAAA" w:sz="1"/>
              <w:right w:val="single" w:color="AAAAAA" w:sz="1"/>
            </w:tcBorders>
            <w:shd w:fill="B5174E" w:val="clear"/>
            <w:tcMar>
              <w:top w:type="dxa" w:w="100"/>
              <w:left w:type="dxa" w:w="140"/>
              <w:bottom w:type="dxa" w:w="100"/>
              <w:right w:type="dxa" w:w="140"/>
            </w:tcMar>
          </w:tcPr>
          <w:p>
            <w:r>
              <w:rPr>
                <w:rFonts w:ascii="Arial" w:cs="Arial" w:eastAsia="Arial" w:hAnsi="Arial"/>
                <w:b/>
                <w:bCs/>
                <w:color w:val="FFFFFF"/>
                <w:sz w:val="20"/>
                <w:szCs w:val="20"/>
              </w:rPr>
              <w:t xml:space="preserve">Cost/Year</w:t>
            </w:r>
          </w:p>
        </w:tc>
        <w:tc>
          <w:tcPr>
            <w:tcW w:type="dxa" w:w="1600"/>
            <w:tcBorders>
              <w:top w:val="single" w:color="AAAAAA" w:sz="1"/>
              <w:left w:val="single" w:color="AAAAAA" w:sz="1"/>
              <w:bottom w:val="single" w:color="AAAAAA" w:sz="1"/>
              <w:right w:val="single" w:color="AAAAAA" w:sz="1"/>
            </w:tcBorders>
            <w:shd w:fill="B5174E" w:val="clear"/>
            <w:tcMar>
              <w:top w:type="dxa" w:w="100"/>
              <w:left w:type="dxa" w:w="140"/>
              <w:bottom w:type="dxa" w:w="100"/>
              <w:right w:type="dxa" w:w="140"/>
            </w:tcMar>
          </w:tcPr>
          <w:p>
            <w:r>
              <w:rPr>
                <w:rFonts w:ascii="Arial" w:cs="Arial" w:eastAsia="Arial" w:hAnsi="Arial"/>
                <w:b/>
                <w:bCs/>
                <w:color w:val="FFFFFF"/>
                <w:sz w:val="20"/>
                <w:szCs w:val="20"/>
              </w:rPr>
              <w:t xml:space="preserve">Best For</w:t>
            </w:r>
          </w:p>
        </w:tc>
      </w:tr>
      <w:tr>
        <w:tc>
          <w:tcPr>
            <w:tcW w:type="dxa" w:w="14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Disposable pad</w:t>
            </w:r>
          </w:p>
        </w:tc>
        <w:tc>
          <w:tcPr>
            <w:tcW w:type="dxa" w:w="13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Mostly plastic + SAP absorbent gel</w:t>
            </w:r>
          </w:p>
        </w:tc>
        <w:tc>
          <w:tcPr>
            <w:tcW w:type="dxa" w:w="12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Light → Overnight varieties</w:t>
            </w:r>
          </w:p>
        </w:tc>
        <w:tc>
          <w:tcPr>
            <w:tcW w:type="dxa" w:w="14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2–4 hours (regular)</w:t>
            </w:r>
          </w:p>
        </w:tc>
        <w:tc>
          <w:tcPr>
            <w:tcW w:type="dxa" w:w="9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Very low (not internal)</w:t>
            </w:r>
          </w:p>
        </w:tc>
        <w:tc>
          <w:tcPr>
            <w:tcW w:type="dxa" w:w="12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None</w:t>
            </w:r>
          </w:p>
        </w:tc>
        <w:tc>
          <w:tcPr>
            <w:tcW w:type="dxa" w:w="12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High waste: ~11,000 pads/lifetime</w:t>
            </w:r>
          </w:p>
        </w:tc>
        <w:tc>
          <w:tcPr>
            <w:tcW w:type="dxa" w:w="11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₹2,400–₹6,000/yr India</w:t>
            </w:r>
          </w:p>
        </w:tc>
        <w:tc>
          <w:tcPr>
            <w:tcW w:type="dxa" w:w="16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Beginners; heavy flow; postpartum; disability</w:t>
            </w:r>
          </w:p>
        </w:tc>
      </w:tr>
      <w:tr>
        <w:tc>
          <w:tcPr>
            <w:tcW w:type="dxa" w:w="14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Disposable tampon</w:t>
            </w:r>
          </w:p>
        </w:tc>
        <w:tc>
          <w:tcPr>
            <w:tcW w:type="dxa" w:w="13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Cotton/rayon blend (organic available)</w:t>
            </w:r>
          </w:p>
        </w:tc>
        <w:tc>
          <w:tcPr>
            <w:tcW w:type="dxa" w:w="12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Regular: 6–9g; Super: 9–12g</w:t>
            </w:r>
          </w:p>
        </w:tc>
        <w:tc>
          <w:tcPr>
            <w:tcW w:type="dxa" w:w="14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4–8 hours MAX</w:t>
            </w:r>
          </w:p>
        </w:tc>
        <w:tc>
          <w:tcPr>
            <w:tcW w:type="dxa" w:w="9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YES — Never &gt;8 hrs; use lowest absorbency</w:t>
            </w:r>
          </w:p>
        </w:tc>
        <w:tc>
          <w:tcPr>
            <w:tcW w:type="dxa" w:w="12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Raises vaginal pH slightly; can disturb microbiome with prolonged use</w:t>
            </w:r>
          </w:p>
        </w:tc>
        <w:tc>
          <w:tcPr>
            <w:tcW w:type="dxa" w:w="12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High waste (plastic applicators)</w:t>
            </w:r>
          </w:p>
        </w:tc>
        <w:tc>
          <w:tcPr>
            <w:tcW w:type="dxa" w:w="116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₹2,000–₹5,000/yr India</w:t>
            </w:r>
          </w:p>
        </w:tc>
        <w:tc>
          <w:tcPr>
            <w:tcW w:type="dxa" w:w="16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Active lifestyle; swimming; travel</w:t>
            </w:r>
          </w:p>
        </w:tc>
      </w:tr>
      <w:tr>
        <w:tc>
          <w:tcPr>
            <w:tcW w:type="dxa" w:w="14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Menstrual cup</w:t>
            </w:r>
          </w:p>
        </w:tc>
        <w:tc>
          <w:tcPr>
            <w:tcW w:type="dxa" w:w="13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Medical-grade silicone / TPE / latex</w:t>
            </w:r>
          </w:p>
        </w:tc>
        <w:tc>
          <w:tcPr>
            <w:tcW w:type="dxa" w:w="12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20–35 mL (holds 3x tampon capacity)</w:t>
            </w:r>
          </w:p>
        </w:tc>
        <w:tc>
          <w:tcPr>
            <w:tcW w:type="dxa" w:w="14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Up to 12 hours</w:t>
            </w:r>
          </w:p>
        </w:tc>
        <w:tc>
          <w:tcPr>
            <w:tcW w:type="dxa" w:w="9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Very low (collects, not absorbs)</w:t>
            </w:r>
          </w:p>
        </w:tc>
        <w:tc>
          <w:tcPr>
            <w:tcW w:type="dxa" w:w="12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Does NOT raise pH — preserves Lactobacillus environment</w:t>
            </w:r>
          </w:p>
        </w:tc>
        <w:tc>
          <w:tcPr>
            <w:tcW w:type="dxa" w:w="12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Near-zero: 1 cup lasts 5–10 years</w:t>
            </w:r>
          </w:p>
        </w:tc>
        <w:tc>
          <w:tcPr>
            <w:tcW w:type="dxa" w:w="11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₹500–₹1,500 one-time India</w:t>
            </w:r>
          </w:p>
        </w:tc>
        <w:tc>
          <w:tcPr>
            <w:tcW w:type="dxa" w:w="16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Heavy flow; eco-conscious; FAM tracking (see color/volume); cost-saver</w:t>
            </w:r>
          </w:p>
        </w:tc>
      </w:tr>
      <w:tr>
        <w:tc>
          <w:tcPr>
            <w:tcW w:type="dxa" w:w="14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Menstrual disc</w:t>
            </w:r>
          </w:p>
        </w:tc>
        <w:tc>
          <w:tcPr>
            <w:tcW w:type="dxa" w:w="13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Medical silicone (disposable or reusable)</w:t>
            </w:r>
          </w:p>
        </w:tc>
        <w:tc>
          <w:tcPr>
            <w:tcW w:type="dxa" w:w="12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20–60 mL (highest capacity)</w:t>
            </w:r>
          </w:p>
        </w:tc>
        <w:tc>
          <w:tcPr>
            <w:tcW w:type="dxa" w:w="14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Up to 12 hours</w:t>
            </w:r>
          </w:p>
        </w:tc>
        <w:tc>
          <w:tcPr>
            <w:tcW w:type="dxa" w:w="9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Low</w:t>
            </w:r>
          </w:p>
        </w:tc>
        <w:tc>
          <w:tcPr>
            <w:tcW w:type="dxa" w:w="12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Minimal pH effect</w:t>
            </w:r>
          </w:p>
        </w:tc>
        <w:tc>
          <w:tcPr>
            <w:tcW w:type="dxa" w:w="12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Disposable = waste; reusable = eco-friendly</w:t>
            </w:r>
          </w:p>
        </w:tc>
        <w:tc>
          <w:tcPr>
            <w:tcW w:type="dxa" w:w="116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₹400–₹2,500 depending on type</w:t>
            </w:r>
          </w:p>
        </w:tc>
        <w:tc>
          <w:tcPr>
            <w:tcW w:type="dxa" w:w="16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Sex during period (can be worn); IUD users (sits differently from cup); heavy flow</w:t>
            </w:r>
          </w:p>
        </w:tc>
      </w:tr>
      <w:tr>
        <w:tc>
          <w:tcPr>
            <w:tcW w:type="dxa" w:w="14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Period underwear</w:t>
            </w:r>
          </w:p>
        </w:tc>
        <w:tc>
          <w:tcPr>
            <w:tcW w:type="dxa" w:w="13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TENCEL, cotton + absorbent inner layer</w:t>
            </w:r>
          </w:p>
        </w:tc>
        <w:tc>
          <w:tcPr>
            <w:tcW w:type="dxa" w:w="12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2–5 tampons equivalent</w:t>
            </w:r>
          </w:p>
        </w:tc>
        <w:tc>
          <w:tcPr>
            <w:tcW w:type="dxa" w:w="14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4–12 hours (replace or wash)</w:t>
            </w:r>
          </w:p>
        </w:tc>
        <w:tc>
          <w:tcPr>
            <w:tcW w:type="dxa" w:w="9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None</w:t>
            </w:r>
          </w:p>
        </w:tc>
        <w:tc>
          <w:tcPr>
            <w:tcW w:type="dxa" w:w="12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None</w:t>
            </w:r>
          </w:p>
        </w:tc>
        <w:tc>
          <w:tcPr>
            <w:tcW w:type="dxa" w:w="12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Reusable, 2–5 year lifespan; some microplastic shedding (synthetic)</w:t>
            </w:r>
          </w:p>
        </w:tc>
        <w:tc>
          <w:tcPr>
            <w:tcW w:type="dxa" w:w="11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₹1,500–₹4,000 per pair; avg ₹8,000–₹15,000 for set</w:t>
            </w:r>
          </w:p>
        </w:tc>
        <w:tc>
          <w:tcPr>
            <w:tcW w:type="dxa" w:w="16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Light flow; overnight; as backup; disability; comfort</w:t>
            </w:r>
          </w:p>
        </w:tc>
      </w:tr>
      <w:tr>
        <w:tc>
          <w:tcPr>
            <w:tcW w:type="dxa" w:w="14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Cloth pad (reusable)</w:t>
            </w:r>
          </w:p>
        </w:tc>
        <w:tc>
          <w:tcPr>
            <w:tcW w:type="dxa" w:w="13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Cotton, flannel, bamboo</w:t>
            </w:r>
          </w:p>
        </w:tc>
        <w:tc>
          <w:tcPr>
            <w:tcW w:type="dxa" w:w="12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Variable by thickness</w:t>
            </w:r>
          </w:p>
        </w:tc>
        <w:tc>
          <w:tcPr>
            <w:tcW w:type="dxa" w:w="14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2–4 hours then wash</w:t>
            </w:r>
          </w:p>
        </w:tc>
        <w:tc>
          <w:tcPr>
            <w:tcW w:type="dxa" w:w="9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None</w:t>
            </w:r>
          </w:p>
        </w:tc>
        <w:tc>
          <w:tcPr>
            <w:tcW w:type="dxa" w:w="12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None</w:t>
            </w:r>
          </w:p>
        </w:tc>
        <w:tc>
          <w:tcPr>
            <w:tcW w:type="dxa" w:w="12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Zero waste; traditional option (still used by majority of rural India)</w:t>
            </w:r>
          </w:p>
        </w:tc>
        <w:tc>
          <w:tcPr>
            <w:tcW w:type="dxa" w:w="116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₹100–₹500 per pad (reusable 2–5 years)</w:t>
            </w:r>
          </w:p>
        </w:tc>
        <w:tc>
          <w:tcPr>
            <w:tcW w:type="dxa" w:w="16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Eco-conscious; budget; sensitive skin; India rural communities</w:t>
            </w:r>
          </w:p>
        </w:tc>
      </w:tr>
      <w:tr>
        <w:tc>
          <w:tcPr>
            <w:tcW w:type="dxa" w:w="14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Organic cotton products</w:t>
            </w:r>
          </w:p>
        </w:tc>
        <w:tc>
          <w:tcPr>
            <w:tcW w:type="dxa" w:w="13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Certified organic cotton (Godrej, Carmesi, Avni)</w:t>
            </w:r>
          </w:p>
        </w:tc>
        <w:tc>
          <w:tcPr>
            <w:tcW w:type="dxa" w:w="12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Same as regular pads/tampons</w:t>
            </w:r>
          </w:p>
        </w:tc>
        <w:tc>
          <w:tcPr>
            <w:tcW w:type="dxa" w:w="14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Same as regular</w:t>
            </w:r>
          </w:p>
        </w:tc>
        <w:tc>
          <w:tcPr>
            <w:tcW w:type="dxa" w:w="9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Same — TSS risk persists with tampons</w:t>
            </w:r>
          </w:p>
        </w:tc>
        <w:tc>
          <w:tcPr>
            <w:tcW w:type="dxa" w:w="12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Organic cotton less bleach residue</w:t>
            </w:r>
          </w:p>
        </w:tc>
        <w:tc>
          <w:tcPr>
            <w:tcW w:type="dxa" w:w="12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Still disposable waste</w:t>
            </w:r>
          </w:p>
        </w:tc>
        <w:tc>
          <w:tcPr>
            <w:tcW w:type="dxa" w:w="11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15–30% premium over conventional</w:t>
            </w:r>
          </w:p>
        </w:tc>
        <w:tc>
          <w:tcPr>
            <w:tcW w:type="dxa" w:w="16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Those avoiding pesticide/bleach chemicals</w:t>
            </w:r>
          </w:p>
        </w:tc>
      </w:tr>
    </w:tbl>
    <w:p>
      <w:pPr>
        <w:spacing w:after="120"/>
      </w:pPr>
    </w:p>
    <w:p>
      <w:pPr>
        <w:pStyle w:val="Heading2"/>
        <w:spacing w:before="320" w:after="140"/>
      </w:pPr>
      <w:r>
        <w:rPr>
          <w:rFonts w:ascii="Arial" w:cs="Arial" w:eastAsia="Arial" w:hAnsi="Arial"/>
          <w:b/>
          <w:bCs/>
          <w:color w:val="1A1A2E"/>
          <w:sz w:val="28"/>
          <w:szCs w:val="28"/>
        </w:rPr>
        <w:t xml:space="preserve">30.1 Toxic Shock Syndrome (TSS) — Essential AI Knowledge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91C1C" w:sz="1"/>
              <w:left w:val="single" w:color="B91C1C" w:sz="1"/>
              <w:bottom w:val="single" w:color="B91C1C" w:sz="1"/>
              <w:right w:val="single" w:color="B91C1C" w:sz="1"/>
            </w:tcBorders>
            <w:shd w:fill="FEE2E2" w:val="clear"/>
            <w:tcMar>
              <w:top w:type="dxa" w:w="160"/>
              <w:left w:type="dxa" w:w="200"/>
              <w:bottom w:type="dxa" w:w="160"/>
              <w:right w:type="dxa" w:w="200"/>
            </w:tcMar>
          </w:tcPr>
          <w:p>
            <w:pPr>
              <w:spacing w:after="80"/>
            </w:pPr>
            <w:r>
              <w:rPr>
                <w:rFonts w:ascii="Arial" w:cs="Arial" w:eastAsia="Arial" w:hAnsi="Arial"/>
                <w:b/>
                <w:bCs/>
                <w:color w:val="B91C1C"/>
                <w:sz w:val="22"/>
                <w:szCs w:val="22"/>
              </w:rPr>
              <w:t xml:space="preserve">⚠️  TOXIC SHOCK SYNDROME — RED FLAG PROTOCOL FOR AI</w:t>
            </w:r>
          </w:p>
          <w:p>
            <w:pPr>
              <w:spacing w:after="60"/>
            </w:pPr>
            <w:r>
              <w:rPr>
                <w:rFonts w:ascii="Arial" w:cs="Arial" w:eastAsia="Arial" w:hAnsi="Arial"/>
                <w:color w:val="333333"/>
                <w:sz w:val="20"/>
                <w:szCs w:val="20"/>
              </w:rPr>
              <w:t xml:space="preserve">TSS is a rare but life-threatening bacterial infection caused by Staphylococcus aureus toxin release.</w:t>
            </w:r>
          </w:p>
          <w:p>
            <w:pPr>
              <w:spacing w:after="60"/>
            </w:pPr>
            <w:r>
              <w:rPr>
                <w:rFonts w:ascii="Arial" w:cs="Arial" w:eastAsia="Arial" w:hAnsi="Arial"/>
                <w:color w:val="333333"/>
                <w:sz w:val="20"/>
                <w:szCs w:val="20"/>
              </w:rPr>
              <w:t xml:space="preserve">TAMPON-ASSOCIATED TSS: Occurs when absorbent material left in too long creates anaerobic environment for bacterial growth.</w:t>
            </w:r>
          </w:p>
          <w:p>
            <w:pPr>
              <w:spacing w:after="60"/>
            </w:pPr>
            <w:r>
              <w:rPr>
                <w:rFonts w:ascii="Arial" w:cs="Arial" w:eastAsia="Arial" w:hAnsi="Arial"/>
                <w:color w:val="333333"/>
                <w:sz w:val="20"/>
                <w:szCs w:val="20"/>
              </w:rPr>
              <w:t xml:space="preserve">INCIDENCE: ~1–3 cases per 100,000 menstruating people per year; rare but fatal if untreated.</w:t>
            </w:r>
          </w:p>
          <w:p>
            <w:pPr>
              <w:spacing w:after="60"/>
            </w:pPr>
            <w:r>
              <w:rPr>
                <w:rFonts w:ascii="Arial" w:cs="Arial" w:eastAsia="Arial" w:hAnsi="Arial"/>
                <w:color w:val="333333"/>
                <w:sz w:val="20"/>
                <w:szCs w:val="20"/>
              </w:rPr>
              <w:t xml:space="preserve">RULE: NEVER leave a tampon in for more than 8 hours. Use lowest absorbency needed. Remove overnight.</w:t>
            </w:r>
          </w:p>
          <w:p>
            <w:pPr>
              <w:spacing w:after="60"/>
            </w:pPr>
            <w:r>
              <w:rPr>
                <w:rFonts w:ascii="Arial" w:cs="Arial" w:eastAsia="Arial" w:hAnsi="Arial"/>
                <w:color w:val="333333"/>
                <w:sz w:val="20"/>
                <w:szCs w:val="20"/>
              </w:rPr>
              <w:t xml:space="preserve">SYMPTOMS (sudden onset during menstruation): Fever &gt;38.9°C + Rash resembling sunburn (desquamating) + Vomiting/diarrhea + Dizziness/fainting + Blood pressure drop → EMERGENCY.</w:t>
            </w:r>
          </w:p>
          <w:p>
            <w:pPr>
              <w:spacing w:after="60"/>
            </w:pPr>
            <w:r>
              <w:rPr>
                <w:rFonts w:ascii="Arial" w:cs="Arial" w:eastAsia="Arial" w:hAnsi="Arial"/>
                <w:color w:val="333333"/>
                <w:sz w:val="20"/>
                <w:szCs w:val="20"/>
              </w:rPr>
              <w:t xml:space="preserve">AI RESPONSE RULE: Any user reporting these symptoms during menstruation while using a tampon must be directed to emergency care IMMEDIATELY.</w:t>
            </w:r>
          </w:p>
          <w:p>
            <w:pPr>
              <w:spacing w:after="60"/>
            </w:pPr>
            <w:r>
              <w:rPr>
                <w:rFonts w:ascii="Arial" w:cs="Arial" w:eastAsia="Arial" w:hAnsi="Arial"/>
                <w:color w:val="333333"/>
                <w:sz w:val="20"/>
                <w:szCs w:val="20"/>
              </w:rPr>
              <w:t xml:space="preserve">Menstrual cups do NOT increase TSS risk (they collect, not absorb; no anaerobic growth mechanism identified).</w:t>
            </w:r>
          </w:p>
          <w:p>
            <w:pPr>
              <w:spacing w:after="60"/>
            </w:pPr>
            <w:r>
              <w:rPr>
                <w:rFonts w:ascii="Arial" w:cs="Arial" w:eastAsia="Arial" w:hAnsi="Arial"/>
                <w:color w:val="333333"/>
                <w:sz w:val="20"/>
                <w:szCs w:val="20"/>
              </w:rPr>
              <w:t xml:space="preserve">Period underwear and pads carry no TSS risk (not internal devices).</w:t>
            </w:r>
          </w:p>
        </w:tc>
      </w:tr>
    </w:tbl>
    <w:p>
      <w:pPr>
        <w:spacing w:after="120"/>
      </w:pPr>
    </w:p>
    <w:p>
      <w:pPr>
        <w:pStyle w:val="Heading2"/>
        <w:spacing w:before="320" w:after="140"/>
      </w:pPr>
      <w:r>
        <w:rPr>
          <w:rFonts w:ascii="Arial" w:cs="Arial" w:eastAsia="Arial" w:hAnsi="Arial"/>
          <w:b/>
          <w:bCs/>
          <w:color w:val="1A1A2E"/>
          <w:sz w:val="28"/>
          <w:szCs w:val="28"/>
        </w:rPr>
        <w:t xml:space="preserve">30.2 Product Choice by Health Condition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200"/>
        <w:gridCol w:w="3360"/>
      </w:tblGrid>
      <w:tr>
        <w:trPr>
          <w:tblHeader/>
        </w:trPr>
        <w:tc>
          <w:tcPr>
            <w:tcW w:type="dxa" w:w="1800"/>
            <w:tcBorders>
              <w:top w:val="single" w:color="AAAAAA" w:sz="1"/>
              <w:left w:val="single" w:color="AAAAAA" w:sz="1"/>
              <w:bottom w:val="single" w:color="AAAAAA" w:sz="1"/>
              <w:right w:val="single" w:color="AAAAAA" w:sz="1"/>
            </w:tcBorders>
            <w:shd w:fill="B5174E" w:val="clear"/>
            <w:tcMar>
              <w:top w:type="dxa" w:w="100"/>
              <w:left w:type="dxa" w:w="140"/>
              <w:bottom w:type="dxa" w:w="100"/>
              <w:right w:type="dxa" w:w="140"/>
            </w:tcMar>
          </w:tcPr>
          <w:p>
            <w:r>
              <w:rPr>
                <w:rFonts w:ascii="Arial" w:cs="Arial" w:eastAsia="Arial" w:hAnsi="Arial"/>
                <w:b/>
                <w:bCs/>
                <w:color w:val="FFFFFF"/>
                <w:sz w:val="20"/>
                <w:szCs w:val="20"/>
              </w:rPr>
              <w:t xml:space="preserve">Health Condition</w:t>
            </w:r>
          </w:p>
        </w:tc>
        <w:tc>
          <w:tcPr>
            <w:tcW w:type="dxa" w:w="2000"/>
            <w:tcBorders>
              <w:top w:val="single" w:color="AAAAAA" w:sz="1"/>
              <w:left w:val="single" w:color="AAAAAA" w:sz="1"/>
              <w:bottom w:val="single" w:color="AAAAAA" w:sz="1"/>
              <w:right w:val="single" w:color="AAAAAA" w:sz="1"/>
            </w:tcBorders>
            <w:shd w:fill="B5174E" w:val="clear"/>
            <w:tcMar>
              <w:top w:type="dxa" w:w="100"/>
              <w:left w:type="dxa" w:w="140"/>
              <w:bottom w:type="dxa" w:w="100"/>
              <w:right w:type="dxa" w:w="140"/>
            </w:tcMar>
          </w:tcPr>
          <w:p>
            <w:r>
              <w:rPr>
                <w:rFonts w:ascii="Arial" w:cs="Arial" w:eastAsia="Arial" w:hAnsi="Arial"/>
                <w:b/>
                <w:bCs/>
                <w:color w:val="FFFFFF"/>
                <w:sz w:val="20"/>
                <w:szCs w:val="20"/>
              </w:rPr>
              <w:t xml:space="preserve">Recommended</w:t>
            </w:r>
          </w:p>
        </w:tc>
        <w:tc>
          <w:tcPr>
            <w:tcW w:type="dxa" w:w="2200"/>
            <w:tcBorders>
              <w:top w:val="single" w:color="AAAAAA" w:sz="1"/>
              <w:left w:val="single" w:color="AAAAAA" w:sz="1"/>
              <w:bottom w:val="single" w:color="AAAAAA" w:sz="1"/>
              <w:right w:val="single" w:color="AAAAAA" w:sz="1"/>
            </w:tcBorders>
            <w:shd w:fill="B5174E" w:val="clear"/>
            <w:tcMar>
              <w:top w:type="dxa" w:w="100"/>
              <w:left w:type="dxa" w:w="140"/>
              <w:bottom w:type="dxa" w:w="100"/>
              <w:right w:type="dxa" w:w="140"/>
            </w:tcMar>
          </w:tcPr>
          <w:p>
            <w:r>
              <w:rPr>
                <w:rFonts w:ascii="Arial" w:cs="Arial" w:eastAsia="Arial" w:hAnsi="Arial"/>
                <w:b/>
                <w:bCs/>
                <w:color w:val="FFFFFF"/>
                <w:sz w:val="20"/>
                <w:szCs w:val="20"/>
              </w:rPr>
              <w:t xml:space="preserve">Avoid / Use Caution</w:t>
            </w:r>
          </w:p>
        </w:tc>
        <w:tc>
          <w:tcPr>
            <w:tcW w:type="dxa" w:w="3360"/>
            <w:tcBorders>
              <w:top w:val="single" w:color="AAAAAA" w:sz="1"/>
              <w:left w:val="single" w:color="AAAAAA" w:sz="1"/>
              <w:bottom w:val="single" w:color="AAAAAA" w:sz="1"/>
              <w:right w:val="single" w:color="AAAAAA" w:sz="1"/>
            </w:tcBorders>
            <w:shd w:fill="B5174E" w:val="clear"/>
            <w:tcMar>
              <w:top w:type="dxa" w:w="100"/>
              <w:left w:type="dxa" w:w="140"/>
              <w:bottom w:type="dxa" w:w="100"/>
              <w:right w:type="dxa" w:w="140"/>
            </w:tcMar>
          </w:tcPr>
          <w:p>
            <w:r>
              <w:rPr>
                <w:rFonts w:ascii="Arial" w:cs="Arial" w:eastAsia="Arial" w:hAnsi="Arial"/>
                <w:b/>
                <w:bCs/>
                <w:color w:val="FFFFFF"/>
                <w:sz w:val="20"/>
                <w:szCs w:val="20"/>
              </w:rPr>
              <w:t xml:space="preserve">Reason</w:t>
            </w:r>
          </w:p>
        </w:tc>
      </w:tr>
      <w:tr>
        <w:tc>
          <w:tcPr>
            <w:tcW w:type="dxa" w:w="18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PCOS (heavy flow)</w:t>
            </w:r>
          </w:p>
        </w:tc>
        <w:tc>
          <w:tcPr>
            <w:tcW w:type="dxa" w:w="20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Menstrual disc or cup (high capacity); period underwear as backup</w:t>
            </w:r>
          </w:p>
        </w:tc>
        <w:tc>
          <w:tcPr>
            <w:tcW w:type="dxa" w:w="22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Regular tampons (need frequent changes)</w:t>
            </w:r>
          </w:p>
        </w:tc>
        <w:tc>
          <w:tcPr>
            <w:tcW w:type="dxa" w:w="33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Heavy flow needs high-capacity collection; disc/cup most cost-effective for heavy users</w:t>
            </w:r>
          </w:p>
        </w:tc>
      </w:tr>
      <w:tr>
        <w:tc>
          <w:tcPr>
            <w:tcW w:type="dxa" w:w="18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Endometriosis (heavy, painful)</w:t>
            </w:r>
          </w:p>
        </w:tc>
        <w:tc>
          <w:tcPr>
            <w:tcW w:type="dxa" w:w="20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Menstrual cup; period underwear (for pain-related ease of use)</w:t>
            </w:r>
          </w:p>
        </w:tc>
        <w:tc>
          <w:tcPr>
            <w:tcW w:type="dxa" w:w="22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Tampons during severe dysmenorrhea (insertion pain)</w:t>
            </w:r>
          </w:p>
        </w:tc>
        <w:tc>
          <w:tcPr>
            <w:tcW w:type="dxa" w:w="336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Cup worn up to 12 hrs without changing; insertion of tampon painful during severe cramps</w:t>
            </w:r>
          </w:p>
        </w:tc>
      </w:tr>
      <w:tr>
        <w:tc>
          <w:tcPr>
            <w:tcW w:type="dxa" w:w="18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Vaginal dryness / atrophic vaginitis</w:t>
            </w:r>
          </w:p>
        </w:tc>
        <w:tc>
          <w:tcPr>
            <w:tcW w:type="dxa" w:w="20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Pads; period underwear</w:t>
            </w:r>
          </w:p>
        </w:tc>
        <w:tc>
          <w:tcPr>
            <w:tcW w:type="dxa" w:w="22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Tampons</w:t>
            </w:r>
          </w:p>
        </w:tc>
        <w:tc>
          <w:tcPr>
            <w:tcW w:type="dxa" w:w="33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Low estrogen → vaginal fragility → tampon insertion and removal painful; increased micro-abrasion risk</w:t>
            </w:r>
          </w:p>
        </w:tc>
      </w:tr>
      <w:tr>
        <w:tc>
          <w:tcPr>
            <w:tcW w:type="dxa" w:w="18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IUD user</w:t>
            </w:r>
          </w:p>
        </w:tc>
        <w:tc>
          <w:tcPr>
            <w:tcW w:type="dxa" w:w="20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Menstrual disc (not cup — different anatomical position); pads</w:t>
            </w:r>
          </w:p>
        </w:tc>
        <w:tc>
          <w:tcPr>
            <w:tcW w:type="dxa" w:w="22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Standard menstrual cups (suction may dislodge IUD)</w:t>
            </w:r>
          </w:p>
        </w:tc>
        <w:tc>
          <w:tcPr>
            <w:tcW w:type="dxa" w:w="336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Cup suction theoretically risks IUD displacement — use disc (fits differently) or switch to pads</w:t>
            </w:r>
          </w:p>
        </w:tc>
      </w:tr>
      <w:tr>
        <w:tc>
          <w:tcPr>
            <w:tcW w:type="dxa" w:w="18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Post-surgical (abdominal/pelvic)</w:t>
            </w:r>
          </w:p>
        </w:tc>
        <w:tc>
          <w:tcPr>
            <w:tcW w:type="dxa" w:w="20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Pads; period underwear</w:t>
            </w:r>
          </w:p>
        </w:tc>
        <w:tc>
          <w:tcPr>
            <w:tcW w:type="dxa" w:w="22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Internal products until fully healed</w:t>
            </w:r>
          </w:p>
        </w:tc>
        <w:tc>
          <w:tcPr>
            <w:tcW w:type="dxa" w:w="33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No internal products during healing period</w:t>
            </w:r>
          </w:p>
        </w:tc>
      </w:tr>
      <w:tr>
        <w:tc>
          <w:tcPr>
            <w:tcW w:type="dxa" w:w="18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Disability / mobility issues</w:t>
            </w:r>
          </w:p>
        </w:tc>
        <w:tc>
          <w:tcPr>
            <w:tcW w:type="dxa" w:w="20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Period underwear (easiest to use independently); high-absorbency pad</w:t>
            </w:r>
          </w:p>
        </w:tc>
        <w:tc>
          <w:tcPr>
            <w:tcW w:type="dxa" w:w="22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Cups and tampons require fine motor skills and awkward positioning</w:t>
            </w:r>
          </w:p>
        </w:tc>
        <w:tc>
          <w:tcPr>
            <w:tcW w:type="dxa" w:w="336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Period underwear can be changed like normal underwear; significantly improves independence</w:t>
            </w:r>
          </w:p>
        </w:tc>
      </w:tr>
      <w:tr>
        <w:tc>
          <w:tcPr>
            <w:tcW w:type="dxa" w:w="18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Highly active / swimmer</w:t>
            </w:r>
          </w:p>
        </w:tc>
        <w:tc>
          <w:tcPr>
            <w:tcW w:type="dxa" w:w="20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Tampon; menstrual cup</w:t>
            </w:r>
          </w:p>
        </w:tc>
        <w:tc>
          <w:tcPr>
            <w:tcW w:type="dxa" w:w="22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Pads (not water-resistant)</w:t>
            </w:r>
          </w:p>
        </w:tc>
        <w:tc>
          <w:tcPr>
            <w:tcW w:type="dxa" w:w="33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Internal products for swimming; cups last 12 hrs for long training sessions</w:t>
            </w:r>
          </w:p>
        </w:tc>
      </w:tr>
      <w:tr>
        <w:tc>
          <w:tcPr>
            <w:tcW w:type="dxa" w:w="18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Vaginismus / GPPPD</w:t>
            </w:r>
          </w:p>
        </w:tc>
        <w:tc>
          <w:tcPr>
            <w:tcW w:type="dxa" w:w="20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Pads; period underwear</w:t>
            </w:r>
          </w:p>
        </w:tc>
        <w:tc>
          <w:tcPr>
            <w:tcW w:type="dxa" w:w="22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Tampons and cups during active treatment phase</w:t>
            </w:r>
          </w:p>
        </w:tc>
        <w:tc>
          <w:tcPr>
            <w:tcW w:type="dxa" w:w="336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Penetration may be impossible or painful; external products only</w:t>
            </w:r>
          </w:p>
        </w:tc>
      </w:tr>
    </w:tbl>
    <w:p>
      <w:pPr>
        <w:spacing w:after="240"/>
      </w:pPr>
    </w:p>
    <w:p>
      <w:pPr>
        <w:pBdr>
          <w:bottom w:val="single" w:color="E0B4C4" w:sz="3"/>
        </w:pBdr>
        <w:spacing w:before="80" w:after="80"/>
      </w:pPr>
    </w:p>
    <w:p>
      <w:pPr>
        <w:pStyle w:val="Heading1"/>
        <w:spacing w:before="480" w:after="200"/>
      </w:pPr>
      <w:r>
        <w:rPr>
          <w:rFonts w:ascii="Arial" w:cs="Arial" w:eastAsia="Arial" w:hAnsi="Arial"/>
          <w:b/>
          <w:bCs/>
          <w:color w:val="B5174E"/>
          <w:sz w:val="38"/>
          <w:szCs w:val="38"/>
        </w:rPr>
        <w:t xml:space="preserve">DOMAIN 31: ADOLESCENT HEALTH, PUBERTY EDUCATION &amp; MENSTRUAL LITERACY</w:t>
      </w:r>
    </w:p>
    <w:p>
      <w:pPr>
        <w:pBdr>
          <w:bottom w:val="single" w:color="E0B4C4" w:sz="3"/>
        </w:pBdr>
        <w:spacing w:before="80" w:after="80"/>
      </w:pPr>
    </w:p>
    <w:p>
      <w:pPr>
        <w:spacing w:after="120"/>
      </w:pPr>
      <w:r>
        <w:rPr>
          <w:rFonts w:ascii="Arial" w:cs="Arial" w:eastAsia="Arial" w:hAnsi="Arial"/>
          <w:color w:val="2D2D2D"/>
          <w:sz w:val="22"/>
          <w:szCs w:val="22"/>
        </w:rPr>
        <w:t xml:space="preserve">The foundation of a women-centric AI must include comprehensive puberty education. This is the entry point where menstrual literacy begins — and where inadequate information does the most damage globally.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5174E" w:sz="1"/>
              <w:left w:val="single" w:color="B5174E" w:sz="1"/>
              <w:bottom w:val="single" w:color="B5174E" w:sz="1"/>
              <w:right w:val="single" w:color="B5174E" w:sz="1"/>
            </w:tcBorders>
            <w:shd w:fill="FDF0F5" w:val="clear"/>
            <w:tcMar>
              <w:top w:type="dxa" w:w="160"/>
              <w:left w:type="dxa" w:w="220"/>
              <w:bottom w:type="dxa" w:w="160"/>
              <w:right w:type="dxa" w:w="220"/>
            </w:tcMar>
          </w:tcPr>
          <w:p>
            <w:pPr>
              <w:spacing w:after="100"/>
            </w:pPr>
            <w:r>
              <w:rPr>
                <w:rFonts w:ascii="Arial" w:cs="Arial" w:eastAsia="Arial" w:hAnsi="Arial"/>
                <w:b/>
                <w:bCs/>
                <w:color w:val="B5174E"/>
                <w:sz w:val="23"/>
                <w:szCs w:val="23"/>
              </w:rPr>
              <w:t xml:space="preserve">☑ CHECKLIST: DOMAIN 31 — ADOLESCENT &amp; PUBERTY</w:t>
            </w:r>
          </w:p>
          <w:p>
            <w:pPr>
              <w:spacing w:after="70"/>
            </w:pPr>
            <w:r>
              <w:rPr>
                <w:rFonts w:ascii="Arial" w:cs="Arial" w:eastAsia="Arial" w:hAnsi="Arial"/>
                <w:color w:val="1A1A2E"/>
                <w:sz w:val="20"/>
                <w:szCs w:val="20"/>
              </w:rPr>
              <w:t xml:space="preserve">  01.  Tanner Stages I–V: breast, pubic hair, and growth spurt staging; age norms for each stage</w:t>
            </w:r>
          </w:p>
          <w:p>
            <w:pPr>
              <w:spacing w:after="70"/>
            </w:pPr>
            <w:r>
              <w:rPr>
                <w:rFonts w:ascii="Arial" w:cs="Arial" w:eastAsia="Arial" w:hAnsi="Arial"/>
                <w:color w:val="1A1A2E"/>
                <w:sz w:val="20"/>
                <w:szCs w:val="20"/>
              </w:rPr>
              <w:t xml:space="preserve">  02.  Precocious puberty: signs before age 8 (females); causes (idiopathic vs secondary); GnRH analog treatment</w:t>
            </w:r>
          </w:p>
          <w:p>
            <w:pPr>
              <w:spacing w:after="70"/>
            </w:pPr>
            <w:r>
              <w:rPr>
                <w:rFonts w:ascii="Arial" w:cs="Arial" w:eastAsia="Arial" w:hAnsi="Arial"/>
                <w:color w:val="1A1A2E"/>
                <w:sz w:val="20"/>
                <w:szCs w:val="20"/>
              </w:rPr>
              <w:t xml:space="preserve">  03.  Delayed puberty: no breast development by age 13; no period by age 16; investigation flowchart</w:t>
            </w:r>
          </w:p>
          <w:p>
            <w:pPr>
              <w:spacing w:after="70"/>
            </w:pPr>
            <w:r>
              <w:rPr>
                <w:rFonts w:ascii="Arial" w:cs="Arial" w:eastAsia="Arial" w:hAnsi="Arial"/>
                <w:color w:val="1A1A2E"/>
                <w:sz w:val="20"/>
                <w:szCs w:val="20"/>
              </w:rPr>
              <w:t xml:space="preserve">  04.  Thelarche (breast budding): first sign of puberty in 85% of girls — precedes menarche by 2–2.5 years</w:t>
            </w:r>
          </w:p>
          <w:p>
            <w:pPr>
              <w:spacing w:after="70"/>
            </w:pPr>
            <w:r>
              <w:rPr>
                <w:rFonts w:ascii="Arial" w:cs="Arial" w:eastAsia="Arial" w:hAnsi="Arial"/>
                <w:color w:val="1A1A2E"/>
                <w:sz w:val="20"/>
                <w:szCs w:val="20"/>
              </w:rPr>
              <w:t xml:space="preserve">  05.  Adrenarche: adrenal androgen rise; pubic hair, body odor, oily skin — can precede thelarche</w:t>
            </w:r>
          </w:p>
          <w:p>
            <w:pPr>
              <w:spacing w:after="70"/>
            </w:pPr>
            <w:r>
              <w:rPr>
                <w:rFonts w:ascii="Arial" w:cs="Arial" w:eastAsia="Arial" w:hAnsi="Arial"/>
                <w:color w:val="1A1A2E"/>
                <w:sz w:val="20"/>
                <w:szCs w:val="20"/>
              </w:rPr>
              <w:t xml:space="preserve">  06.  Peak height velocity (growth spurt): typically 6–12 months before menarche; bone plates close post-menarche</w:t>
            </w:r>
          </w:p>
          <w:p>
            <w:pPr>
              <w:spacing w:after="70"/>
            </w:pPr>
            <w:r>
              <w:rPr>
                <w:rFonts w:ascii="Arial" w:cs="Arial" w:eastAsia="Arial" w:hAnsi="Arial"/>
                <w:color w:val="1A1A2E"/>
                <w:sz w:val="20"/>
                <w:szCs w:val="20"/>
              </w:rPr>
              <w:t xml:space="preserve">  07.  First period preparation: what to expect, products, pain management, when to tell an adult</w:t>
            </w:r>
          </w:p>
          <w:p>
            <w:pPr>
              <w:spacing w:after="70"/>
            </w:pPr>
            <w:r>
              <w:rPr>
                <w:rFonts w:ascii="Arial" w:cs="Arial" w:eastAsia="Arial" w:hAnsi="Arial"/>
                <w:color w:val="1A1A2E"/>
                <w:sz w:val="20"/>
                <w:szCs w:val="20"/>
              </w:rPr>
              <w:t xml:space="preserve">  08.  Anovulatory cycles: normal for 1–2 years post-menarche as HPO axis matures — educational message critical</w:t>
            </w:r>
          </w:p>
          <w:p>
            <w:pPr>
              <w:spacing w:after="70"/>
            </w:pPr>
            <w:r>
              <w:rPr>
                <w:rFonts w:ascii="Arial" w:cs="Arial" w:eastAsia="Arial" w:hAnsi="Arial"/>
                <w:color w:val="1A1A2E"/>
                <w:sz w:val="20"/>
                <w:szCs w:val="20"/>
              </w:rPr>
              <w:t xml:space="preserve">  09.  Adolescent dysmenorrhea: 67–93% prevalence; NSAIDs as first-line; heat therapy; exercise as prophylaxis</w:t>
            </w:r>
          </w:p>
          <w:p>
            <w:pPr>
              <w:spacing w:after="70"/>
            </w:pPr>
            <w:r>
              <w:rPr>
                <w:rFonts w:ascii="Arial" w:cs="Arial" w:eastAsia="Arial" w:hAnsi="Arial"/>
                <w:color w:val="1A1A2E"/>
                <w:sz w:val="20"/>
                <w:szCs w:val="20"/>
              </w:rPr>
              <w:t xml:space="preserve">  10.  School absenteeism from dysmenorrhea: &gt;50% miss school; validated with objective studies — policy implications</w:t>
            </w:r>
          </w:p>
          <w:p>
            <w:pPr>
              <w:spacing w:after="70"/>
            </w:pPr>
            <w:r>
              <w:rPr>
                <w:rFonts w:ascii="Arial" w:cs="Arial" w:eastAsia="Arial" w:hAnsi="Arial"/>
                <w:color w:val="1A1A2E"/>
                <w:sz w:val="20"/>
                <w:szCs w:val="20"/>
              </w:rPr>
              <w:t xml:space="preserve">  11.  Heavy periods at menarche: consider bleeding disorder (Von Willebrand disease) — often first presentation</w:t>
            </w:r>
          </w:p>
          <w:p>
            <w:pPr>
              <w:spacing w:after="70"/>
            </w:pPr>
            <w:r>
              <w:rPr>
                <w:rFonts w:ascii="Arial" w:cs="Arial" w:eastAsia="Arial" w:hAnsi="Arial"/>
                <w:color w:val="1A1A2E"/>
                <w:sz w:val="20"/>
                <w:szCs w:val="20"/>
              </w:rPr>
              <w:t xml:space="preserve">  12.  Acne at puberty: androgen-driven sebum; comedones; psychosocial impact; treatment options</w:t>
            </w:r>
          </w:p>
          <w:p>
            <w:pPr>
              <w:spacing w:after="70"/>
            </w:pPr>
            <w:r>
              <w:rPr>
                <w:rFonts w:ascii="Arial" w:cs="Arial" w:eastAsia="Arial" w:hAnsi="Arial"/>
                <w:color w:val="1A1A2E"/>
                <w:sz w:val="20"/>
                <w:szCs w:val="20"/>
              </w:rPr>
              <w:t xml:space="preserve">  13.  Body image and menstruation: normalization messaging; media literacy; avoiding period shame</w:t>
            </w:r>
          </w:p>
          <w:p>
            <w:pPr>
              <w:spacing w:after="70"/>
            </w:pPr>
            <w:r>
              <w:rPr>
                <w:rFonts w:ascii="Arial" w:cs="Arial" w:eastAsia="Arial" w:hAnsi="Arial"/>
                <w:color w:val="1A1A2E"/>
                <w:sz w:val="20"/>
                <w:szCs w:val="20"/>
              </w:rPr>
              <w:t xml:space="preserve">  14.  Comprehensive sexuality education: age-appropriate content standards; evidence for health outcomes improvement</w:t>
            </w:r>
          </w:p>
          <w:p>
            <w:pPr>
              <w:spacing w:after="70"/>
            </w:pPr>
            <w:r>
              <w:rPr>
                <w:rFonts w:ascii="Arial" w:cs="Arial" w:eastAsia="Arial" w:hAnsi="Arial"/>
                <w:color w:val="1A1A2E"/>
                <w:sz w:val="20"/>
                <w:szCs w:val="20"/>
              </w:rPr>
              <w:t xml:space="preserve">  15.  Digital menstrual literacy: apps for adolescents; privacy concerns; algorithm misinterpretation risk</w:t>
            </w:r>
          </w:p>
        </w:tc>
      </w:tr>
    </w:tbl>
    <w:p>
      <w:pPr>
        <w:spacing w:after="120"/>
      </w:pPr>
    </w:p>
    <w:p>
      <w:pPr>
        <w:pStyle w:val="Heading2"/>
        <w:spacing w:before="320" w:after="140"/>
      </w:pPr>
      <w:r>
        <w:rPr>
          <w:rFonts w:ascii="Arial" w:cs="Arial" w:eastAsia="Arial" w:hAnsi="Arial"/>
          <w:b/>
          <w:bCs/>
          <w:color w:val="1A1A2E"/>
          <w:sz w:val="28"/>
          <w:szCs w:val="28"/>
        </w:rPr>
        <w:t xml:space="preserve">31.1 Tanner Stages — Reference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2400"/>
        <w:gridCol w:w="1700"/>
        <w:gridCol w:w="3260"/>
      </w:tblGrid>
      <w:tr>
        <w:trPr>
          <w:tblHeader/>
        </w:trPr>
        <w:tc>
          <w:tcPr>
            <w:tcW w:type="dxa" w:w="1400"/>
            <w:tcBorders>
              <w:top w:val="single" w:color="AAAAAA" w:sz="1"/>
              <w:left w:val="single" w:color="AAAAAA" w:sz="1"/>
              <w:bottom w:val="single" w:color="AAAAAA" w:sz="1"/>
              <w:right w:val="single" w:color="AAAAAA" w:sz="1"/>
            </w:tcBorders>
            <w:shd w:fill="B5174E" w:val="clear"/>
            <w:tcMar>
              <w:top w:type="dxa" w:w="100"/>
              <w:left w:type="dxa" w:w="140"/>
              <w:bottom w:type="dxa" w:w="100"/>
              <w:right w:type="dxa" w:w="140"/>
            </w:tcMar>
          </w:tcPr>
          <w:p>
            <w:r>
              <w:rPr>
                <w:rFonts w:ascii="Arial" w:cs="Arial" w:eastAsia="Arial" w:hAnsi="Arial"/>
                <w:b/>
                <w:bCs/>
                <w:color w:val="FFFFFF"/>
                <w:sz w:val="20"/>
                <w:szCs w:val="20"/>
              </w:rPr>
              <w:t xml:space="preserve">Tanner Stage</w:t>
            </w:r>
          </w:p>
        </w:tc>
        <w:tc>
          <w:tcPr>
            <w:tcW w:type="dxa" w:w="2400"/>
            <w:tcBorders>
              <w:top w:val="single" w:color="AAAAAA" w:sz="1"/>
              <w:left w:val="single" w:color="AAAAAA" w:sz="1"/>
              <w:bottom w:val="single" w:color="AAAAAA" w:sz="1"/>
              <w:right w:val="single" w:color="AAAAAA" w:sz="1"/>
            </w:tcBorders>
            <w:shd w:fill="B5174E" w:val="clear"/>
            <w:tcMar>
              <w:top w:type="dxa" w:w="100"/>
              <w:left w:type="dxa" w:w="140"/>
              <w:bottom w:type="dxa" w:w="100"/>
              <w:right w:type="dxa" w:w="140"/>
            </w:tcMar>
          </w:tcPr>
          <w:p>
            <w:r>
              <w:rPr>
                <w:rFonts w:ascii="Arial" w:cs="Arial" w:eastAsia="Arial" w:hAnsi="Arial"/>
                <w:b/>
                <w:bCs/>
                <w:color w:val="FFFFFF"/>
                <w:sz w:val="20"/>
                <w:szCs w:val="20"/>
              </w:rPr>
              <w:t xml:space="preserve">Breast Development</w:t>
            </w:r>
          </w:p>
        </w:tc>
        <w:tc>
          <w:tcPr>
            <w:tcW w:type="dxa" w:w="2400"/>
            <w:tcBorders>
              <w:top w:val="single" w:color="AAAAAA" w:sz="1"/>
              <w:left w:val="single" w:color="AAAAAA" w:sz="1"/>
              <w:bottom w:val="single" w:color="AAAAAA" w:sz="1"/>
              <w:right w:val="single" w:color="AAAAAA" w:sz="1"/>
            </w:tcBorders>
            <w:shd w:fill="B5174E" w:val="clear"/>
            <w:tcMar>
              <w:top w:type="dxa" w:w="100"/>
              <w:left w:type="dxa" w:w="140"/>
              <w:bottom w:type="dxa" w:w="100"/>
              <w:right w:type="dxa" w:w="140"/>
            </w:tcMar>
          </w:tcPr>
          <w:p>
            <w:r>
              <w:rPr>
                <w:rFonts w:ascii="Arial" w:cs="Arial" w:eastAsia="Arial" w:hAnsi="Arial"/>
                <w:b/>
                <w:bCs/>
                <w:color w:val="FFFFFF"/>
                <w:sz w:val="20"/>
                <w:szCs w:val="20"/>
              </w:rPr>
              <w:t xml:space="preserve">Pubic Hair</w:t>
            </w:r>
          </w:p>
        </w:tc>
        <w:tc>
          <w:tcPr>
            <w:tcW w:type="dxa" w:w="1700"/>
            <w:tcBorders>
              <w:top w:val="single" w:color="AAAAAA" w:sz="1"/>
              <w:left w:val="single" w:color="AAAAAA" w:sz="1"/>
              <w:bottom w:val="single" w:color="AAAAAA" w:sz="1"/>
              <w:right w:val="single" w:color="AAAAAA" w:sz="1"/>
            </w:tcBorders>
            <w:shd w:fill="B5174E" w:val="clear"/>
            <w:tcMar>
              <w:top w:type="dxa" w:w="100"/>
              <w:left w:type="dxa" w:w="140"/>
              <w:bottom w:type="dxa" w:w="100"/>
              <w:right w:type="dxa" w:w="140"/>
            </w:tcMar>
          </w:tcPr>
          <w:p>
            <w:r>
              <w:rPr>
                <w:rFonts w:ascii="Arial" w:cs="Arial" w:eastAsia="Arial" w:hAnsi="Arial"/>
                <w:b/>
                <w:bCs/>
                <w:color w:val="FFFFFF"/>
                <w:sz w:val="20"/>
                <w:szCs w:val="20"/>
              </w:rPr>
              <w:t xml:space="preserve">Age Range (Girls)</w:t>
            </w:r>
          </w:p>
        </w:tc>
        <w:tc>
          <w:tcPr>
            <w:tcW w:type="dxa" w:w="3260"/>
            <w:tcBorders>
              <w:top w:val="single" w:color="AAAAAA" w:sz="1"/>
              <w:left w:val="single" w:color="AAAAAA" w:sz="1"/>
              <w:bottom w:val="single" w:color="AAAAAA" w:sz="1"/>
              <w:right w:val="single" w:color="AAAAAA" w:sz="1"/>
            </w:tcBorders>
            <w:shd w:fill="B5174E" w:val="clear"/>
            <w:tcMar>
              <w:top w:type="dxa" w:w="100"/>
              <w:left w:type="dxa" w:w="140"/>
              <w:bottom w:type="dxa" w:w="100"/>
              <w:right w:type="dxa" w:w="140"/>
            </w:tcMar>
          </w:tcPr>
          <w:p>
            <w:r>
              <w:rPr>
                <w:rFonts w:ascii="Arial" w:cs="Arial" w:eastAsia="Arial" w:hAnsi="Arial"/>
                <w:b/>
                <w:bCs/>
                <w:color w:val="FFFFFF"/>
                <w:sz w:val="20"/>
                <w:szCs w:val="20"/>
              </w:rPr>
              <w:t xml:space="preserve">Concurrent Events</w:t>
            </w:r>
          </w:p>
        </w:tc>
      </w:tr>
      <w:tr>
        <w:tc>
          <w:tcPr>
            <w:tcW w:type="dxa" w:w="14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Stage I (Prepubertal)</w:t>
            </w:r>
          </w:p>
        </w:tc>
        <w:tc>
          <w:tcPr>
            <w:tcW w:type="dxa" w:w="24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No glandular tissue; flat areola</w:t>
            </w:r>
          </w:p>
        </w:tc>
        <w:tc>
          <w:tcPr>
            <w:tcW w:type="dxa" w:w="24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No pubic hair</w:t>
            </w:r>
          </w:p>
        </w:tc>
        <w:tc>
          <w:tcPr>
            <w:tcW w:type="dxa" w:w="17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Birth–~8 years</w:t>
            </w:r>
          </w:p>
        </w:tc>
        <w:tc>
          <w:tcPr>
            <w:tcW w:type="dxa" w:w="32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Baseline; no reproductive activity</w:t>
            </w:r>
          </w:p>
        </w:tc>
      </w:tr>
      <w:tr>
        <w:tc>
          <w:tcPr>
            <w:tcW w:type="dxa" w:w="14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Stage II</w:t>
            </w:r>
          </w:p>
        </w:tc>
        <w:tc>
          <w:tcPr>
            <w:tcW w:type="dxa" w:w="24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Breast bud (small raised areola); 'thelarche'</w:t>
            </w:r>
          </w:p>
        </w:tc>
        <w:tc>
          <w:tcPr>
            <w:tcW w:type="dxa" w:w="24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Sparse, downy, light hair along labia</w:t>
            </w:r>
          </w:p>
        </w:tc>
        <w:tc>
          <w:tcPr>
            <w:tcW w:type="dxa" w:w="17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~8–11 years</w:t>
            </w:r>
          </w:p>
        </w:tc>
        <w:tc>
          <w:tcPr>
            <w:tcW w:type="dxa" w:w="326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Adrenarche begins; growth acceleration starts; first LH pulses emerge</w:t>
            </w:r>
          </w:p>
        </w:tc>
      </w:tr>
      <w:tr>
        <w:tc>
          <w:tcPr>
            <w:tcW w:type="dxa" w:w="14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Stage III</w:t>
            </w:r>
          </w:p>
        </w:tc>
        <w:tc>
          <w:tcPr>
            <w:tcW w:type="dxa" w:w="24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Larger breast; no areola separation from breast contour</w:t>
            </w:r>
          </w:p>
        </w:tc>
        <w:tc>
          <w:tcPr>
            <w:tcW w:type="dxa" w:w="24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Darker, coarser hair spreads to mons pubis</w:t>
            </w:r>
          </w:p>
        </w:tc>
        <w:tc>
          <w:tcPr>
            <w:tcW w:type="dxa" w:w="17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~10–12 years</w:t>
            </w:r>
          </w:p>
        </w:tc>
        <w:tc>
          <w:tcPr>
            <w:tcW w:type="dxa" w:w="32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Growth spurt peaks; first pimples; voice pitch changes slightly</w:t>
            </w:r>
          </w:p>
        </w:tc>
      </w:tr>
      <w:tr>
        <w:tc>
          <w:tcPr>
            <w:tcW w:type="dxa" w:w="14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Stage IV</w:t>
            </w:r>
          </w:p>
        </w:tc>
        <w:tc>
          <w:tcPr>
            <w:tcW w:type="dxa" w:w="24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Secondary mound: areola and nipple project above breast</w:t>
            </w:r>
          </w:p>
        </w:tc>
        <w:tc>
          <w:tcPr>
            <w:tcW w:type="dxa" w:w="24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Adult type but less area; no thigh spread</w:t>
            </w:r>
          </w:p>
        </w:tc>
        <w:tc>
          <w:tcPr>
            <w:tcW w:type="dxa" w:w="17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~11–13 years</w:t>
            </w:r>
          </w:p>
        </w:tc>
        <w:tc>
          <w:tcPr>
            <w:tcW w:type="dxa" w:w="326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Menarche typically occurs during Stage IV; HPO axis still maturing</w:t>
            </w:r>
          </w:p>
        </w:tc>
      </w:tr>
      <w:tr>
        <w:tc>
          <w:tcPr>
            <w:tcW w:type="dxa" w:w="14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Stage V (Adult)</w:t>
            </w:r>
          </w:p>
        </w:tc>
        <w:tc>
          <w:tcPr>
            <w:tcW w:type="dxa" w:w="24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Adult contour; only nipple projects; areola flat</w:t>
            </w:r>
          </w:p>
        </w:tc>
        <w:tc>
          <w:tcPr>
            <w:tcW w:type="dxa" w:w="24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Adult type with spread to medial thighs</w:t>
            </w:r>
          </w:p>
        </w:tc>
        <w:tc>
          <w:tcPr>
            <w:tcW w:type="dxa" w:w="17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~12–15 years</w:t>
            </w:r>
          </w:p>
        </w:tc>
        <w:tc>
          <w:tcPr>
            <w:tcW w:type="dxa" w:w="32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Regular ovulatory cycles establish; bone plates beginning to close</w:t>
            </w:r>
          </w:p>
        </w:tc>
      </w:tr>
    </w:tbl>
    <w:p>
      <w:pPr>
        <w:spacing w:after="120"/>
      </w:pPr>
    </w:p>
    <w:p>
      <w:pPr>
        <w:pStyle w:val="Heading2"/>
        <w:spacing w:before="320" w:after="140"/>
      </w:pPr>
      <w:r>
        <w:rPr>
          <w:rFonts w:ascii="Arial" w:cs="Arial" w:eastAsia="Arial" w:hAnsi="Arial"/>
          <w:b/>
          <w:bCs/>
          <w:color w:val="1A1A2E"/>
          <w:sz w:val="28"/>
          <w:szCs w:val="28"/>
        </w:rPr>
        <w:t xml:space="preserve">31.2 First Period — What the AI Should Tell Any Adolescent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803D" w:sz="1"/>
              <w:left w:val="single" w:color="15803D" w:sz="1"/>
              <w:bottom w:val="single" w:color="15803D" w:sz="1"/>
              <w:right w:val="single" w:color="15803D" w:sz="1"/>
            </w:tcBorders>
            <w:shd w:fill="DCFCE7" w:val="clear"/>
            <w:tcMar>
              <w:top w:type="dxa" w:w="160"/>
              <w:left w:type="dxa" w:w="200"/>
              <w:bottom w:type="dxa" w:w="160"/>
              <w:right w:type="dxa" w:w="200"/>
            </w:tcMar>
          </w:tcPr>
          <w:p>
            <w:pPr>
              <w:spacing w:after="80"/>
            </w:pPr>
            <w:r>
              <w:rPr>
                <w:rFonts w:ascii="Arial" w:cs="Arial" w:eastAsia="Arial" w:hAnsi="Arial"/>
                <w:b/>
                <w:bCs/>
                <w:color w:val="15803D"/>
                <w:sz w:val="22"/>
                <w:szCs w:val="22"/>
              </w:rPr>
              <w:t xml:space="preserve">💗  FIRST PERIOD — INFORMATION EVERY GIRL NEEDS BEFORE MENARCHE</w:t>
            </w:r>
          </w:p>
          <w:p>
            <w:pPr>
              <w:spacing w:after="60"/>
            </w:pPr>
            <w:r>
              <w:rPr>
                <w:rFonts w:ascii="Arial" w:cs="Arial" w:eastAsia="Arial" w:hAnsi="Arial"/>
                <w:color w:val="333333"/>
                <w:sz w:val="20"/>
                <w:szCs w:val="20"/>
              </w:rPr>
              <w:t xml:space="preserve">WHAT: Your first period (menarche) is when your uterine lining sheds for the first time. It is completely normal and healthy.</w:t>
            </w:r>
          </w:p>
          <w:p>
            <w:pPr>
              <w:spacing w:after="60"/>
            </w:pPr>
            <w:r>
              <w:rPr>
                <w:rFonts w:ascii="Arial" w:cs="Arial" w:eastAsia="Arial" w:hAnsi="Arial"/>
                <w:color w:val="333333"/>
                <w:sz w:val="20"/>
                <w:szCs w:val="20"/>
              </w:rPr>
              <w:t xml:space="preserve">WHEN: Usually between age 10–16, most commonly around 12–13 years. You'll often get it within 2–3 years of breast budding.</w:t>
            </w:r>
          </w:p>
          <w:p>
            <w:pPr>
              <w:spacing w:after="60"/>
            </w:pPr>
            <w:r>
              <w:rPr>
                <w:rFonts w:ascii="Arial" w:cs="Arial" w:eastAsia="Arial" w:hAnsi="Arial"/>
                <w:color w:val="333333"/>
                <w:sz w:val="20"/>
                <w:szCs w:val="20"/>
              </w:rPr>
              <w:t xml:space="preserve">HOW MUCH: Flow can be light to moderate. The first period is often lighter than later periods.</w:t>
            </w:r>
          </w:p>
          <w:p>
            <w:pPr>
              <w:spacing w:after="60"/>
            </w:pPr>
            <w:r>
              <w:rPr>
                <w:rFonts w:ascii="Arial" w:cs="Arial" w:eastAsia="Arial" w:hAnsi="Arial"/>
                <w:color w:val="333333"/>
                <w:sz w:val="20"/>
                <w:szCs w:val="20"/>
              </w:rPr>
              <w:t xml:space="preserve">HOW LONG: Usually 3–7 days. The first year, periods may be irregular — this is normal while your body matures.</w:t>
            </w:r>
          </w:p>
          <w:p>
            <w:pPr>
              <w:spacing w:after="60"/>
            </w:pPr>
            <w:r>
              <w:rPr>
                <w:rFonts w:ascii="Arial" w:cs="Arial" w:eastAsia="Arial" w:hAnsi="Arial"/>
                <w:color w:val="333333"/>
                <w:sz w:val="20"/>
                <w:szCs w:val="20"/>
              </w:rPr>
              <w:t xml:space="preserve">WHAT TO USE: Pads are the easiest starting option. Many girls try tampons or cups later when comfortable.</w:t>
            </w:r>
          </w:p>
          <w:p>
            <w:pPr>
              <w:spacing w:after="60"/>
            </w:pPr>
            <w:r>
              <w:rPr>
                <w:rFonts w:ascii="Arial" w:cs="Arial" w:eastAsia="Arial" w:hAnsi="Arial"/>
                <w:color w:val="333333"/>
                <w:sz w:val="20"/>
                <w:szCs w:val="20"/>
              </w:rPr>
              <w:t xml:space="preserve">PAIN: Some cramping is normal. Heat pad, ibuprofen/paracetamol, gentle exercise help. Severe disabling pain is not normal — tell an adult.</w:t>
            </w:r>
          </w:p>
          <w:p>
            <w:pPr>
              <w:spacing w:after="60"/>
            </w:pPr>
            <w:r>
              <w:rPr>
                <w:rFonts w:ascii="Arial" w:cs="Arial" w:eastAsia="Arial" w:hAnsi="Arial"/>
                <w:color w:val="333333"/>
                <w:sz w:val="20"/>
                <w:szCs w:val="20"/>
              </w:rPr>
              <w:t xml:space="preserve">WHAT'S NOT NORMAL: Soaking through a pad every 1–2 hours; pain that stops daily activities; still no period by age 16.</w:t>
            </w:r>
          </w:p>
          <w:p>
            <w:pPr>
              <w:spacing w:after="60"/>
            </w:pPr>
            <w:r>
              <w:rPr>
                <w:rFonts w:ascii="Arial" w:cs="Arial" w:eastAsia="Arial" w:hAnsi="Arial"/>
                <w:color w:val="333333"/>
                <w:sz w:val="20"/>
                <w:szCs w:val="20"/>
              </w:rPr>
              <w:t xml:space="preserve">WHO TO TELL: A parent, guardian, school nurse, or any trusted adult. You should not have to manage this alone.</w:t>
            </w:r>
          </w:p>
          <w:p>
            <w:pPr>
              <w:spacing w:after="60"/>
            </w:pPr>
            <w:r>
              <w:rPr>
                <w:rFonts w:ascii="Arial" w:cs="Arial" w:eastAsia="Arial" w:hAnsi="Arial"/>
                <w:color w:val="333333"/>
                <w:sz w:val="20"/>
                <w:szCs w:val="20"/>
              </w:rPr>
              <w:t xml:space="preserve">THE BIG LIE TO UNLEARN: Periods are not dirty, shameful, or something to hide. They are a sign of health.</w:t>
            </w:r>
          </w:p>
          <w:p>
            <w:pPr>
              <w:spacing w:after="60"/>
            </w:pPr>
            <w:r>
              <w:rPr>
                <w:rFonts w:ascii="Arial" w:cs="Arial" w:eastAsia="Arial" w:hAnsi="Arial"/>
                <w:color w:val="333333"/>
                <w:sz w:val="20"/>
                <w:szCs w:val="20"/>
              </w:rPr>
              <w:t xml:space="preserve">TRACKING: Start tracking from your first period — write down start date, end date, and how it felt each month.</w:t>
            </w:r>
          </w:p>
        </w:tc>
      </w:tr>
    </w:tbl>
    <w:p>
      <w:pPr>
        <w:spacing w:after="240"/>
      </w:pPr>
    </w:p>
    <w:p>
      <w:pPr>
        <w:pBdr>
          <w:bottom w:val="single" w:color="E0B4C4" w:sz="3"/>
        </w:pBdr>
        <w:spacing w:before="80" w:after="80"/>
      </w:pPr>
    </w:p>
    <w:p>
      <w:pPr>
        <w:pStyle w:val="Heading1"/>
        <w:spacing w:before="480" w:after="200"/>
      </w:pPr>
      <w:r>
        <w:rPr>
          <w:rFonts w:ascii="Arial" w:cs="Arial" w:eastAsia="Arial" w:hAnsi="Arial"/>
          <w:b/>
          <w:bCs/>
          <w:color w:val="B5174E"/>
          <w:sz w:val="38"/>
          <w:szCs w:val="38"/>
        </w:rPr>
        <w:t xml:space="preserve">DOMAIN 32: DISABILITY, CHRONIC ILLNESS &amp; MENSTRUAL HEALTH</w:t>
      </w:r>
    </w:p>
    <w:p>
      <w:pPr>
        <w:pBdr>
          <w:bottom w:val="single" w:color="E0B4C4" w:sz="3"/>
        </w:pBdr>
        <w:spacing w:before="80" w:after="80"/>
      </w:pPr>
    </w:p>
    <w:p>
      <w:pPr>
        <w:spacing w:after="120"/>
      </w:pPr>
      <w:r>
        <w:rPr>
          <w:rFonts w:ascii="Arial" w:cs="Arial" w:eastAsia="Arial" w:hAnsi="Arial"/>
          <w:color w:val="2D2D2D"/>
          <w:sz w:val="22"/>
          <w:szCs w:val="22"/>
        </w:rPr>
        <w:t xml:space="preserve">Women with disabilities are among the most underserved in reproductive health. Yet they face the same menstrual challenges — often compounded by mobility limitations, communication barriers, caregiver dependency, and institutional settings. This domain ensures the AI is inclusive of all women.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5174E" w:sz="1"/>
              <w:left w:val="single" w:color="B5174E" w:sz="1"/>
              <w:bottom w:val="single" w:color="B5174E" w:sz="1"/>
              <w:right w:val="single" w:color="B5174E" w:sz="1"/>
            </w:tcBorders>
            <w:shd w:fill="FDF0F5" w:val="clear"/>
            <w:tcMar>
              <w:top w:type="dxa" w:w="160"/>
              <w:left w:type="dxa" w:w="220"/>
              <w:bottom w:type="dxa" w:w="160"/>
              <w:right w:type="dxa" w:w="220"/>
            </w:tcMar>
          </w:tcPr>
          <w:p>
            <w:pPr>
              <w:spacing w:after="100"/>
            </w:pPr>
            <w:r>
              <w:rPr>
                <w:rFonts w:ascii="Arial" w:cs="Arial" w:eastAsia="Arial" w:hAnsi="Arial"/>
                <w:b/>
                <w:bCs/>
                <w:color w:val="B5174E"/>
                <w:sz w:val="23"/>
                <w:szCs w:val="23"/>
              </w:rPr>
              <w:t xml:space="preserve">☑ CHECKLIST: DOMAIN 32 — DISABILITY &amp; MENSTRUATION</w:t>
            </w:r>
          </w:p>
          <w:p>
            <w:pPr>
              <w:spacing w:after="70"/>
            </w:pPr>
            <w:r>
              <w:rPr>
                <w:rFonts w:ascii="Arial" w:cs="Arial" w:eastAsia="Arial" w:hAnsi="Arial"/>
                <w:color w:val="1A1A2E"/>
                <w:sz w:val="20"/>
                <w:szCs w:val="20"/>
              </w:rPr>
              <w:t xml:space="preserve">  01.  Intellectual disability (ID): menstrual management challenges, caregiver education, menstrual suppression ethics</w:t>
            </w:r>
          </w:p>
          <w:p>
            <w:pPr>
              <w:spacing w:after="70"/>
            </w:pPr>
            <w:r>
              <w:rPr>
                <w:rFonts w:ascii="Arial" w:cs="Arial" w:eastAsia="Arial" w:hAnsi="Arial"/>
                <w:color w:val="1A1A2E"/>
                <w:sz w:val="20"/>
                <w:szCs w:val="20"/>
              </w:rPr>
              <w:t xml:space="preserve">  02.  Autism spectrum disorder (ASD): sensory sensitivity to products, menstrual pain communication, executive function and self-care</w:t>
            </w:r>
          </w:p>
          <w:p>
            <w:pPr>
              <w:spacing w:after="70"/>
            </w:pPr>
            <w:r>
              <w:rPr>
                <w:rFonts w:ascii="Arial" w:cs="Arial" w:eastAsia="Arial" w:hAnsi="Arial"/>
                <w:color w:val="1A1A2E"/>
                <w:sz w:val="20"/>
                <w:szCs w:val="20"/>
              </w:rPr>
              <w:t xml:space="preserve">  03.  Spinal cord injury (SCI): menstrual return post-injury, autonomic dysreflexia risk during menstruation, catheter management</w:t>
            </w:r>
          </w:p>
          <w:p>
            <w:pPr>
              <w:spacing w:after="70"/>
            </w:pPr>
            <w:r>
              <w:rPr>
                <w:rFonts w:ascii="Arial" w:cs="Arial" w:eastAsia="Arial" w:hAnsi="Arial"/>
                <w:color w:val="1A1A2E"/>
                <w:sz w:val="20"/>
                <w:szCs w:val="20"/>
              </w:rPr>
              <w:t xml:space="preserve">  04.  Multiple sclerosis (MS): relapsing-remitting pattern and menstrual cycle interaction, fatigue amplification premenstrually</w:t>
            </w:r>
          </w:p>
          <w:p>
            <w:pPr>
              <w:spacing w:after="70"/>
            </w:pPr>
            <w:r>
              <w:rPr>
                <w:rFonts w:ascii="Arial" w:cs="Arial" w:eastAsia="Arial" w:hAnsi="Arial"/>
                <w:color w:val="1A1A2E"/>
                <w:sz w:val="20"/>
                <w:szCs w:val="20"/>
              </w:rPr>
              <w:t xml:space="preserve">  05.  Lupus (SLE): flares correlated with menstrual cycle — lupus activity often worsens premenstrually</w:t>
            </w:r>
          </w:p>
          <w:p>
            <w:pPr>
              <w:spacing w:after="70"/>
            </w:pPr>
            <w:r>
              <w:rPr>
                <w:rFonts w:ascii="Arial" w:cs="Arial" w:eastAsia="Arial" w:hAnsi="Arial"/>
                <w:color w:val="1A1A2E"/>
                <w:sz w:val="20"/>
                <w:szCs w:val="20"/>
              </w:rPr>
              <w:t xml:space="preserve">  06.  Wheelchair users: menstrual product access and application challenges, adaptive period underwear, caregiver support</w:t>
            </w:r>
          </w:p>
          <w:p>
            <w:pPr>
              <w:spacing w:after="70"/>
            </w:pPr>
            <w:r>
              <w:rPr>
                <w:rFonts w:ascii="Arial" w:cs="Arial" w:eastAsia="Arial" w:hAnsi="Arial"/>
                <w:color w:val="1A1A2E"/>
                <w:sz w:val="20"/>
                <w:szCs w:val="20"/>
              </w:rPr>
              <w:t xml:space="preserve">  07.  Blind/visually impaired: product identification, labeling, tactile learning of insertion techniques</w:t>
            </w:r>
          </w:p>
          <w:p>
            <w:pPr>
              <w:spacing w:after="70"/>
            </w:pPr>
            <w:r>
              <w:rPr>
                <w:rFonts w:ascii="Arial" w:cs="Arial" w:eastAsia="Arial" w:hAnsi="Arial"/>
                <w:color w:val="1A1A2E"/>
                <w:sz w:val="20"/>
                <w:szCs w:val="20"/>
              </w:rPr>
              <w:t xml:space="preserve">  08.  Deaf/hard of hearing: ASL resources, captioned menstrual health content, communication barriers in clinical settings</w:t>
            </w:r>
          </w:p>
          <w:p>
            <w:pPr>
              <w:spacing w:after="70"/>
            </w:pPr>
            <w:r>
              <w:rPr>
                <w:rFonts w:ascii="Arial" w:cs="Arial" w:eastAsia="Arial" w:hAnsi="Arial"/>
                <w:color w:val="1A1A2E"/>
                <w:sz w:val="20"/>
                <w:szCs w:val="20"/>
              </w:rPr>
              <w:t xml:space="preserve">  09.  Eating disorders: anorexia-amenorrhea connection, refeeding amenorrhea resolution, bone density monitoring</w:t>
            </w:r>
          </w:p>
          <w:p>
            <w:pPr>
              <w:spacing w:after="70"/>
            </w:pPr>
            <w:r>
              <w:rPr>
                <w:rFonts w:ascii="Arial" w:cs="Arial" w:eastAsia="Arial" w:hAnsi="Arial"/>
                <w:color w:val="1A1A2E"/>
                <w:sz w:val="20"/>
                <w:szCs w:val="20"/>
              </w:rPr>
              <w:t xml:space="preserve">  10.  Chronic illness and cycle disruption: IBD, RA, lupus, fibromyalgia — all show cyclical exacerbation patterns</w:t>
            </w:r>
          </w:p>
          <w:p>
            <w:pPr>
              <w:spacing w:after="70"/>
            </w:pPr>
            <w:r>
              <w:rPr>
                <w:rFonts w:ascii="Arial" w:cs="Arial" w:eastAsia="Arial" w:hAnsi="Arial"/>
                <w:color w:val="1A1A2E"/>
                <w:sz w:val="20"/>
                <w:szCs w:val="20"/>
              </w:rPr>
              <w:t xml:space="preserve">  11.  Menstrual suppression in disability: ethical framework, informed consent with capacity assessment, benefits vs risks</w:t>
            </w:r>
          </w:p>
          <w:p>
            <w:pPr>
              <w:spacing w:after="70"/>
            </w:pPr>
            <w:r>
              <w:rPr>
                <w:rFonts w:ascii="Arial" w:cs="Arial" w:eastAsia="Arial" w:hAnsi="Arial"/>
                <w:color w:val="1A1A2E"/>
                <w:sz w:val="20"/>
                <w:szCs w:val="20"/>
              </w:rPr>
              <w:t xml:space="preserve">  12.  Institutionalized women: menstrual hygiene management in residential facilities, dignity and rights</w:t>
            </w:r>
          </w:p>
        </w:tc>
      </w:tr>
    </w:tbl>
    <w:p>
      <w:pPr>
        <w:spacing w:after="120"/>
      </w:pPr>
    </w:p>
    <w:p>
      <w:pPr>
        <w:pStyle w:val="Heading2"/>
        <w:spacing w:before="320" w:after="140"/>
      </w:pPr>
      <w:r>
        <w:rPr>
          <w:rFonts w:ascii="Arial" w:cs="Arial" w:eastAsia="Arial" w:hAnsi="Arial"/>
          <w:b/>
          <w:bCs/>
          <w:color w:val="1A1A2E"/>
          <w:sz w:val="28"/>
          <w:szCs w:val="28"/>
        </w:rPr>
        <w:t xml:space="preserve">32.1 Menstrual Cycle and Chronic Illness — Flare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600"/>
        <w:gridCol w:w="3160"/>
      </w:tblGrid>
      <w:tr>
        <w:trPr>
          <w:tblHeader/>
        </w:trPr>
        <w:tc>
          <w:tcPr>
            <w:tcW w:type="dxa" w:w="1800"/>
            <w:tcBorders>
              <w:top w:val="single" w:color="AAAAAA" w:sz="1"/>
              <w:left w:val="single" w:color="AAAAAA" w:sz="1"/>
              <w:bottom w:val="single" w:color="AAAAAA" w:sz="1"/>
              <w:right w:val="single" w:color="AAAAAA" w:sz="1"/>
            </w:tcBorders>
            <w:shd w:fill="B5174E" w:val="clear"/>
            <w:tcMar>
              <w:top w:type="dxa" w:w="100"/>
              <w:left w:type="dxa" w:w="140"/>
              <w:bottom w:type="dxa" w:w="100"/>
              <w:right w:type="dxa" w:w="140"/>
            </w:tcMar>
          </w:tcPr>
          <w:p>
            <w:r>
              <w:rPr>
                <w:rFonts w:ascii="Arial" w:cs="Arial" w:eastAsia="Arial" w:hAnsi="Arial"/>
                <w:b/>
                <w:bCs/>
                <w:color w:val="FFFFFF"/>
                <w:sz w:val="20"/>
                <w:szCs w:val="20"/>
              </w:rPr>
              <w:t xml:space="preserve">Condition</w:t>
            </w:r>
          </w:p>
        </w:tc>
        <w:tc>
          <w:tcPr>
            <w:tcW w:type="dxa" w:w="1800"/>
            <w:tcBorders>
              <w:top w:val="single" w:color="AAAAAA" w:sz="1"/>
              <w:left w:val="single" w:color="AAAAAA" w:sz="1"/>
              <w:bottom w:val="single" w:color="AAAAAA" w:sz="1"/>
              <w:right w:val="single" w:color="AAAAAA" w:sz="1"/>
            </w:tcBorders>
            <w:shd w:fill="B5174E" w:val="clear"/>
            <w:tcMar>
              <w:top w:type="dxa" w:w="100"/>
              <w:left w:type="dxa" w:w="140"/>
              <w:bottom w:type="dxa" w:w="100"/>
              <w:right w:type="dxa" w:w="140"/>
            </w:tcMar>
          </w:tcPr>
          <w:p>
            <w:r>
              <w:rPr>
                <w:rFonts w:ascii="Arial" w:cs="Arial" w:eastAsia="Arial" w:hAnsi="Arial"/>
                <w:b/>
                <w:bCs/>
                <w:color w:val="FFFFFF"/>
                <w:sz w:val="20"/>
                <w:szCs w:val="20"/>
              </w:rPr>
              <w:t xml:space="preserve">Phase of Exacerbation</w:t>
            </w:r>
          </w:p>
        </w:tc>
        <w:tc>
          <w:tcPr>
            <w:tcW w:type="dxa" w:w="2600"/>
            <w:tcBorders>
              <w:top w:val="single" w:color="AAAAAA" w:sz="1"/>
              <w:left w:val="single" w:color="AAAAAA" w:sz="1"/>
              <w:bottom w:val="single" w:color="AAAAAA" w:sz="1"/>
              <w:right w:val="single" w:color="AAAAAA" w:sz="1"/>
            </w:tcBorders>
            <w:shd w:fill="B5174E" w:val="clear"/>
            <w:tcMar>
              <w:top w:type="dxa" w:w="100"/>
              <w:left w:type="dxa" w:w="140"/>
              <w:bottom w:type="dxa" w:w="100"/>
              <w:right w:type="dxa" w:w="140"/>
            </w:tcMar>
          </w:tcPr>
          <w:p>
            <w:r>
              <w:rPr>
                <w:rFonts w:ascii="Arial" w:cs="Arial" w:eastAsia="Arial" w:hAnsi="Arial"/>
                <w:b/>
                <w:bCs/>
                <w:color w:val="FFFFFF"/>
                <w:sz w:val="20"/>
                <w:szCs w:val="20"/>
              </w:rPr>
              <w:t xml:space="preserve">Proposed Mechanism</w:t>
            </w:r>
          </w:p>
        </w:tc>
        <w:tc>
          <w:tcPr>
            <w:tcW w:type="dxa" w:w="3160"/>
            <w:tcBorders>
              <w:top w:val="single" w:color="AAAAAA" w:sz="1"/>
              <w:left w:val="single" w:color="AAAAAA" w:sz="1"/>
              <w:bottom w:val="single" w:color="AAAAAA" w:sz="1"/>
              <w:right w:val="single" w:color="AAAAAA" w:sz="1"/>
            </w:tcBorders>
            <w:shd w:fill="B5174E" w:val="clear"/>
            <w:tcMar>
              <w:top w:type="dxa" w:w="100"/>
              <w:left w:type="dxa" w:w="140"/>
              <w:bottom w:type="dxa" w:w="100"/>
              <w:right w:type="dxa" w:w="140"/>
            </w:tcMar>
          </w:tcPr>
          <w:p>
            <w:r>
              <w:rPr>
                <w:rFonts w:ascii="Arial" w:cs="Arial" w:eastAsia="Arial" w:hAnsi="Arial"/>
                <w:b/>
                <w:bCs/>
                <w:color w:val="FFFFFF"/>
                <w:sz w:val="20"/>
                <w:szCs w:val="20"/>
              </w:rPr>
              <w:t xml:space="preserve">Clinical Management</w:t>
            </w:r>
          </w:p>
        </w:tc>
      </w:tr>
      <w:tr>
        <w:tc>
          <w:tcPr>
            <w:tcW w:type="dxa" w:w="18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Systemic Lupus (SLE)</w:t>
            </w:r>
          </w:p>
        </w:tc>
        <w:tc>
          <w:tcPr>
            <w:tcW w:type="dxa" w:w="18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Premenstrual and menstrual phases</w:t>
            </w:r>
          </w:p>
        </w:tc>
        <w:tc>
          <w:tcPr>
            <w:tcW w:type="dxa" w:w="26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Estrogen activates B cells and autoantibody production; progesterone withdrawal → immune surge</w:t>
            </w:r>
          </w:p>
        </w:tc>
        <w:tc>
          <w:tcPr>
            <w:tcW w:type="dxa" w:w="31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Track flares with cycle; GnRH analog for severe cases; hydroxychloroquine protective</w:t>
            </w:r>
          </w:p>
        </w:tc>
      </w:tr>
      <w:tr>
        <w:tc>
          <w:tcPr>
            <w:tcW w:type="dxa" w:w="18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Rheumatoid Arthritis (RA)</w:t>
            </w:r>
          </w:p>
        </w:tc>
        <w:tc>
          <w:tcPr>
            <w:tcW w:type="dxa" w:w="18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Premenstrual flares; remission during pregnancy</w:t>
            </w:r>
          </w:p>
        </w:tc>
        <w:tc>
          <w:tcPr>
            <w:tcW w:type="dxa" w:w="26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Estrogen has anti-inflammatory effect; drop premenstrually → inflammation surge</w:t>
            </w:r>
          </w:p>
        </w:tc>
        <w:tc>
          <w:tcPr>
            <w:tcW w:type="dxa" w:w="316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NSAID optimization in late luteal phase; note pregnancy remission for patient counseling</w:t>
            </w:r>
          </w:p>
        </w:tc>
      </w:tr>
      <w:tr>
        <w:tc>
          <w:tcPr>
            <w:tcW w:type="dxa" w:w="18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Multiple Sclerosis (MS)</w:t>
            </w:r>
          </w:p>
        </w:tc>
        <w:tc>
          <w:tcPr>
            <w:tcW w:type="dxa" w:w="18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Premenstrual fatigue + symptom worsening</w:t>
            </w:r>
          </w:p>
        </w:tc>
        <w:tc>
          <w:tcPr>
            <w:tcW w:type="dxa" w:w="26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Progesterone has modest neuroprotective role; premenstrual drop may worsen demyelination</w:t>
            </w:r>
          </w:p>
        </w:tc>
        <w:tc>
          <w:tcPr>
            <w:tcW w:type="dxa" w:w="31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Heat sensitivity worsening premenstrually; symptom diary to plan treatment adjustments</w:t>
            </w:r>
          </w:p>
        </w:tc>
      </w:tr>
      <w:tr>
        <w:tc>
          <w:tcPr>
            <w:tcW w:type="dxa" w:w="18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Inflammatory Bowel Disease (IBD)</w:t>
            </w:r>
          </w:p>
        </w:tc>
        <w:tc>
          <w:tcPr>
            <w:tcW w:type="dxa" w:w="18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Premenstrual and menstrual — diarrhea, pain, bleeding worse</w:t>
            </w:r>
          </w:p>
        </w:tc>
        <w:tc>
          <w:tcPr>
            <w:tcW w:type="dxa" w:w="26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Prostaglandins released during menstruation increase GI motility; endometriosis overlap common</w:t>
            </w:r>
          </w:p>
        </w:tc>
        <w:tc>
          <w:tcPr>
            <w:tcW w:type="dxa" w:w="316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NSAID caution (worsen IBD); hormonal contraception may reduce symptoms; endometriosis screen</w:t>
            </w:r>
          </w:p>
        </w:tc>
      </w:tr>
      <w:tr>
        <w:tc>
          <w:tcPr>
            <w:tcW w:type="dxa" w:w="18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Fibromyalgia</w:t>
            </w:r>
          </w:p>
        </w:tc>
        <w:tc>
          <w:tcPr>
            <w:tcW w:type="dxa" w:w="18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Premenstrual phase</w:t>
            </w:r>
          </w:p>
        </w:tc>
        <w:tc>
          <w:tcPr>
            <w:tcW w:type="dxa" w:w="26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Central sensitization amplification; estrogen-serotonin drop → increased pain perception</w:t>
            </w:r>
          </w:p>
        </w:tc>
        <w:tc>
          <w:tcPr>
            <w:tcW w:type="dxa" w:w="31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Pain management optimization; magnesium; CBT; note PMDD overlap in 30–40% of fibromyalgia patients</w:t>
            </w:r>
          </w:p>
        </w:tc>
      </w:tr>
      <w:tr>
        <w:tc>
          <w:tcPr>
            <w:tcW w:type="dxa" w:w="18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Type 1 Diabetes</w:t>
            </w:r>
          </w:p>
        </w:tc>
        <w:tc>
          <w:tcPr>
            <w:tcW w:type="dxa" w:w="18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Luteal phase — insulin resistance rises</w:t>
            </w:r>
          </w:p>
        </w:tc>
        <w:tc>
          <w:tcPr>
            <w:tcW w:type="dxa" w:w="26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Progesterone and estrogen together increase insulin resistance; blood glucose harder to control</w:t>
            </w:r>
          </w:p>
        </w:tc>
        <w:tc>
          <w:tcPr>
            <w:tcW w:type="dxa" w:w="316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Increase insulin sensitivity monitoring Days 14–28; log cycle alongside glucose data</w:t>
            </w:r>
          </w:p>
        </w:tc>
      </w:tr>
      <w:tr>
        <w:tc>
          <w:tcPr>
            <w:tcW w:type="dxa" w:w="18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Epilepsy (catamenial)</w:t>
            </w:r>
          </w:p>
        </w:tc>
        <w:tc>
          <w:tcPr>
            <w:tcW w:type="dxa" w:w="18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Perimenstrual and ovulatory phases</w:t>
            </w:r>
          </w:p>
        </w:tc>
        <w:tc>
          <w:tcPr>
            <w:tcW w:type="dxa" w:w="26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Estrogen lowers seizure threshold; progesterone raises it; estrogen:progesterone ratio drives seizure risk</w:t>
            </w:r>
          </w:p>
        </w:tc>
        <w:tc>
          <w:tcPr>
            <w:tcW w:type="dxa" w:w="31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Catamenial epilepsy affects 10–70% of women with epilepsy; cycle-phase-based AED adjustment</w:t>
            </w:r>
          </w:p>
        </w:tc>
      </w:tr>
      <w:tr>
        <w:tc>
          <w:tcPr>
            <w:tcW w:type="dxa" w:w="18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Asthma (catamenial)</w:t>
            </w:r>
          </w:p>
        </w:tc>
        <w:tc>
          <w:tcPr>
            <w:tcW w:type="dxa" w:w="18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Premenstrual — 3–4 days before period</w:t>
            </w:r>
          </w:p>
        </w:tc>
        <w:tc>
          <w:tcPr>
            <w:tcW w:type="dxa" w:w="26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Progesterone withdrawal → airway inflammation; prostaglandins; estrogen-asthma interaction</w:t>
            </w:r>
          </w:p>
        </w:tc>
        <w:tc>
          <w:tcPr>
            <w:tcW w:type="dxa" w:w="316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40% of asthmatic women have catamenial pattern; adjust preventer timing; track peak flow with cycle</w:t>
            </w:r>
          </w:p>
        </w:tc>
      </w:tr>
    </w:tbl>
    <w:p>
      <w:pPr>
        <w:spacing w:after="240"/>
      </w:pPr>
    </w:p>
    <w:p>
      <w:pPr>
        <w:pBdr>
          <w:bottom w:val="single" w:color="E0B4C4" w:sz="3"/>
        </w:pBdr>
        <w:spacing w:before="80" w:after="80"/>
      </w:pPr>
    </w:p>
    <w:p>
      <w:pPr>
        <w:pStyle w:val="Heading1"/>
        <w:spacing w:before="480" w:after="200"/>
      </w:pPr>
      <w:r>
        <w:rPr>
          <w:rFonts w:ascii="Arial" w:cs="Arial" w:eastAsia="Arial" w:hAnsi="Arial"/>
          <w:b/>
          <w:bCs/>
          <w:color w:val="B5174E"/>
          <w:sz w:val="38"/>
          <w:szCs w:val="38"/>
        </w:rPr>
        <w:t xml:space="preserve">DOMAIN 33: CANCER SCREENING PROTOCOLS FOR WOMEN — AGE-BY-AGE GUIDE</w:t>
      </w:r>
    </w:p>
    <w:p>
      <w:pPr>
        <w:pBdr>
          <w:bottom w:val="single" w:color="E0B4C4" w:sz="3"/>
        </w:pBdr>
        <w:spacing w:before="80" w:after="80"/>
      </w:pPr>
    </w:p>
    <w:p>
      <w:pPr>
        <w:spacing w:after="120"/>
      </w:pPr>
      <w:r>
        <w:rPr>
          <w:rFonts w:ascii="Arial" w:cs="Arial" w:eastAsia="Arial" w:hAnsi="Arial"/>
          <w:color w:val="2D2D2D"/>
          <w:sz w:val="22"/>
          <w:szCs w:val="22"/>
        </w:rPr>
        <w:t xml:space="preserve">A comprehensive women's health AI must be able to answer questions about cancer screening schedules, explain what abnormal results mean, and guide users to appropriate follow-up. This domain covers the four major gynaecological and women's cancers.</w:t>
      </w:r>
    </w:p>
    <w:p>
      <w:pPr>
        <w:pStyle w:val="Heading2"/>
        <w:spacing w:before="320" w:after="140"/>
      </w:pPr>
      <w:r>
        <w:rPr>
          <w:rFonts w:ascii="Arial" w:cs="Arial" w:eastAsia="Arial" w:hAnsi="Arial"/>
          <w:b/>
          <w:bCs/>
          <w:color w:val="1A1A2E"/>
          <w:sz w:val="28"/>
          <w:szCs w:val="28"/>
        </w:rPr>
        <w:t xml:space="preserve">33.1 Cervical Cancer Screening (Pap Smear + HPV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500"/>
        <w:gridCol w:w="2000"/>
        <w:gridCol w:w="3260"/>
      </w:tblGrid>
      <w:tr>
        <w:trPr>
          <w:tblHeader/>
        </w:trPr>
        <w:tc>
          <w:tcPr>
            <w:tcW w:type="dxa" w:w="1600"/>
            <w:tcBorders>
              <w:top w:val="single" w:color="AAAAAA" w:sz="1"/>
              <w:left w:val="single" w:color="AAAAAA" w:sz="1"/>
              <w:bottom w:val="single" w:color="AAAAAA" w:sz="1"/>
              <w:right w:val="single" w:color="AAAAAA" w:sz="1"/>
            </w:tcBorders>
            <w:shd w:fill="B5174E" w:val="clear"/>
            <w:tcMar>
              <w:top w:type="dxa" w:w="100"/>
              <w:left w:type="dxa" w:w="140"/>
              <w:bottom w:type="dxa" w:w="100"/>
              <w:right w:type="dxa" w:w="140"/>
            </w:tcMar>
          </w:tcPr>
          <w:p>
            <w:r>
              <w:rPr>
                <w:rFonts w:ascii="Arial" w:cs="Arial" w:eastAsia="Arial" w:hAnsi="Arial"/>
                <w:b/>
                <w:bCs/>
                <w:color w:val="FFFFFF"/>
                <w:sz w:val="20"/>
                <w:szCs w:val="20"/>
              </w:rPr>
              <w:t xml:space="preserve">Age Group</w:t>
            </w:r>
          </w:p>
        </w:tc>
        <w:tc>
          <w:tcPr>
            <w:tcW w:type="dxa" w:w="2500"/>
            <w:tcBorders>
              <w:top w:val="single" w:color="AAAAAA" w:sz="1"/>
              <w:left w:val="single" w:color="AAAAAA" w:sz="1"/>
              <w:bottom w:val="single" w:color="AAAAAA" w:sz="1"/>
              <w:right w:val="single" w:color="AAAAAA" w:sz="1"/>
            </w:tcBorders>
            <w:shd w:fill="B5174E" w:val="clear"/>
            <w:tcMar>
              <w:top w:type="dxa" w:w="100"/>
              <w:left w:type="dxa" w:w="140"/>
              <w:bottom w:type="dxa" w:w="100"/>
              <w:right w:type="dxa" w:w="140"/>
            </w:tcMar>
          </w:tcPr>
          <w:p>
            <w:r>
              <w:rPr>
                <w:rFonts w:ascii="Arial" w:cs="Arial" w:eastAsia="Arial" w:hAnsi="Arial"/>
                <w:b/>
                <w:bCs/>
                <w:color w:val="FFFFFF"/>
                <w:sz w:val="20"/>
                <w:szCs w:val="20"/>
              </w:rPr>
              <w:t xml:space="preserve">ACOG / WHO Recommendation</w:t>
            </w:r>
          </w:p>
        </w:tc>
        <w:tc>
          <w:tcPr>
            <w:tcW w:type="dxa" w:w="2000"/>
            <w:tcBorders>
              <w:top w:val="single" w:color="AAAAAA" w:sz="1"/>
              <w:left w:val="single" w:color="AAAAAA" w:sz="1"/>
              <w:bottom w:val="single" w:color="AAAAAA" w:sz="1"/>
              <w:right w:val="single" w:color="AAAAAA" w:sz="1"/>
            </w:tcBorders>
            <w:shd w:fill="B5174E" w:val="clear"/>
            <w:tcMar>
              <w:top w:type="dxa" w:w="100"/>
              <w:left w:type="dxa" w:w="140"/>
              <w:bottom w:type="dxa" w:w="100"/>
              <w:right w:type="dxa" w:w="140"/>
            </w:tcMar>
          </w:tcPr>
          <w:p>
            <w:r>
              <w:rPr>
                <w:rFonts w:ascii="Arial" w:cs="Arial" w:eastAsia="Arial" w:hAnsi="Arial"/>
                <w:b/>
                <w:bCs/>
                <w:color w:val="FFFFFF"/>
                <w:sz w:val="20"/>
                <w:szCs w:val="20"/>
              </w:rPr>
              <w:t xml:space="preserve">What Is Done</w:t>
            </w:r>
          </w:p>
        </w:tc>
        <w:tc>
          <w:tcPr>
            <w:tcW w:type="dxa" w:w="3260"/>
            <w:tcBorders>
              <w:top w:val="single" w:color="AAAAAA" w:sz="1"/>
              <w:left w:val="single" w:color="AAAAAA" w:sz="1"/>
              <w:bottom w:val="single" w:color="AAAAAA" w:sz="1"/>
              <w:right w:val="single" w:color="AAAAAA" w:sz="1"/>
            </w:tcBorders>
            <w:shd w:fill="B5174E" w:val="clear"/>
            <w:tcMar>
              <w:top w:type="dxa" w:w="100"/>
              <w:left w:type="dxa" w:w="140"/>
              <w:bottom w:type="dxa" w:w="100"/>
              <w:right w:type="dxa" w:w="140"/>
            </w:tcMar>
          </w:tcPr>
          <w:p>
            <w:r>
              <w:rPr>
                <w:rFonts w:ascii="Arial" w:cs="Arial" w:eastAsia="Arial" w:hAnsi="Arial"/>
                <w:b/>
                <w:bCs/>
                <w:color w:val="FFFFFF"/>
                <w:sz w:val="20"/>
                <w:szCs w:val="20"/>
              </w:rPr>
              <w:t xml:space="preserve">If Abnormal</w:t>
            </w:r>
          </w:p>
        </w:tc>
      </w:tr>
      <w:tr>
        <w:tc>
          <w:tcPr>
            <w:tcW w:type="dxa" w:w="16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Under 21</w:t>
            </w:r>
          </w:p>
        </w:tc>
        <w:tc>
          <w:tcPr>
            <w:tcW w:type="dxa" w:w="25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No screening recommended</w:t>
            </w:r>
          </w:p>
        </w:tc>
        <w:tc>
          <w:tcPr>
            <w:tcW w:type="dxa" w:w="20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w:t>
            </w:r>
          </w:p>
        </w:tc>
        <w:tc>
          <w:tcPr>
            <w:tcW w:type="dxa" w:w="32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Even if sexually active; no exceptions unless HIV+</w:t>
            </w:r>
          </w:p>
        </w:tc>
      </w:tr>
      <w:tr>
        <w:tc>
          <w:tcPr>
            <w:tcW w:type="dxa" w:w="16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21–25 years</w:t>
            </w:r>
          </w:p>
        </w:tc>
        <w:tc>
          <w:tcPr>
            <w:tcW w:type="dxa" w:w="25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Pap smear alone every 3 years</w:t>
            </w:r>
          </w:p>
        </w:tc>
        <w:tc>
          <w:tcPr>
            <w:tcW w:type="dxa" w:w="20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Cervical cells examined for abnormal changes (CIN)</w:t>
            </w:r>
          </w:p>
        </w:tc>
        <w:tc>
          <w:tcPr>
            <w:tcW w:type="dxa" w:w="326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ASC-US → HPV reflex test. LSIL → colposcopy. HSIL → colposcopy + biopsy.</w:t>
            </w:r>
          </w:p>
        </w:tc>
      </w:tr>
      <w:tr>
        <w:tc>
          <w:tcPr>
            <w:tcW w:type="dxa" w:w="16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25–65 years (primary HPV testing)</w:t>
            </w:r>
          </w:p>
        </w:tc>
        <w:tc>
          <w:tcPr>
            <w:tcW w:type="dxa" w:w="25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HPV test alone every 5 years (preferred) OR HPV+Pap co-test every 5 years OR Pap alone every 3 years</w:t>
            </w:r>
          </w:p>
        </w:tc>
        <w:tc>
          <w:tcPr>
            <w:tcW w:type="dxa" w:w="20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High-risk HPV DNA detected from cervical swab</w:t>
            </w:r>
          </w:p>
        </w:tc>
        <w:tc>
          <w:tcPr>
            <w:tcW w:type="dxa" w:w="32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HPV 16/18 → immediate colposcopy. Other hrHPV + abnormal cytology → colposcopy.</w:t>
            </w:r>
          </w:p>
        </w:tc>
      </w:tr>
      <w:tr>
        <w:tc>
          <w:tcPr>
            <w:tcW w:type="dxa" w:w="16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Over 65</w:t>
            </w:r>
          </w:p>
        </w:tc>
        <w:tc>
          <w:tcPr>
            <w:tcW w:type="dxa" w:w="25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Discontinue screening if 3 consecutive negative Pap OR 2 negative co-tests in 10 years</w:t>
            </w:r>
          </w:p>
        </w:tc>
        <w:tc>
          <w:tcPr>
            <w:tcW w:type="dxa" w:w="20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w:t>
            </w:r>
          </w:p>
        </w:tc>
        <w:tc>
          <w:tcPr>
            <w:tcW w:type="dxa" w:w="326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Any abnormal bleeding post-menopause → immediate evaluation (endometrial cancer rule-out)</w:t>
            </w:r>
          </w:p>
        </w:tc>
      </w:tr>
      <w:tr>
        <w:tc>
          <w:tcPr>
            <w:tcW w:type="dxa" w:w="16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Post-hysterectomy (no cervix)</w:t>
            </w:r>
          </w:p>
        </w:tc>
        <w:tc>
          <w:tcPr>
            <w:tcW w:type="dxa" w:w="25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Discontinue if removed for benign disease with no history of CIN 2+</w:t>
            </w:r>
          </w:p>
        </w:tc>
        <w:tc>
          <w:tcPr>
            <w:tcW w:type="dxa" w:w="20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w:t>
            </w:r>
          </w:p>
        </w:tc>
        <w:tc>
          <w:tcPr>
            <w:tcW w:type="dxa" w:w="32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If history of CIN 2+ or cancer → continue vault smears per specialist advice</w:t>
            </w:r>
          </w:p>
        </w:tc>
      </w:tr>
      <w:tr>
        <w:tc>
          <w:tcPr>
            <w:tcW w:type="dxa" w:w="16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HIV positive / immunocompromised</w:t>
            </w:r>
          </w:p>
        </w:tc>
        <w:tc>
          <w:tcPr>
            <w:tcW w:type="dxa" w:w="25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More frequent — every 1–3 years depending on CD4 count</w:t>
            </w:r>
          </w:p>
        </w:tc>
        <w:tc>
          <w:tcPr>
            <w:tcW w:type="dxa" w:w="20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Standard Pap + HPV</w:t>
            </w:r>
          </w:p>
        </w:tc>
        <w:tc>
          <w:tcPr>
            <w:tcW w:type="dxa" w:w="326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Lower threshold for colposcopy referral</w:t>
            </w:r>
          </w:p>
        </w:tc>
      </w:tr>
    </w:tbl>
    <w:p>
      <w:pPr>
        <w:spacing w:after="120"/>
      </w:pPr>
    </w:p>
    <w:p>
      <w:pPr>
        <w:pStyle w:val="Heading2"/>
        <w:spacing w:before="320" w:after="140"/>
      </w:pPr>
      <w:r>
        <w:rPr>
          <w:rFonts w:ascii="Arial" w:cs="Arial" w:eastAsia="Arial" w:hAnsi="Arial"/>
          <w:b/>
          <w:bCs/>
          <w:color w:val="1A1A2E"/>
          <w:sz w:val="28"/>
          <w:szCs w:val="28"/>
        </w:rPr>
        <w:t xml:space="preserve">33.2 HPV Vaccination Schedule</w:t>
      </w:r>
    </w:p>
    <w:p>
      <w:pPr>
        <w:pStyle w:val="ListParagraph"/>
        <w:numPr>
          <w:ilvl w:val="0"/>
          <w:numId w:val="2"/>
        </w:numPr>
        <w:spacing w:after="80"/>
      </w:pPr>
      <w:r>
        <w:rPr>
          <w:rFonts w:ascii="Arial" w:cs="Arial" w:eastAsia="Arial" w:hAnsi="Arial"/>
          <w:color w:val="333333"/>
          <w:sz w:val="21"/>
          <w:szCs w:val="21"/>
        </w:rPr>
        <w:t xml:space="preserve">HPV vaccine (Gardasil 9) protects against HPV types 6, 11, 16, 18, 31, 33, 45, 52, 58 — responsible for ~90% of cervical cancers and 90%+ of genital warts.</w:t>
      </w:r>
    </w:p>
    <w:p>
      <w:pPr>
        <w:pStyle w:val="ListParagraph"/>
        <w:numPr>
          <w:ilvl w:val="0"/>
          <w:numId w:val="2"/>
        </w:numPr>
        <w:spacing w:after="80"/>
      </w:pPr>
      <w:r>
        <w:rPr>
          <w:rFonts w:ascii="Arial" w:cs="Arial" w:eastAsia="Arial" w:hAnsi="Arial"/>
          <w:color w:val="333333"/>
          <w:sz w:val="21"/>
          <w:szCs w:val="21"/>
        </w:rPr>
        <w:t xml:space="preserve">Optimal age: 9–12 years (before sexual debut). 2-dose schedule if starting before age 15: doses 0 and 6–12 months.</w:t>
      </w:r>
    </w:p>
    <w:p>
      <w:pPr>
        <w:pStyle w:val="ListParagraph"/>
        <w:numPr>
          <w:ilvl w:val="0"/>
          <w:numId w:val="2"/>
        </w:numPr>
        <w:spacing w:after="80"/>
      </w:pPr>
      <w:r>
        <w:rPr>
          <w:rFonts w:ascii="Arial" w:cs="Arial" w:eastAsia="Arial" w:hAnsi="Arial"/>
          <w:color w:val="333333"/>
          <w:sz w:val="21"/>
          <w:szCs w:val="21"/>
        </w:rPr>
        <w:t xml:space="preserve">Ages 15–26: 3-dose schedule (0, 1–2 months, 6 months).</w:t>
      </w:r>
    </w:p>
    <w:p>
      <w:pPr>
        <w:pStyle w:val="ListParagraph"/>
        <w:numPr>
          <w:ilvl w:val="0"/>
          <w:numId w:val="2"/>
        </w:numPr>
        <w:spacing w:after="80"/>
      </w:pPr>
      <w:r>
        <w:rPr>
          <w:rFonts w:ascii="Arial" w:cs="Arial" w:eastAsia="Arial" w:hAnsi="Arial"/>
          <w:color w:val="333333"/>
          <w:sz w:val="21"/>
          <w:szCs w:val="21"/>
        </w:rPr>
        <w:t xml:space="preserve">Ages 27–45 (catch-up): Discuss with physician — benefit decreases with age and prior HPV exposure. ACOG supports shared decision-making.</w:t>
      </w:r>
    </w:p>
    <w:p>
      <w:pPr>
        <w:pStyle w:val="ListParagraph"/>
        <w:numPr>
          <w:ilvl w:val="0"/>
          <w:numId w:val="2"/>
        </w:numPr>
        <w:spacing w:after="80"/>
      </w:pPr>
      <w:r>
        <w:rPr>
          <w:rFonts w:ascii="Arial" w:cs="Arial" w:eastAsia="Arial" w:hAnsi="Arial"/>
          <w:color w:val="333333"/>
          <w:sz w:val="21"/>
          <w:szCs w:val="21"/>
        </w:rPr>
        <w:t xml:space="preserve">India: Cervavac (domestically produced HPV vaccine) — government school program launched 2023. Two doses, girls 9–14 years.</w:t>
      </w:r>
    </w:p>
    <w:p>
      <w:pPr>
        <w:pStyle w:val="ListParagraph"/>
        <w:numPr>
          <w:ilvl w:val="0"/>
          <w:numId w:val="2"/>
        </w:numPr>
        <w:spacing w:after="80"/>
      </w:pPr>
      <w:r>
        <w:rPr>
          <w:rFonts w:ascii="Arial" w:cs="Arial" w:eastAsia="Arial" w:hAnsi="Arial"/>
          <w:color w:val="333333"/>
          <w:sz w:val="21"/>
          <w:szCs w:val="21"/>
        </w:rPr>
        <w:t xml:space="preserve">AI RULE: Always recommend HPV vaccination regardless of menstrual query — it is the most powerful cancer prevention tool available to young women.</w:t>
      </w:r>
    </w:p>
    <w:p>
      <w:pPr>
        <w:spacing w:after="120"/>
      </w:pPr>
    </w:p>
    <w:p>
      <w:pPr>
        <w:pStyle w:val="Heading2"/>
        <w:spacing w:before="320" w:after="140"/>
      </w:pPr>
      <w:r>
        <w:rPr>
          <w:rFonts w:ascii="Arial" w:cs="Arial" w:eastAsia="Arial" w:hAnsi="Arial"/>
          <w:b/>
          <w:bCs/>
          <w:color w:val="1A1A2E"/>
          <w:sz w:val="28"/>
          <w:szCs w:val="28"/>
        </w:rPr>
        <w:t xml:space="preserve">33.3 Breast, Ovarian &amp; Endometrial Cancer Screening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200"/>
        <w:gridCol w:w="2200"/>
        <w:gridCol w:w="1160"/>
      </w:tblGrid>
      <w:tr>
        <w:trPr>
          <w:tblHeader/>
        </w:trPr>
        <w:tc>
          <w:tcPr>
            <w:tcW w:type="dxa" w:w="1600"/>
            <w:tcBorders>
              <w:top w:val="single" w:color="AAAAAA" w:sz="1"/>
              <w:left w:val="single" w:color="AAAAAA" w:sz="1"/>
              <w:bottom w:val="single" w:color="AAAAAA" w:sz="1"/>
              <w:right w:val="single" w:color="AAAAAA" w:sz="1"/>
            </w:tcBorders>
            <w:shd w:fill="B5174E" w:val="clear"/>
            <w:tcMar>
              <w:top w:type="dxa" w:w="100"/>
              <w:left w:type="dxa" w:w="140"/>
              <w:bottom w:type="dxa" w:w="100"/>
              <w:right w:type="dxa" w:w="140"/>
            </w:tcMar>
          </w:tcPr>
          <w:p>
            <w:r>
              <w:rPr>
                <w:rFonts w:ascii="Arial" w:cs="Arial" w:eastAsia="Arial" w:hAnsi="Arial"/>
                <w:b/>
                <w:bCs/>
                <w:color w:val="FFFFFF"/>
                <w:sz w:val="20"/>
                <w:szCs w:val="20"/>
              </w:rPr>
              <w:t xml:space="preserve">Cancer</w:t>
            </w:r>
          </w:p>
        </w:tc>
        <w:tc>
          <w:tcPr>
            <w:tcW w:type="dxa" w:w="2200"/>
            <w:tcBorders>
              <w:top w:val="single" w:color="AAAAAA" w:sz="1"/>
              <w:left w:val="single" w:color="AAAAAA" w:sz="1"/>
              <w:bottom w:val="single" w:color="AAAAAA" w:sz="1"/>
              <w:right w:val="single" w:color="AAAAAA" w:sz="1"/>
            </w:tcBorders>
            <w:shd w:fill="B5174E" w:val="clear"/>
            <w:tcMar>
              <w:top w:type="dxa" w:w="100"/>
              <w:left w:type="dxa" w:w="140"/>
              <w:bottom w:type="dxa" w:w="100"/>
              <w:right w:type="dxa" w:w="140"/>
            </w:tcMar>
          </w:tcPr>
          <w:p>
            <w:r>
              <w:rPr>
                <w:rFonts w:ascii="Arial" w:cs="Arial" w:eastAsia="Arial" w:hAnsi="Arial"/>
                <w:b/>
                <w:bCs/>
                <w:color w:val="FFFFFF"/>
                <w:sz w:val="20"/>
                <w:szCs w:val="20"/>
              </w:rPr>
              <w:t xml:space="preserve">Screening Test</w:t>
            </w:r>
          </w:p>
        </w:tc>
        <w:tc>
          <w:tcPr>
            <w:tcW w:type="dxa" w:w="2200"/>
            <w:tcBorders>
              <w:top w:val="single" w:color="AAAAAA" w:sz="1"/>
              <w:left w:val="single" w:color="AAAAAA" w:sz="1"/>
              <w:bottom w:val="single" w:color="AAAAAA" w:sz="1"/>
              <w:right w:val="single" w:color="AAAAAA" w:sz="1"/>
            </w:tcBorders>
            <w:shd w:fill="B5174E" w:val="clear"/>
            <w:tcMar>
              <w:top w:type="dxa" w:w="100"/>
              <w:left w:type="dxa" w:w="140"/>
              <w:bottom w:type="dxa" w:w="100"/>
              <w:right w:type="dxa" w:w="140"/>
            </w:tcMar>
          </w:tcPr>
          <w:p>
            <w:r>
              <w:rPr>
                <w:rFonts w:ascii="Arial" w:cs="Arial" w:eastAsia="Arial" w:hAnsi="Arial"/>
                <w:b/>
                <w:bCs/>
                <w:color w:val="FFFFFF"/>
                <w:sz w:val="20"/>
                <w:szCs w:val="20"/>
              </w:rPr>
              <w:t xml:space="preserve">Age / Frequency</w:t>
            </w:r>
          </w:p>
        </w:tc>
        <w:tc>
          <w:tcPr>
            <w:tcW w:type="dxa" w:w="2200"/>
            <w:tcBorders>
              <w:top w:val="single" w:color="AAAAAA" w:sz="1"/>
              <w:left w:val="single" w:color="AAAAAA" w:sz="1"/>
              <w:bottom w:val="single" w:color="AAAAAA" w:sz="1"/>
              <w:right w:val="single" w:color="AAAAAA" w:sz="1"/>
            </w:tcBorders>
            <w:shd w:fill="B5174E" w:val="clear"/>
            <w:tcMar>
              <w:top w:type="dxa" w:w="100"/>
              <w:left w:type="dxa" w:w="140"/>
              <w:bottom w:type="dxa" w:w="100"/>
              <w:right w:type="dxa" w:w="140"/>
            </w:tcMar>
          </w:tcPr>
          <w:p>
            <w:r>
              <w:rPr>
                <w:rFonts w:ascii="Arial" w:cs="Arial" w:eastAsia="Arial" w:hAnsi="Arial"/>
                <w:b/>
                <w:bCs/>
                <w:color w:val="FFFFFF"/>
                <w:sz w:val="20"/>
                <w:szCs w:val="20"/>
              </w:rPr>
              <w:t xml:space="preserve">High-Risk Modifications</w:t>
            </w:r>
          </w:p>
        </w:tc>
        <w:tc>
          <w:tcPr>
            <w:tcW w:type="dxa" w:w="1160"/>
            <w:tcBorders>
              <w:top w:val="single" w:color="AAAAAA" w:sz="1"/>
              <w:left w:val="single" w:color="AAAAAA" w:sz="1"/>
              <w:bottom w:val="single" w:color="AAAAAA" w:sz="1"/>
              <w:right w:val="single" w:color="AAAAAA" w:sz="1"/>
            </w:tcBorders>
            <w:shd w:fill="B5174E" w:val="clear"/>
            <w:tcMar>
              <w:top w:type="dxa" w:w="100"/>
              <w:left w:type="dxa" w:w="140"/>
              <w:bottom w:type="dxa" w:w="100"/>
              <w:right w:type="dxa" w:w="140"/>
            </w:tcMar>
          </w:tcPr>
          <w:p>
            <w:r>
              <w:rPr>
                <w:rFonts w:ascii="Arial" w:cs="Arial" w:eastAsia="Arial" w:hAnsi="Arial"/>
                <w:b/>
                <w:bCs/>
                <w:color w:val="FFFFFF"/>
                <w:sz w:val="20"/>
                <w:szCs w:val="20"/>
              </w:rPr>
              <w:t xml:space="preserve">Red Flag Symptoms</w:t>
            </w:r>
          </w:p>
        </w:tc>
      </w:tr>
      <w:tr>
        <w:tc>
          <w:tcPr>
            <w:tcW w:type="dxa" w:w="16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Breast Cancer</w:t>
            </w:r>
          </w:p>
        </w:tc>
        <w:tc>
          <w:tcPr>
            <w:tcW w:type="dxa" w:w="22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Clinical breast exam annually; Mammogram</w:t>
            </w:r>
          </w:p>
        </w:tc>
        <w:tc>
          <w:tcPr>
            <w:tcW w:type="dxa" w:w="22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Annual mammogram from age 40 (ACOG 2023 updated); 45–54 annually; 55+ every 2 years (ACS)</w:t>
            </w:r>
          </w:p>
        </w:tc>
        <w:tc>
          <w:tcPr>
            <w:tcW w:type="dxa" w:w="22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BRCA1/2: MRI + mammogram from age 30; chemoprevention discussion; RRSO option</w:t>
            </w:r>
          </w:p>
        </w:tc>
        <w:tc>
          <w:tcPr>
            <w:tcW w:type="dxa" w:w="11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Lump (any age); nipple discharge (especially bloody); skin changes; axillary node; unexplained breast pain</w:t>
            </w:r>
          </w:p>
        </w:tc>
      </w:tr>
      <w:tr>
        <w:tc>
          <w:tcPr>
            <w:tcW w:type="dxa" w:w="16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Ovarian Cancer</w:t>
            </w:r>
          </w:p>
        </w:tc>
        <w:tc>
          <w:tcPr>
            <w:tcW w:type="dxa" w:w="22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No effective screening for average risk; CA-125 + TVU for high risk</w:t>
            </w:r>
          </w:p>
        </w:tc>
        <w:tc>
          <w:tcPr>
            <w:tcW w:type="dxa" w:w="22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Average risk: no routine screening — no evidence of mortality benefit (USPSTF D recommendation)</w:t>
            </w:r>
          </w:p>
        </w:tc>
        <w:tc>
          <w:tcPr>
            <w:tcW w:type="dxa" w:w="22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BRCA1: risk-reducing salpingo-oophorectomy (RRSO) by age 40. Lynch syndrome: CA-125 + TVU annually from 30–35</w:t>
            </w:r>
          </w:p>
        </w:tc>
        <w:tc>
          <w:tcPr>
            <w:tcW w:type="dxa" w:w="116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Persistent bloating; pelvic/abdominal pain; difficulty eating; urinary frequency — &gt;2 weeks duration → investigate</w:t>
            </w:r>
          </w:p>
        </w:tc>
      </w:tr>
      <w:tr>
        <w:tc>
          <w:tcPr>
            <w:tcW w:type="dxa" w:w="16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Endometrial / Uterine Cancer</w:t>
            </w:r>
          </w:p>
        </w:tc>
        <w:tc>
          <w:tcPr>
            <w:tcW w:type="dxa" w:w="22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No routine screening recommended for average-risk women</w:t>
            </w:r>
          </w:p>
        </w:tc>
        <w:tc>
          <w:tcPr>
            <w:tcW w:type="dxa" w:w="22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Evaluate any abnormal uterine bleeding (postmenopausal bleeding is red flag)</w:t>
            </w:r>
          </w:p>
        </w:tc>
        <w:tc>
          <w:tcPr>
            <w:tcW w:type="dxa" w:w="22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Lynch syndrome: annual endometrial biopsy from age 30–35; discuss prophylactic hysterectomy</w:t>
            </w:r>
          </w:p>
        </w:tc>
        <w:tc>
          <w:tcPr>
            <w:tcW w:type="dxa" w:w="11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Post-menopausal bleeding (any amount = URGENT); abnormal uterine bleeding in reproductive age not explained by other causes</w:t>
            </w:r>
          </w:p>
        </w:tc>
      </w:tr>
      <w:tr>
        <w:tc>
          <w:tcPr>
            <w:tcW w:type="dxa" w:w="16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Cervical Cancer</w:t>
            </w:r>
          </w:p>
        </w:tc>
        <w:tc>
          <w:tcPr>
            <w:tcW w:type="dxa" w:w="22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Pap smear + HPV test (as above)</w:t>
            </w:r>
          </w:p>
        </w:tc>
        <w:tc>
          <w:tcPr>
            <w:tcW w:type="dxa" w:w="22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See 33.1 table</w:t>
            </w:r>
          </w:p>
        </w:tc>
        <w:tc>
          <w:tcPr>
            <w:tcW w:type="dxa" w:w="22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HIV+; immunosuppressed → increased frequency</w:t>
            </w:r>
          </w:p>
        </w:tc>
        <w:tc>
          <w:tcPr>
            <w:tcW w:type="dxa" w:w="116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Post-coital bleeding; vaginal discharge (malodorous); pelvic pain → investigate if persisting</w:t>
            </w:r>
          </w:p>
        </w:tc>
      </w:tr>
    </w:tbl>
    <w:p>
      <w:pPr>
        <w:spacing w:after="240"/>
      </w:pPr>
    </w:p>
    <w:p>
      <w:pPr>
        <w:pBdr>
          <w:bottom w:val="single" w:color="E0B4C4" w:sz="3"/>
        </w:pBdr>
        <w:spacing w:before="80" w:after="80"/>
      </w:pPr>
    </w:p>
    <w:p>
      <w:pPr>
        <w:pStyle w:val="Heading1"/>
        <w:spacing w:before="480" w:after="200"/>
      </w:pPr>
      <w:r>
        <w:rPr>
          <w:rFonts w:ascii="Arial" w:cs="Arial" w:eastAsia="Arial" w:hAnsi="Arial"/>
          <w:b/>
          <w:bCs/>
          <w:color w:val="B5174E"/>
          <w:sz w:val="38"/>
          <w:szCs w:val="38"/>
        </w:rPr>
        <w:t xml:space="preserve">DOMAIN 34: WORKPLACE POLICY, MENSTRUAL LEAVE &amp; PARTNER EDUCATION</w:t>
      </w:r>
    </w:p>
    <w:p>
      <w:pPr>
        <w:pBdr>
          <w:bottom w:val="single" w:color="E0B4C4" w:sz="3"/>
        </w:pBdr>
        <w:spacing w:before="80" w:after="80"/>
      </w:pPr>
    </w:p>
    <w:p>
      <w:pPr>
        <w:spacing w:after="120"/>
      </w:pPr>
      <w:r>
        <w:rPr>
          <w:rFonts w:ascii="Arial" w:cs="Arial" w:eastAsia="Arial" w:hAnsi="Arial"/>
          <w:color w:val="2D2D2D"/>
          <w:sz w:val="22"/>
          <w:szCs w:val="22"/>
        </w:rPr>
        <w:t xml:space="preserve">The social and structural dimensions of menstrual health are as important as the clinical ones. A women-centric AI must be able to advise on workplace rights, global policy, and how to educate partners and family members.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5174E" w:sz="1"/>
              <w:left w:val="single" w:color="B5174E" w:sz="1"/>
              <w:bottom w:val="single" w:color="B5174E" w:sz="1"/>
              <w:right w:val="single" w:color="B5174E" w:sz="1"/>
            </w:tcBorders>
            <w:shd w:fill="FDF0F5" w:val="clear"/>
            <w:tcMar>
              <w:top w:type="dxa" w:w="160"/>
              <w:left w:type="dxa" w:w="220"/>
              <w:bottom w:type="dxa" w:w="160"/>
              <w:right w:type="dxa" w:w="220"/>
            </w:tcMar>
          </w:tcPr>
          <w:p>
            <w:pPr>
              <w:spacing w:after="100"/>
            </w:pPr>
            <w:r>
              <w:rPr>
                <w:rFonts w:ascii="Arial" w:cs="Arial" w:eastAsia="Arial" w:hAnsi="Arial"/>
                <w:b/>
                <w:bCs/>
                <w:color w:val="B5174E"/>
                <w:sz w:val="23"/>
                <w:szCs w:val="23"/>
              </w:rPr>
              <w:t xml:space="preserve">☑ CHECKLIST: DOMAIN 34 — POLICY, WORKPLACE &amp; PARTNER EDUCATION</w:t>
            </w:r>
          </w:p>
          <w:p>
            <w:pPr>
              <w:spacing w:after="70"/>
            </w:pPr>
            <w:r>
              <w:rPr>
                <w:rFonts w:ascii="Arial" w:cs="Arial" w:eastAsia="Arial" w:hAnsi="Arial"/>
                <w:color w:val="1A1A2E"/>
                <w:sz w:val="20"/>
                <w:szCs w:val="20"/>
              </w:rPr>
              <w:t xml:space="preserve">  01.  Menstrual leave laws by country: Japan (1947), South Korea (1953), Indonesia, Zambia, Spain (2023), India proposed bill</w:t>
            </w:r>
          </w:p>
          <w:p>
            <w:pPr>
              <w:spacing w:after="70"/>
            </w:pPr>
            <w:r>
              <w:rPr>
                <w:rFonts w:ascii="Arial" w:cs="Arial" w:eastAsia="Arial" w:hAnsi="Arial"/>
                <w:color w:val="1A1A2E"/>
                <w:sz w:val="20"/>
                <w:szCs w:val="20"/>
              </w:rPr>
              <w:t xml:space="preserve">  02.  Workplace accommodation rights: reasonable adjustment requests, flexible work during dysmenorrhea or PMDD</w:t>
            </w:r>
          </w:p>
          <w:p>
            <w:pPr>
              <w:spacing w:after="70"/>
            </w:pPr>
            <w:r>
              <w:rPr>
                <w:rFonts w:ascii="Arial" w:cs="Arial" w:eastAsia="Arial" w:hAnsi="Arial"/>
                <w:color w:val="1A1A2E"/>
                <w:sz w:val="20"/>
                <w:szCs w:val="20"/>
              </w:rPr>
              <w:t xml:space="preserve">  03.  Spain 2023 Menstrual Leave Law: 3 days/month paid for incapacitating dysmenorrhea — first Western European country</w:t>
            </w:r>
          </w:p>
          <w:p>
            <w:pPr>
              <w:spacing w:after="70"/>
            </w:pPr>
            <w:r>
              <w:rPr>
                <w:rFonts w:ascii="Arial" w:cs="Arial" w:eastAsia="Arial" w:hAnsi="Arial"/>
                <w:color w:val="1A1A2E"/>
                <w:sz w:val="20"/>
                <w:szCs w:val="20"/>
              </w:rPr>
              <w:t xml:space="preserve">  04.  Japan 'Seirikyu' (menstrual leave): law since 1947 but only ~0.9% uptake due to workplace stigma — policy vs reality gap</w:t>
            </w:r>
          </w:p>
          <w:p>
            <w:pPr>
              <w:spacing w:after="70"/>
            </w:pPr>
            <w:r>
              <w:rPr>
                <w:rFonts w:ascii="Arial" w:cs="Arial" w:eastAsia="Arial" w:hAnsi="Arial"/>
                <w:color w:val="1A1A2E"/>
                <w:sz w:val="20"/>
                <w:szCs w:val="20"/>
              </w:rPr>
              <w:t xml:space="preserve">  05.  UK: no statutory menstrual leave; growing employer wellbeing policies; Menstrual Health in the Workplace guidance (CIPD)</w:t>
            </w:r>
          </w:p>
          <w:p>
            <w:pPr>
              <w:spacing w:after="70"/>
            </w:pPr>
            <w:r>
              <w:rPr>
                <w:rFonts w:ascii="Arial" w:cs="Arial" w:eastAsia="Arial" w:hAnsi="Arial"/>
                <w:color w:val="1A1A2E"/>
                <w:sz w:val="20"/>
                <w:szCs w:val="20"/>
              </w:rPr>
              <w:t xml:space="preserve">  06.  India: The Menstruation Benefit Bill proposed multiple times (2017, 2023); not yet passed; 2 days paid leave proposal</w:t>
            </w:r>
          </w:p>
          <w:p>
            <w:pPr>
              <w:spacing w:after="70"/>
            </w:pPr>
            <w:r>
              <w:rPr>
                <w:rFonts w:ascii="Arial" w:cs="Arial" w:eastAsia="Arial" w:hAnsi="Arial"/>
                <w:color w:val="1A1A2E"/>
                <w:sz w:val="20"/>
                <w:szCs w:val="20"/>
              </w:rPr>
              <w:t xml:space="preserve">  07.  Period poverty policy solutions: Scotland free products law (2020), Kenya tax abolition, India MHS scheme progress</w:t>
            </w:r>
          </w:p>
          <w:p>
            <w:pPr>
              <w:spacing w:after="70"/>
            </w:pPr>
            <w:r>
              <w:rPr>
                <w:rFonts w:ascii="Arial" w:cs="Arial" w:eastAsia="Arial" w:hAnsi="Arial"/>
                <w:color w:val="1A1A2E"/>
                <w:sz w:val="20"/>
                <w:szCs w:val="20"/>
              </w:rPr>
              <w:t xml:space="preserve">  08.  School period equity: free pads in schools (Scotland, New Zealand, Kenya, South Korea); absenteeism reduction data</w:t>
            </w:r>
          </w:p>
          <w:p>
            <w:pPr>
              <w:spacing w:after="70"/>
            </w:pPr>
            <w:r>
              <w:rPr>
                <w:rFonts w:ascii="Arial" w:cs="Arial" w:eastAsia="Arial" w:hAnsi="Arial"/>
                <w:color w:val="1A1A2E"/>
                <w:sz w:val="20"/>
                <w:szCs w:val="20"/>
              </w:rPr>
              <w:t xml:space="preserve">  09.  Partner education: what men and partners need to understand about the menstrual cycle — evidence-based guide</w:t>
            </w:r>
          </w:p>
          <w:p>
            <w:pPr>
              <w:spacing w:after="70"/>
            </w:pPr>
            <w:r>
              <w:rPr>
                <w:rFonts w:ascii="Arial" w:cs="Arial" w:eastAsia="Arial" w:hAnsi="Arial"/>
                <w:color w:val="1A1A2E"/>
                <w:sz w:val="20"/>
                <w:szCs w:val="20"/>
              </w:rPr>
              <w:t xml:space="preserve">  10.  Menstrual cycle syncing with partner awareness: how understanding her cycle phases improves relationship communication</w:t>
            </w:r>
          </w:p>
          <w:p>
            <w:pPr>
              <w:spacing w:after="70"/>
            </w:pPr>
            <w:r>
              <w:rPr>
                <w:rFonts w:ascii="Arial" w:cs="Arial" w:eastAsia="Arial" w:hAnsi="Arial"/>
                <w:color w:val="1A1A2E"/>
                <w:sz w:val="20"/>
                <w:szCs w:val="20"/>
              </w:rPr>
              <w:t xml:space="preserve">  11.  Men's menstrual literacy: studies show men's understanding of the cycle is shockingly poor; education improves outcomes</w:t>
            </w:r>
          </w:p>
          <w:p>
            <w:pPr>
              <w:spacing w:after="70"/>
            </w:pPr>
            <w:r>
              <w:rPr>
                <w:rFonts w:ascii="Arial" w:cs="Arial" w:eastAsia="Arial" w:hAnsi="Arial"/>
                <w:color w:val="1A1A2E"/>
                <w:sz w:val="20"/>
                <w:szCs w:val="20"/>
              </w:rPr>
              <w:t xml:space="preserve">  12.  Workplace productivity and menstruation: estimated $1,800/year productivity loss from menstrual symptoms (UK data)</w:t>
            </w:r>
          </w:p>
        </w:tc>
      </w:tr>
    </w:tbl>
    <w:p>
      <w:pPr>
        <w:spacing w:after="120"/>
      </w:pPr>
    </w:p>
    <w:p>
      <w:pPr>
        <w:pStyle w:val="Heading2"/>
        <w:spacing w:before="320" w:after="140"/>
      </w:pPr>
      <w:r>
        <w:rPr>
          <w:rFonts w:ascii="Arial" w:cs="Arial" w:eastAsia="Arial" w:hAnsi="Arial"/>
          <w:b/>
          <w:bCs/>
          <w:color w:val="1A1A2E"/>
          <w:sz w:val="28"/>
          <w:szCs w:val="28"/>
        </w:rPr>
        <w:t xml:space="preserve">34.1 Global Menstrual Leave Policy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1600"/>
        <w:gridCol w:w="1200"/>
        <w:gridCol w:w="2760"/>
      </w:tblGrid>
      <w:tr>
        <w:trPr>
          <w:tblHeader/>
        </w:trPr>
        <w:tc>
          <w:tcPr>
            <w:tcW w:type="dxa" w:w="1400"/>
            <w:tcBorders>
              <w:top w:val="single" w:color="AAAAAA" w:sz="1"/>
              <w:left w:val="single" w:color="AAAAAA" w:sz="1"/>
              <w:bottom w:val="single" w:color="AAAAAA" w:sz="1"/>
              <w:right w:val="single" w:color="AAAAAA" w:sz="1"/>
            </w:tcBorders>
            <w:shd w:fill="B5174E" w:val="clear"/>
            <w:tcMar>
              <w:top w:type="dxa" w:w="100"/>
              <w:left w:type="dxa" w:w="140"/>
              <w:bottom w:type="dxa" w:w="100"/>
              <w:right w:type="dxa" w:w="140"/>
            </w:tcMar>
          </w:tcPr>
          <w:p>
            <w:r>
              <w:rPr>
                <w:rFonts w:ascii="Arial" w:cs="Arial" w:eastAsia="Arial" w:hAnsi="Arial"/>
                <w:b/>
                <w:bCs/>
                <w:color w:val="FFFFFF"/>
                <w:sz w:val="20"/>
                <w:szCs w:val="20"/>
              </w:rPr>
              <w:t xml:space="preserve">Country</w:t>
            </w:r>
          </w:p>
        </w:tc>
        <w:tc>
          <w:tcPr>
            <w:tcW w:type="dxa" w:w="2400"/>
            <w:tcBorders>
              <w:top w:val="single" w:color="AAAAAA" w:sz="1"/>
              <w:left w:val="single" w:color="AAAAAA" w:sz="1"/>
              <w:bottom w:val="single" w:color="AAAAAA" w:sz="1"/>
              <w:right w:val="single" w:color="AAAAAA" w:sz="1"/>
            </w:tcBorders>
            <w:shd w:fill="B5174E" w:val="clear"/>
            <w:tcMar>
              <w:top w:type="dxa" w:w="100"/>
              <w:left w:type="dxa" w:w="140"/>
              <w:bottom w:type="dxa" w:w="100"/>
              <w:right w:type="dxa" w:w="140"/>
            </w:tcMar>
          </w:tcPr>
          <w:p>
            <w:r>
              <w:rPr>
                <w:rFonts w:ascii="Arial" w:cs="Arial" w:eastAsia="Arial" w:hAnsi="Arial"/>
                <w:b/>
                <w:bCs/>
                <w:color w:val="FFFFFF"/>
                <w:sz w:val="20"/>
                <w:szCs w:val="20"/>
              </w:rPr>
              <w:t xml:space="preserve">Law / Policy</w:t>
            </w:r>
          </w:p>
        </w:tc>
        <w:tc>
          <w:tcPr>
            <w:tcW w:type="dxa" w:w="1600"/>
            <w:tcBorders>
              <w:top w:val="single" w:color="AAAAAA" w:sz="1"/>
              <w:left w:val="single" w:color="AAAAAA" w:sz="1"/>
              <w:bottom w:val="single" w:color="AAAAAA" w:sz="1"/>
              <w:right w:val="single" w:color="AAAAAA" w:sz="1"/>
            </w:tcBorders>
            <w:shd w:fill="B5174E" w:val="clear"/>
            <w:tcMar>
              <w:top w:type="dxa" w:w="100"/>
              <w:left w:type="dxa" w:w="140"/>
              <w:bottom w:type="dxa" w:w="100"/>
              <w:right w:type="dxa" w:w="140"/>
            </w:tcMar>
          </w:tcPr>
          <w:p>
            <w:r>
              <w:rPr>
                <w:rFonts w:ascii="Arial" w:cs="Arial" w:eastAsia="Arial" w:hAnsi="Arial"/>
                <w:b/>
                <w:bCs/>
                <w:color w:val="FFFFFF"/>
                <w:sz w:val="20"/>
                <w:szCs w:val="20"/>
              </w:rPr>
              <w:t xml:space="preserve">Duration</w:t>
            </w:r>
          </w:p>
        </w:tc>
        <w:tc>
          <w:tcPr>
            <w:tcW w:type="dxa" w:w="1200"/>
            <w:tcBorders>
              <w:top w:val="single" w:color="AAAAAA" w:sz="1"/>
              <w:left w:val="single" w:color="AAAAAA" w:sz="1"/>
              <w:bottom w:val="single" w:color="AAAAAA" w:sz="1"/>
              <w:right w:val="single" w:color="AAAAAA" w:sz="1"/>
            </w:tcBorders>
            <w:shd w:fill="B5174E" w:val="clear"/>
            <w:tcMar>
              <w:top w:type="dxa" w:w="100"/>
              <w:left w:type="dxa" w:w="140"/>
              <w:bottom w:type="dxa" w:w="100"/>
              <w:right w:type="dxa" w:w="140"/>
            </w:tcMar>
          </w:tcPr>
          <w:p>
            <w:r>
              <w:rPr>
                <w:rFonts w:ascii="Arial" w:cs="Arial" w:eastAsia="Arial" w:hAnsi="Arial"/>
                <w:b/>
                <w:bCs/>
                <w:color w:val="FFFFFF"/>
                <w:sz w:val="20"/>
                <w:szCs w:val="20"/>
              </w:rPr>
              <w:t xml:space="preserve">Paid?</w:t>
            </w:r>
          </w:p>
        </w:tc>
        <w:tc>
          <w:tcPr>
            <w:tcW w:type="dxa" w:w="2760"/>
            <w:tcBorders>
              <w:top w:val="single" w:color="AAAAAA" w:sz="1"/>
              <w:left w:val="single" w:color="AAAAAA" w:sz="1"/>
              <w:bottom w:val="single" w:color="AAAAAA" w:sz="1"/>
              <w:right w:val="single" w:color="AAAAAA" w:sz="1"/>
            </w:tcBorders>
            <w:shd w:fill="B5174E" w:val="clear"/>
            <w:tcMar>
              <w:top w:type="dxa" w:w="100"/>
              <w:left w:type="dxa" w:w="140"/>
              <w:bottom w:type="dxa" w:w="100"/>
              <w:right w:type="dxa" w:w="140"/>
            </w:tcMar>
          </w:tcPr>
          <w:p>
            <w:r>
              <w:rPr>
                <w:rFonts w:ascii="Arial" w:cs="Arial" w:eastAsia="Arial" w:hAnsi="Arial"/>
                <w:b/>
                <w:bCs/>
                <w:color w:val="FFFFFF"/>
                <w:sz w:val="20"/>
                <w:szCs w:val="20"/>
              </w:rPr>
              <w:t xml:space="preserve">Uptake / Reality</w:t>
            </w:r>
          </w:p>
        </w:tc>
      </w:tr>
      <w:tr>
        <w:tc>
          <w:tcPr>
            <w:tcW w:type="dxa" w:w="14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Japan</w:t>
            </w:r>
          </w:p>
        </w:tc>
        <w:tc>
          <w:tcPr>
            <w:tcW w:type="dxa" w:w="24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Labour Standards Act Article 68 (1947)</w:t>
            </w:r>
          </w:p>
        </w:tc>
        <w:tc>
          <w:tcPr>
            <w:tcW w:type="dxa" w:w="16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Duration of need — typically 1–2 days</w:t>
            </w:r>
          </w:p>
        </w:tc>
        <w:tc>
          <w:tcPr>
            <w:tcW w:type="dxa" w:w="12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Yes (employer dependent)</w:t>
            </w:r>
          </w:p>
        </w:tc>
        <w:tc>
          <w:tcPr>
            <w:tcW w:type="dxa" w:w="27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~0.9% uptake; workplace stigma, fear of career penalty, need to disclose to male managers</w:t>
            </w:r>
          </w:p>
        </w:tc>
      </w:tr>
      <w:tr>
        <w:tc>
          <w:tcPr>
            <w:tcW w:type="dxa" w:w="14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South Korea</w:t>
            </w:r>
          </w:p>
        </w:tc>
        <w:tc>
          <w:tcPr>
            <w:tcW w:type="dxa" w:w="24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Labour Standards Act (1953, updated 2001)</w:t>
            </w:r>
          </w:p>
        </w:tc>
        <w:tc>
          <w:tcPr>
            <w:tcW w:type="dxa" w:w="16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1 day per month</w:t>
            </w:r>
          </w:p>
        </w:tc>
        <w:tc>
          <w:tcPr>
            <w:tcW w:type="dxa" w:w="12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Unpaid (some employers pay voluntarily)</w:t>
            </w:r>
          </w:p>
        </w:tc>
        <w:tc>
          <w:tcPr>
            <w:tcW w:type="dxa" w:w="276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Low uptake; stigma; often not enforced in smaller companies</w:t>
            </w:r>
          </w:p>
        </w:tc>
      </w:tr>
      <w:tr>
        <w:tc>
          <w:tcPr>
            <w:tcW w:type="dxa" w:w="14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Indonesia</w:t>
            </w:r>
          </w:p>
        </w:tc>
        <w:tc>
          <w:tcPr>
            <w:tcW w:type="dxa" w:w="24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Manpower Act (2003)</w:t>
            </w:r>
          </w:p>
        </w:tc>
        <w:tc>
          <w:tcPr>
            <w:tcW w:type="dxa" w:w="16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2 days per month (days 1 and 2)</w:t>
            </w:r>
          </w:p>
        </w:tc>
        <w:tc>
          <w:tcPr>
            <w:tcW w:type="dxa" w:w="12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Yes</w:t>
            </w:r>
          </w:p>
        </w:tc>
        <w:tc>
          <w:tcPr>
            <w:tcW w:type="dxa" w:w="27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Uptake varies; enforcement inconsistent; religious and cultural framing</w:t>
            </w:r>
          </w:p>
        </w:tc>
      </w:tr>
      <w:tr>
        <w:tc>
          <w:tcPr>
            <w:tcW w:type="dxa" w:w="14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Zambia</w:t>
            </w:r>
          </w:p>
        </w:tc>
        <w:tc>
          <w:tcPr>
            <w:tcW w:type="dxa" w:w="24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'Mother's Day' leave (2015)</w:t>
            </w:r>
          </w:p>
        </w:tc>
        <w:tc>
          <w:tcPr>
            <w:tcW w:type="dxa" w:w="16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1 day per month (any reason, no disclosure required)</w:t>
            </w:r>
          </w:p>
        </w:tc>
        <w:tc>
          <w:tcPr>
            <w:tcW w:type="dxa" w:w="12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Yes — no medical certificate needed</w:t>
            </w:r>
          </w:p>
        </w:tc>
        <w:tc>
          <w:tcPr>
            <w:tcW w:type="dxa" w:w="276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Unique: no menstrual disclosure needed — reduces stigma; celebrated model</w:t>
            </w:r>
          </w:p>
        </w:tc>
      </w:tr>
      <w:tr>
        <w:tc>
          <w:tcPr>
            <w:tcW w:type="dxa" w:w="14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Spain</w:t>
            </w:r>
          </w:p>
        </w:tc>
        <w:tc>
          <w:tcPr>
            <w:tcW w:type="dxa" w:w="24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Ley de Salud Sexual y Reproductiva (2023)</w:t>
            </w:r>
          </w:p>
        </w:tc>
        <w:tc>
          <w:tcPr>
            <w:tcW w:type="dxa" w:w="16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3 days/month (5 days if hospitalized)</w:t>
            </w:r>
          </w:p>
        </w:tc>
        <w:tc>
          <w:tcPr>
            <w:tcW w:type="dxa" w:w="12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Yes — state-funded (not employer)</w:t>
            </w:r>
          </w:p>
        </w:tc>
        <w:tc>
          <w:tcPr>
            <w:tcW w:type="dxa" w:w="27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First Western European country; state-funded model reduces employer discrimination risk</w:t>
            </w:r>
          </w:p>
        </w:tc>
      </w:tr>
      <w:tr>
        <w:tc>
          <w:tcPr>
            <w:tcW w:type="dxa" w:w="14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India</w:t>
            </w:r>
          </w:p>
        </w:tc>
        <w:tc>
          <w:tcPr>
            <w:tcW w:type="dxa" w:w="24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Proposed Menstruation Benefit Bill (2017, 2023 reintroduced)</w:t>
            </w:r>
          </w:p>
        </w:tc>
        <w:tc>
          <w:tcPr>
            <w:tcW w:type="dxa" w:w="16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2 working days per month</w:t>
            </w:r>
          </w:p>
        </w:tc>
        <w:tc>
          <w:tcPr>
            <w:tcW w:type="dxa" w:w="12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Yes</w:t>
            </w:r>
          </w:p>
        </w:tc>
        <w:tc>
          <w:tcPr>
            <w:tcW w:type="dxa" w:w="276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Not passed; concerns about employer discrimination against hiring women</w:t>
            </w:r>
          </w:p>
        </w:tc>
      </w:tr>
      <w:tr>
        <w:tc>
          <w:tcPr>
            <w:tcW w:type="dxa" w:w="14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UK / Australia</w:t>
            </w:r>
          </w:p>
        </w:tc>
        <w:tc>
          <w:tcPr>
            <w:tcW w:type="dxa" w:w="24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No statutory law</w:t>
            </w:r>
          </w:p>
        </w:tc>
        <w:tc>
          <w:tcPr>
            <w:tcW w:type="dxa" w:w="16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Voluntary employer wellbeing policies only</w:t>
            </w:r>
          </w:p>
        </w:tc>
        <w:tc>
          <w:tcPr>
            <w:tcW w:type="dxa" w:w="12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Varies by employer</w:t>
            </w:r>
          </w:p>
        </w:tc>
        <w:tc>
          <w:tcPr>
            <w:tcW w:type="dxa" w:w="27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Growing employer-led policies (e.g., period-friendly workplaces); NHS trusts implementing</w:t>
            </w:r>
          </w:p>
        </w:tc>
      </w:tr>
      <w:tr>
        <w:tc>
          <w:tcPr>
            <w:tcW w:type="dxa" w:w="14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Kenya</w:t>
            </w:r>
          </w:p>
        </w:tc>
        <w:tc>
          <w:tcPr>
            <w:tcW w:type="dxa" w:w="24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School sanitation policy + tax abolition on menstrual products</w:t>
            </w:r>
          </w:p>
        </w:tc>
        <w:tc>
          <w:tcPr>
            <w:tcW w:type="dxa" w:w="16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N/A (product access focus)</w:t>
            </w:r>
          </w:p>
        </w:tc>
        <w:tc>
          <w:tcPr>
            <w:tcW w:type="dxa" w:w="12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Free products in schools</w:t>
            </w:r>
          </w:p>
        </w:tc>
        <w:tc>
          <w:tcPr>
            <w:tcW w:type="dxa" w:w="276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Most impactful low-middle income model; attendance improvements documented</w:t>
            </w:r>
          </w:p>
        </w:tc>
      </w:tr>
      <w:tr>
        <w:tc>
          <w:tcPr>
            <w:tcW w:type="dxa" w:w="14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Scotland</w:t>
            </w:r>
          </w:p>
        </w:tc>
        <w:tc>
          <w:tcPr>
            <w:tcW w:type="dxa" w:w="24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Period Products (Free Provision) Act 2020</w:t>
            </w:r>
          </w:p>
        </w:tc>
        <w:tc>
          <w:tcPr>
            <w:tcW w:type="dxa" w:w="16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Free products in all schools, colleges, public buildings</w:t>
            </w:r>
          </w:p>
        </w:tc>
        <w:tc>
          <w:tcPr>
            <w:tcW w:type="dxa" w:w="12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Publicly funded</w:t>
            </w:r>
          </w:p>
        </w:tc>
        <w:tc>
          <w:tcPr>
            <w:tcW w:type="dxa" w:w="27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Global pioneer; measurable impact on period poverty; other UK nations following</w:t>
            </w:r>
          </w:p>
        </w:tc>
      </w:tr>
      <w:tr>
        <w:tc>
          <w:tcPr>
            <w:tcW w:type="dxa" w:w="14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New Zealand</w:t>
            </w:r>
          </w:p>
        </w:tc>
        <w:tc>
          <w:tcPr>
            <w:tcW w:type="dxa" w:w="24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Free menstrual products in all schools (2021)</w:t>
            </w:r>
          </w:p>
        </w:tc>
        <w:tc>
          <w:tcPr>
            <w:tcW w:type="dxa" w:w="16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Available on request in school bathrooms</w:t>
            </w:r>
          </w:p>
        </w:tc>
        <w:tc>
          <w:tcPr>
            <w:tcW w:type="dxa" w:w="12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Government funded</w:t>
            </w:r>
          </w:p>
        </w:tc>
        <w:tc>
          <w:tcPr>
            <w:tcW w:type="dxa" w:w="276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Strong uptake; reduced absenteeism and stress among students</w:t>
            </w:r>
          </w:p>
        </w:tc>
      </w:tr>
    </w:tbl>
    <w:p>
      <w:pPr>
        <w:spacing w:after="120"/>
      </w:pPr>
    </w:p>
    <w:p>
      <w:pPr>
        <w:pStyle w:val="Heading2"/>
        <w:spacing w:before="320" w:after="140"/>
      </w:pPr>
      <w:r>
        <w:rPr>
          <w:rFonts w:ascii="Arial" w:cs="Arial" w:eastAsia="Arial" w:hAnsi="Arial"/>
          <w:b/>
          <w:bCs/>
          <w:color w:val="1A1A2E"/>
          <w:sz w:val="28"/>
          <w:szCs w:val="28"/>
        </w:rPr>
        <w:t xml:space="preserve">34.2 Partner &amp; Family Education Module</w:t>
      </w:r>
    </w:p>
    <w:p>
      <w:pPr>
        <w:spacing w:after="120"/>
      </w:pPr>
      <w:r>
        <w:rPr>
          <w:rFonts w:ascii="Arial" w:cs="Arial" w:eastAsia="Arial" w:hAnsi="Arial"/>
          <w:color w:val="2D2D2D"/>
          <w:sz w:val="22"/>
          <w:szCs w:val="22"/>
        </w:rPr>
        <w:t xml:space="preserve">Research consistently shows that male partners and family members have poor menstrual literacy — and that this gap causes relationship distress, reduced empathy, and inadequate support. The following is the core knowledge a partner or family member needs.</w:t>
      </w:r>
    </w:p>
    <w:p>
      <w:pPr>
        <w:pStyle w:val="ListParagraph"/>
        <w:numPr>
          <w:ilvl w:val="0"/>
          <w:numId w:val="2"/>
        </w:numPr>
        <w:spacing w:after="80"/>
      </w:pPr>
      <w:r>
        <w:rPr>
          <w:rFonts w:ascii="Arial" w:cs="Arial" w:eastAsia="Arial" w:hAnsi="Arial"/>
          <w:color w:val="333333"/>
          <w:sz w:val="21"/>
          <w:szCs w:val="21"/>
        </w:rPr>
        <w:t xml:space="preserve">What a period actually is: Not 'just bleeding' — it's a complex 28-day hormonal cycle with four distinct phases, each affecting mood, energy, pain, and needs differently.</w:t>
      </w:r>
    </w:p>
    <w:p>
      <w:pPr>
        <w:pStyle w:val="ListParagraph"/>
        <w:numPr>
          <w:ilvl w:val="0"/>
          <w:numId w:val="2"/>
        </w:numPr>
        <w:spacing w:after="80"/>
      </w:pPr>
      <w:r>
        <w:rPr>
          <w:rFonts w:ascii="Arial" w:cs="Arial" w:eastAsia="Arial" w:hAnsi="Arial"/>
          <w:color w:val="333333"/>
          <w:sz w:val="21"/>
          <w:szCs w:val="21"/>
        </w:rPr>
        <w:t xml:space="preserve">The hormonal reality: Estrogen makes her feel energized and sociable in the follicular phase. Progesterone can cause bloating, fatigue, and mood vulnerability in the luteal phase. These are physiological, not 'attitude problems'.</w:t>
      </w:r>
    </w:p>
    <w:p>
      <w:pPr>
        <w:pStyle w:val="ListParagraph"/>
        <w:numPr>
          <w:ilvl w:val="0"/>
          <w:numId w:val="2"/>
        </w:numPr>
        <w:spacing w:after="80"/>
      </w:pPr>
      <w:r>
        <w:rPr>
          <w:rFonts w:ascii="Arial" w:cs="Arial" w:eastAsia="Arial" w:hAnsi="Arial"/>
          <w:color w:val="333333"/>
          <w:sz w:val="21"/>
          <w:szCs w:val="21"/>
        </w:rPr>
        <w:t xml:space="preserve">PMS is not invented: Premenstrual Syndrome is a clinically recognized condition. PMDD is a DSM-5 psychiatric diagnosis. When she says she feels terrible, she means it physically and neurologically.</w:t>
      </w:r>
    </w:p>
    <w:p>
      <w:pPr>
        <w:pStyle w:val="ListParagraph"/>
        <w:numPr>
          <w:ilvl w:val="0"/>
          <w:numId w:val="2"/>
        </w:numPr>
        <w:spacing w:after="80"/>
      </w:pPr>
      <w:r>
        <w:rPr>
          <w:rFonts w:ascii="Arial" w:cs="Arial" w:eastAsia="Arial" w:hAnsi="Arial"/>
          <w:color w:val="333333"/>
          <w:sz w:val="21"/>
          <w:szCs w:val="21"/>
        </w:rPr>
        <w:t xml:space="preserve">Pain is not normal to endure: Many women are taught to tolerate period pain. Severe dysmenorrhea may indicate endometriosis. Partners should encourage medical evaluation, not dismissal.</w:t>
      </w:r>
    </w:p>
    <w:p>
      <w:pPr>
        <w:pStyle w:val="ListParagraph"/>
        <w:numPr>
          <w:ilvl w:val="0"/>
          <w:numId w:val="2"/>
        </w:numPr>
        <w:spacing w:after="80"/>
      </w:pPr>
      <w:r>
        <w:rPr>
          <w:rFonts w:ascii="Arial" w:cs="Arial" w:eastAsia="Arial" w:hAnsi="Arial"/>
          <w:color w:val="333333"/>
          <w:sz w:val="21"/>
          <w:szCs w:val="21"/>
        </w:rPr>
        <w:t xml:space="preserve">What actually helps: Heating pad; over-the-counter NSAIDs (ibuprofen most evidence); light exercise; magnesium-rich food; emotional presence without problem-solving.</w:t>
      </w:r>
    </w:p>
    <w:p>
      <w:pPr>
        <w:pStyle w:val="ListParagraph"/>
        <w:numPr>
          <w:ilvl w:val="0"/>
          <w:numId w:val="2"/>
        </w:numPr>
        <w:spacing w:after="80"/>
      </w:pPr>
      <w:r>
        <w:rPr>
          <w:rFonts w:ascii="Arial" w:cs="Arial" w:eastAsia="Arial" w:hAnsi="Arial"/>
          <w:color w:val="333333"/>
          <w:sz w:val="21"/>
          <w:szCs w:val="21"/>
        </w:rPr>
        <w:t xml:space="preserve">What definitely doesn't help: 'Just push through it'; 'It can't be that bad'; 'You're being hormonal'; Any minimization of her symptoms.</w:t>
      </w:r>
    </w:p>
    <w:p>
      <w:pPr>
        <w:pStyle w:val="ListParagraph"/>
        <w:numPr>
          <w:ilvl w:val="0"/>
          <w:numId w:val="2"/>
        </w:numPr>
        <w:spacing w:after="80"/>
      </w:pPr>
      <w:r>
        <w:rPr>
          <w:rFonts w:ascii="Arial" w:cs="Arial" w:eastAsia="Arial" w:hAnsi="Arial"/>
          <w:color w:val="333333"/>
          <w:sz w:val="21"/>
          <w:szCs w:val="21"/>
        </w:rPr>
        <w:t xml:space="preserve">Phase-based communication strategy: Conversations requiring patience, flexibility, or compromise are best in her follicular or early luteal phase (days 6–20). Avoid high-stakes conflict in the 5 days before her period.</w:t>
      </w:r>
    </w:p>
    <w:p>
      <w:pPr>
        <w:pStyle w:val="ListParagraph"/>
        <w:numPr>
          <w:ilvl w:val="0"/>
          <w:numId w:val="2"/>
        </w:numPr>
        <w:spacing w:after="80"/>
      </w:pPr>
      <w:r>
        <w:rPr>
          <w:rFonts w:ascii="Arial" w:cs="Arial" w:eastAsia="Arial" w:hAnsi="Arial"/>
          <w:color w:val="333333"/>
          <w:sz w:val="21"/>
          <w:szCs w:val="21"/>
        </w:rPr>
        <w:t xml:space="preserve">Practical support: Track her cycle yourself so you're aware. Stock period supplies. Offer to cook or handle physical chores. Simply asking 'what do you need right now?' is powerful.</w:t>
      </w:r>
    </w:p>
    <w:p>
      <w:pPr>
        <w:pStyle w:val="ListParagraph"/>
        <w:numPr>
          <w:ilvl w:val="0"/>
          <w:numId w:val="2"/>
        </w:numPr>
        <w:spacing w:after="80"/>
      </w:pPr>
      <w:r>
        <w:rPr>
          <w:rFonts w:ascii="Arial" w:cs="Arial" w:eastAsia="Arial" w:hAnsi="Arial"/>
          <w:color w:val="333333"/>
          <w:sz w:val="21"/>
          <w:szCs w:val="21"/>
        </w:rPr>
        <w:t xml:space="preserve">When to encourage medical help: If she misses work or school regularly due to periods; if pain requires prescription medication; if symptoms significantly disrupt the relationship — these warrant medical evaluation.</w:t>
      </w:r>
    </w:p>
    <w:p>
      <w:pPr>
        <w:spacing w:after="240"/>
      </w:pPr>
    </w:p>
    <w:p>
      <w:pPr>
        <w:pBdr>
          <w:bottom w:val="single" w:color="E0B4C4" w:sz="3"/>
        </w:pBdr>
        <w:spacing w:before="80" w:after="80"/>
      </w:pPr>
    </w:p>
    <w:p>
      <w:pPr>
        <w:spacing w:after="160"/>
        <w:jc w:val="center"/>
      </w:pPr>
      <w:r>
        <w:rPr>
          <w:rFonts w:ascii="Arial" w:cs="Arial" w:eastAsia="Arial" w:hAnsi="Arial"/>
          <w:b/>
          <w:bCs/>
          <w:color w:val="B5174E"/>
          <w:sz w:val="34"/>
          <w:szCs w:val="34"/>
        </w:rPr>
        <w:t xml:space="preserve">COMPLETE 32-DOMAIN MASTER KNOWLEDGE MAP — FINAL</w:t>
      </w:r>
    </w:p>
    <w:p>
      <w:pPr>
        <w:spacing w:after="120"/>
      </w:pPr>
      <w:r>
        <w:rPr>
          <w:rFonts w:ascii="Arial" w:cs="Arial" w:eastAsia="Arial" w:hAnsi="Arial"/>
          <w:color w:val="2D2D2D"/>
          <w:sz w:val="22"/>
          <w:szCs w:val="22"/>
        </w:rPr>
        <w:t xml:space="preserve">This is the definitive inventory of all 32 domains across all three documents. Feed ALL THREE documents into your LLM pipeline for the complete women-centric health training dataset.</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200"/>
        <w:gridCol w:w="1500"/>
        <w:gridCol w:w="1500"/>
        <w:gridCol w:w="2660"/>
      </w:tblGrid>
      <w:tr>
        <w:trPr>
          <w:tblHeader/>
        </w:trPr>
        <w:tc>
          <w:tcPr>
            <w:tcW w:type="dxa" w:w="500"/>
            <w:tcBorders>
              <w:top w:val="single" w:color="AAAAAA" w:sz="1"/>
              <w:left w:val="single" w:color="AAAAAA" w:sz="1"/>
              <w:bottom w:val="single" w:color="AAAAAA" w:sz="1"/>
              <w:right w:val="single" w:color="AAAAAA" w:sz="1"/>
            </w:tcBorders>
            <w:shd w:fill="B5174E" w:val="clear"/>
            <w:tcMar>
              <w:top w:type="dxa" w:w="100"/>
              <w:left w:type="dxa" w:w="140"/>
              <w:bottom w:type="dxa" w:w="100"/>
              <w:right w:type="dxa" w:w="140"/>
            </w:tcMar>
          </w:tcPr>
          <w:p>
            <w:r>
              <w:rPr>
                <w:rFonts w:ascii="Arial" w:cs="Arial" w:eastAsia="Arial" w:hAnsi="Arial"/>
                <w:b/>
                <w:bCs/>
                <w:color w:val="FFFFFF"/>
                <w:sz w:val="20"/>
                <w:szCs w:val="20"/>
              </w:rPr>
              <w:t xml:space="preserve">#</w:t>
            </w:r>
          </w:p>
        </w:tc>
        <w:tc>
          <w:tcPr>
            <w:tcW w:type="dxa" w:w="3200"/>
            <w:tcBorders>
              <w:top w:val="single" w:color="AAAAAA" w:sz="1"/>
              <w:left w:val="single" w:color="AAAAAA" w:sz="1"/>
              <w:bottom w:val="single" w:color="AAAAAA" w:sz="1"/>
              <w:right w:val="single" w:color="AAAAAA" w:sz="1"/>
            </w:tcBorders>
            <w:shd w:fill="B5174E" w:val="clear"/>
            <w:tcMar>
              <w:top w:type="dxa" w:w="100"/>
              <w:left w:type="dxa" w:w="140"/>
              <w:bottom w:type="dxa" w:w="100"/>
              <w:right w:type="dxa" w:w="140"/>
            </w:tcMar>
          </w:tcPr>
          <w:p>
            <w:r>
              <w:rPr>
                <w:rFonts w:ascii="Arial" w:cs="Arial" w:eastAsia="Arial" w:hAnsi="Arial"/>
                <w:b/>
                <w:bCs/>
                <w:color w:val="FFFFFF"/>
                <w:sz w:val="20"/>
                <w:szCs w:val="20"/>
              </w:rPr>
              <w:t xml:space="preserve">Domain</w:t>
            </w:r>
          </w:p>
        </w:tc>
        <w:tc>
          <w:tcPr>
            <w:tcW w:type="dxa" w:w="1500"/>
            <w:tcBorders>
              <w:top w:val="single" w:color="AAAAAA" w:sz="1"/>
              <w:left w:val="single" w:color="AAAAAA" w:sz="1"/>
              <w:bottom w:val="single" w:color="AAAAAA" w:sz="1"/>
              <w:right w:val="single" w:color="AAAAAA" w:sz="1"/>
            </w:tcBorders>
            <w:shd w:fill="B5174E" w:val="clear"/>
            <w:tcMar>
              <w:top w:type="dxa" w:w="100"/>
              <w:left w:type="dxa" w:w="140"/>
              <w:bottom w:type="dxa" w:w="100"/>
              <w:right w:type="dxa" w:w="140"/>
            </w:tcMar>
          </w:tcPr>
          <w:p>
            <w:r>
              <w:rPr>
                <w:rFonts w:ascii="Arial" w:cs="Arial" w:eastAsia="Arial" w:hAnsi="Arial"/>
                <w:b/>
                <w:bCs/>
                <w:color w:val="FFFFFF"/>
                <w:sz w:val="20"/>
                <w:szCs w:val="20"/>
              </w:rPr>
              <w:t xml:space="preserve">Document</w:t>
            </w:r>
          </w:p>
        </w:tc>
        <w:tc>
          <w:tcPr>
            <w:tcW w:type="dxa" w:w="1500"/>
            <w:tcBorders>
              <w:top w:val="single" w:color="AAAAAA" w:sz="1"/>
              <w:left w:val="single" w:color="AAAAAA" w:sz="1"/>
              <w:bottom w:val="single" w:color="AAAAAA" w:sz="1"/>
              <w:right w:val="single" w:color="AAAAAA" w:sz="1"/>
            </w:tcBorders>
            <w:shd w:fill="B5174E" w:val="clear"/>
            <w:tcMar>
              <w:top w:type="dxa" w:w="100"/>
              <w:left w:type="dxa" w:w="140"/>
              <w:bottom w:type="dxa" w:w="100"/>
              <w:right w:type="dxa" w:w="140"/>
            </w:tcMar>
          </w:tcPr>
          <w:p>
            <w:r>
              <w:rPr>
                <w:rFonts w:ascii="Arial" w:cs="Arial" w:eastAsia="Arial" w:hAnsi="Arial"/>
                <w:b/>
                <w:bCs/>
                <w:color w:val="FFFFFF"/>
                <w:sz w:val="20"/>
                <w:szCs w:val="20"/>
              </w:rPr>
              <w:t xml:space="preserve">Status</w:t>
            </w:r>
          </w:p>
        </w:tc>
        <w:tc>
          <w:tcPr>
            <w:tcW w:type="dxa" w:w="2660"/>
            <w:tcBorders>
              <w:top w:val="single" w:color="AAAAAA" w:sz="1"/>
              <w:left w:val="single" w:color="AAAAAA" w:sz="1"/>
              <w:bottom w:val="single" w:color="AAAAAA" w:sz="1"/>
              <w:right w:val="single" w:color="AAAAAA" w:sz="1"/>
            </w:tcBorders>
            <w:shd w:fill="B5174E" w:val="clear"/>
            <w:tcMar>
              <w:top w:type="dxa" w:w="100"/>
              <w:left w:type="dxa" w:w="140"/>
              <w:bottom w:type="dxa" w:w="100"/>
              <w:right w:type="dxa" w:w="140"/>
            </w:tcMar>
          </w:tcPr>
          <w:p>
            <w:r>
              <w:rPr>
                <w:rFonts w:ascii="Arial" w:cs="Arial" w:eastAsia="Arial" w:hAnsi="Arial"/>
                <w:b/>
                <w:bCs/>
                <w:color w:val="FFFFFF"/>
                <w:sz w:val="20"/>
                <w:szCs w:val="20"/>
              </w:rPr>
              <w:t xml:space="preserve">Criticality</w:t>
            </w:r>
          </w:p>
        </w:tc>
      </w:tr>
      <w:tr>
        <w:tc>
          <w:tcPr>
            <w:tcW w:type="dxa" w:w="5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01</w:t>
            </w:r>
          </w:p>
        </w:tc>
        <w:tc>
          <w:tcPr>
            <w:tcW w:type="dxa" w:w="32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Biological Foundation — Anatomy</w:t>
            </w:r>
          </w:p>
        </w:tc>
        <w:tc>
          <w:tcPr>
            <w:tcW w:type="dxa" w:w="15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Base v2.0</w:t>
            </w:r>
          </w:p>
        </w:tc>
        <w:tc>
          <w:tcPr>
            <w:tcW w:type="dxa" w:w="15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w:t>
            </w:r>
          </w:p>
        </w:tc>
        <w:tc>
          <w:tcPr>
            <w:tcW w:type="dxa" w:w="26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Critical</w:t>
            </w:r>
          </w:p>
        </w:tc>
      </w:tr>
      <w:tr>
        <w:tc>
          <w:tcPr>
            <w:tcW w:type="dxa" w:w="5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02</w:t>
            </w:r>
          </w:p>
        </w:tc>
        <w:tc>
          <w:tcPr>
            <w:tcW w:type="dxa" w:w="32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Cycle Phases &amp; Parameters</w:t>
            </w:r>
          </w:p>
        </w:tc>
        <w:tc>
          <w:tcPr>
            <w:tcW w:type="dxa" w:w="15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Base v2.0</w:t>
            </w:r>
          </w:p>
        </w:tc>
        <w:tc>
          <w:tcPr>
            <w:tcW w:type="dxa" w:w="15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w:t>
            </w:r>
          </w:p>
        </w:tc>
        <w:tc>
          <w:tcPr>
            <w:tcW w:type="dxa" w:w="266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Critical</w:t>
            </w:r>
          </w:p>
        </w:tc>
      </w:tr>
      <w:tr>
        <w:tc>
          <w:tcPr>
            <w:tcW w:type="dxa" w:w="5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03</w:t>
            </w:r>
          </w:p>
        </w:tc>
        <w:tc>
          <w:tcPr>
            <w:tcW w:type="dxa" w:w="32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Lifecycle Milestones</w:t>
            </w:r>
          </w:p>
        </w:tc>
        <w:tc>
          <w:tcPr>
            <w:tcW w:type="dxa" w:w="15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Base v2.0</w:t>
            </w:r>
          </w:p>
        </w:tc>
        <w:tc>
          <w:tcPr>
            <w:tcW w:type="dxa" w:w="15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w:t>
            </w:r>
          </w:p>
        </w:tc>
        <w:tc>
          <w:tcPr>
            <w:tcW w:type="dxa" w:w="26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Critical</w:t>
            </w:r>
          </w:p>
        </w:tc>
      </w:tr>
      <w:tr>
        <w:tc>
          <w:tcPr>
            <w:tcW w:type="dxa" w:w="5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04</w:t>
            </w:r>
          </w:p>
        </w:tc>
        <w:tc>
          <w:tcPr>
            <w:tcW w:type="dxa" w:w="32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Physical Symptoms by Phase</w:t>
            </w:r>
          </w:p>
        </w:tc>
        <w:tc>
          <w:tcPr>
            <w:tcW w:type="dxa" w:w="15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Base v2.0</w:t>
            </w:r>
          </w:p>
        </w:tc>
        <w:tc>
          <w:tcPr>
            <w:tcW w:type="dxa" w:w="15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w:t>
            </w:r>
          </w:p>
        </w:tc>
        <w:tc>
          <w:tcPr>
            <w:tcW w:type="dxa" w:w="266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Critical</w:t>
            </w:r>
          </w:p>
        </w:tc>
      </w:tr>
      <w:tr>
        <w:tc>
          <w:tcPr>
            <w:tcW w:type="dxa" w:w="5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05</w:t>
            </w:r>
          </w:p>
        </w:tc>
        <w:tc>
          <w:tcPr>
            <w:tcW w:type="dxa" w:w="32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Mental Health &amp; Neuroscience</w:t>
            </w:r>
          </w:p>
        </w:tc>
        <w:tc>
          <w:tcPr>
            <w:tcW w:type="dxa" w:w="15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Base v2.0</w:t>
            </w:r>
          </w:p>
        </w:tc>
        <w:tc>
          <w:tcPr>
            <w:tcW w:type="dxa" w:w="15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w:t>
            </w:r>
          </w:p>
        </w:tc>
        <w:tc>
          <w:tcPr>
            <w:tcW w:type="dxa" w:w="26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Critical</w:t>
            </w:r>
          </w:p>
        </w:tc>
      </w:tr>
      <w:tr>
        <w:tc>
          <w:tcPr>
            <w:tcW w:type="dxa" w:w="5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06</w:t>
            </w:r>
          </w:p>
        </w:tc>
        <w:tc>
          <w:tcPr>
            <w:tcW w:type="dxa" w:w="32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Nutrition &amp; Supplements</w:t>
            </w:r>
          </w:p>
        </w:tc>
        <w:tc>
          <w:tcPr>
            <w:tcW w:type="dxa" w:w="15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Base v2.0</w:t>
            </w:r>
          </w:p>
        </w:tc>
        <w:tc>
          <w:tcPr>
            <w:tcW w:type="dxa" w:w="15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w:t>
            </w:r>
          </w:p>
        </w:tc>
        <w:tc>
          <w:tcPr>
            <w:tcW w:type="dxa" w:w="266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High</w:t>
            </w:r>
          </w:p>
        </w:tc>
      </w:tr>
      <w:tr>
        <w:tc>
          <w:tcPr>
            <w:tcW w:type="dxa" w:w="5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07</w:t>
            </w:r>
          </w:p>
        </w:tc>
        <w:tc>
          <w:tcPr>
            <w:tcW w:type="dxa" w:w="32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Lifestyle Factors</w:t>
            </w:r>
          </w:p>
        </w:tc>
        <w:tc>
          <w:tcPr>
            <w:tcW w:type="dxa" w:w="15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Base v2.0</w:t>
            </w:r>
          </w:p>
        </w:tc>
        <w:tc>
          <w:tcPr>
            <w:tcW w:type="dxa" w:w="15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w:t>
            </w:r>
          </w:p>
        </w:tc>
        <w:tc>
          <w:tcPr>
            <w:tcW w:type="dxa" w:w="26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High</w:t>
            </w:r>
          </w:p>
        </w:tc>
      </w:tr>
      <w:tr>
        <w:tc>
          <w:tcPr>
            <w:tcW w:type="dxa" w:w="5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08</w:t>
            </w:r>
          </w:p>
        </w:tc>
        <w:tc>
          <w:tcPr>
            <w:tcW w:type="dxa" w:w="32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Sexual Activity &amp; Relationships</w:t>
            </w:r>
          </w:p>
        </w:tc>
        <w:tc>
          <w:tcPr>
            <w:tcW w:type="dxa" w:w="15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Base v2.0</w:t>
            </w:r>
          </w:p>
        </w:tc>
        <w:tc>
          <w:tcPr>
            <w:tcW w:type="dxa" w:w="15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w:t>
            </w:r>
          </w:p>
        </w:tc>
        <w:tc>
          <w:tcPr>
            <w:tcW w:type="dxa" w:w="266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High</w:t>
            </w:r>
          </w:p>
        </w:tc>
      </w:tr>
      <w:tr>
        <w:tc>
          <w:tcPr>
            <w:tcW w:type="dxa" w:w="5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09</w:t>
            </w:r>
          </w:p>
        </w:tc>
        <w:tc>
          <w:tcPr>
            <w:tcW w:type="dxa" w:w="32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Pregnancy &amp; Postpartum</w:t>
            </w:r>
          </w:p>
        </w:tc>
        <w:tc>
          <w:tcPr>
            <w:tcW w:type="dxa" w:w="15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Base v2.0</w:t>
            </w:r>
          </w:p>
        </w:tc>
        <w:tc>
          <w:tcPr>
            <w:tcW w:type="dxa" w:w="15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w:t>
            </w:r>
          </w:p>
        </w:tc>
        <w:tc>
          <w:tcPr>
            <w:tcW w:type="dxa" w:w="26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Critical</w:t>
            </w:r>
          </w:p>
        </w:tc>
      </w:tr>
      <w:tr>
        <w:tc>
          <w:tcPr>
            <w:tcW w:type="dxa" w:w="5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10</w:t>
            </w:r>
          </w:p>
        </w:tc>
        <w:tc>
          <w:tcPr>
            <w:tcW w:type="dxa" w:w="32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Breastfeeding &amp; Lactation</w:t>
            </w:r>
          </w:p>
        </w:tc>
        <w:tc>
          <w:tcPr>
            <w:tcW w:type="dxa" w:w="15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Base v2.0</w:t>
            </w:r>
          </w:p>
        </w:tc>
        <w:tc>
          <w:tcPr>
            <w:tcW w:type="dxa" w:w="15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w:t>
            </w:r>
          </w:p>
        </w:tc>
        <w:tc>
          <w:tcPr>
            <w:tcW w:type="dxa" w:w="266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Critical</w:t>
            </w:r>
          </w:p>
        </w:tc>
      </w:tr>
      <w:tr>
        <w:tc>
          <w:tcPr>
            <w:tcW w:type="dxa" w:w="5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11</w:t>
            </w:r>
          </w:p>
        </w:tc>
        <w:tc>
          <w:tcPr>
            <w:tcW w:type="dxa" w:w="32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Medical Conditions (PCOS, Endo, etc.)</w:t>
            </w:r>
          </w:p>
        </w:tc>
        <w:tc>
          <w:tcPr>
            <w:tcW w:type="dxa" w:w="15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Base v2.0</w:t>
            </w:r>
          </w:p>
        </w:tc>
        <w:tc>
          <w:tcPr>
            <w:tcW w:type="dxa" w:w="15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w:t>
            </w:r>
          </w:p>
        </w:tc>
        <w:tc>
          <w:tcPr>
            <w:tcW w:type="dxa" w:w="26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Critical</w:t>
            </w:r>
          </w:p>
        </w:tc>
      </w:tr>
      <w:tr>
        <w:tc>
          <w:tcPr>
            <w:tcW w:type="dxa" w:w="5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12</w:t>
            </w:r>
          </w:p>
        </w:tc>
        <w:tc>
          <w:tcPr>
            <w:tcW w:type="dxa" w:w="32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Menstrual Disorders Taxonomy</w:t>
            </w:r>
          </w:p>
        </w:tc>
        <w:tc>
          <w:tcPr>
            <w:tcW w:type="dxa" w:w="15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Base v2.0</w:t>
            </w:r>
          </w:p>
        </w:tc>
        <w:tc>
          <w:tcPr>
            <w:tcW w:type="dxa" w:w="15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w:t>
            </w:r>
          </w:p>
        </w:tc>
        <w:tc>
          <w:tcPr>
            <w:tcW w:type="dxa" w:w="266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Critical</w:t>
            </w:r>
          </w:p>
        </w:tc>
      </w:tr>
      <w:tr>
        <w:tc>
          <w:tcPr>
            <w:tcW w:type="dxa" w:w="5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13</w:t>
            </w:r>
          </w:p>
        </w:tc>
        <w:tc>
          <w:tcPr>
            <w:tcW w:type="dxa" w:w="32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Cycle Tracking &amp; FAM</w:t>
            </w:r>
          </w:p>
        </w:tc>
        <w:tc>
          <w:tcPr>
            <w:tcW w:type="dxa" w:w="15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Base v2.0</w:t>
            </w:r>
          </w:p>
        </w:tc>
        <w:tc>
          <w:tcPr>
            <w:tcW w:type="dxa" w:w="15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w:t>
            </w:r>
          </w:p>
        </w:tc>
        <w:tc>
          <w:tcPr>
            <w:tcW w:type="dxa" w:w="26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High</w:t>
            </w:r>
          </w:p>
        </w:tc>
      </w:tr>
      <w:tr>
        <w:tc>
          <w:tcPr>
            <w:tcW w:type="dxa" w:w="5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14</w:t>
            </w:r>
          </w:p>
        </w:tc>
        <w:tc>
          <w:tcPr>
            <w:tcW w:type="dxa" w:w="32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Contraception</w:t>
            </w:r>
          </w:p>
        </w:tc>
        <w:tc>
          <w:tcPr>
            <w:tcW w:type="dxa" w:w="15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Base v2.0</w:t>
            </w:r>
          </w:p>
        </w:tc>
        <w:tc>
          <w:tcPr>
            <w:tcW w:type="dxa" w:w="15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w:t>
            </w:r>
          </w:p>
        </w:tc>
        <w:tc>
          <w:tcPr>
            <w:tcW w:type="dxa" w:w="266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High</w:t>
            </w:r>
          </w:p>
        </w:tc>
      </w:tr>
      <w:tr>
        <w:tc>
          <w:tcPr>
            <w:tcW w:type="dxa" w:w="5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15</w:t>
            </w:r>
          </w:p>
        </w:tc>
        <w:tc>
          <w:tcPr>
            <w:tcW w:type="dxa" w:w="32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Fertility &amp; ART</w:t>
            </w:r>
          </w:p>
        </w:tc>
        <w:tc>
          <w:tcPr>
            <w:tcW w:type="dxa" w:w="15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Base v2.0</w:t>
            </w:r>
          </w:p>
        </w:tc>
        <w:tc>
          <w:tcPr>
            <w:tcW w:type="dxa" w:w="15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w:t>
            </w:r>
          </w:p>
        </w:tc>
        <w:tc>
          <w:tcPr>
            <w:tcW w:type="dxa" w:w="26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High</w:t>
            </w:r>
          </w:p>
        </w:tc>
      </w:tr>
      <w:tr>
        <w:tc>
          <w:tcPr>
            <w:tcW w:type="dxa" w:w="5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16</w:t>
            </w:r>
          </w:p>
        </w:tc>
        <w:tc>
          <w:tcPr>
            <w:tcW w:type="dxa" w:w="32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Menopause &amp; HRT</w:t>
            </w:r>
          </w:p>
        </w:tc>
        <w:tc>
          <w:tcPr>
            <w:tcW w:type="dxa" w:w="15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Base v2.0</w:t>
            </w:r>
          </w:p>
        </w:tc>
        <w:tc>
          <w:tcPr>
            <w:tcW w:type="dxa" w:w="15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w:t>
            </w:r>
          </w:p>
        </w:tc>
        <w:tc>
          <w:tcPr>
            <w:tcW w:type="dxa" w:w="266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High</w:t>
            </w:r>
          </w:p>
        </w:tc>
      </w:tr>
      <w:tr>
        <w:tc>
          <w:tcPr>
            <w:tcW w:type="dxa" w:w="5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17</w:t>
            </w:r>
          </w:p>
        </w:tc>
        <w:tc>
          <w:tcPr>
            <w:tcW w:type="dxa" w:w="32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Skin, Hair &amp; Body Composition</w:t>
            </w:r>
          </w:p>
        </w:tc>
        <w:tc>
          <w:tcPr>
            <w:tcW w:type="dxa" w:w="15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Base v2.0</w:t>
            </w:r>
          </w:p>
        </w:tc>
        <w:tc>
          <w:tcPr>
            <w:tcW w:type="dxa" w:w="15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w:t>
            </w:r>
          </w:p>
        </w:tc>
        <w:tc>
          <w:tcPr>
            <w:tcW w:type="dxa" w:w="26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Medium</w:t>
            </w:r>
          </w:p>
        </w:tc>
      </w:tr>
      <w:tr>
        <w:tc>
          <w:tcPr>
            <w:tcW w:type="dxa" w:w="5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18</w:t>
            </w:r>
          </w:p>
        </w:tc>
        <w:tc>
          <w:tcPr>
            <w:tcW w:type="dxa" w:w="32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Cultural &amp; Global Perspectives</w:t>
            </w:r>
          </w:p>
        </w:tc>
        <w:tc>
          <w:tcPr>
            <w:tcW w:type="dxa" w:w="15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Base v2.0</w:t>
            </w:r>
          </w:p>
        </w:tc>
        <w:tc>
          <w:tcPr>
            <w:tcW w:type="dxa" w:w="15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w:t>
            </w:r>
          </w:p>
        </w:tc>
        <w:tc>
          <w:tcPr>
            <w:tcW w:type="dxa" w:w="266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High</w:t>
            </w:r>
          </w:p>
        </w:tc>
      </w:tr>
      <w:tr>
        <w:tc>
          <w:tcPr>
            <w:tcW w:type="dxa" w:w="5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19</w:t>
            </w:r>
          </w:p>
        </w:tc>
        <w:tc>
          <w:tcPr>
            <w:tcW w:type="dxa" w:w="32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Medications Affecting Cycle</w:t>
            </w:r>
          </w:p>
        </w:tc>
        <w:tc>
          <w:tcPr>
            <w:tcW w:type="dxa" w:w="15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Base v2.0</w:t>
            </w:r>
          </w:p>
        </w:tc>
        <w:tc>
          <w:tcPr>
            <w:tcW w:type="dxa" w:w="15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w:t>
            </w:r>
          </w:p>
        </w:tc>
        <w:tc>
          <w:tcPr>
            <w:tcW w:type="dxa" w:w="26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High</w:t>
            </w:r>
          </w:p>
        </w:tc>
      </w:tr>
      <w:tr>
        <w:tc>
          <w:tcPr>
            <w:tcW w:type="dxa" w:w="5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20</w:t>
            </w:r>
          </w:p>
        </w:tc>
        <w:tc>
          <w:tcPr>
            <w:tcW w:type="dxa" w:w="32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AI Model Design Guidelines</w:t>
            </w:r>
          </w:p>
        </w:tc>
        <w:tc>
          <w:tcPr>
            <w:tcW w:type="dxa" w:w="15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Base v2.0</w:t>
            </w:r>
          </w:p>
        </w:tc>
        <w:tc>
          <w:tcPr>
            <w:tcW w:type="dxa" w:w="15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w:t>
            </w:r>
          </w:p>
        </w:tc>
        <w:tc>
          <w:tcPr>
            <w:tcW w:type="dxa" w:w="266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Critical</w:t>
            </w:r>
          </w:p>
        </w:tc>
      </w:tr>
      <w:tr>
        <w:tc>
          <w:tcPr>
            <w:tcW w:type="dxa" w:w="5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21</w:t>
            </w:r>
          </w:p>
        </w:tc>
        <w:tc>
          <w:tcPr>
            <w:tcW w:type="dxa" w:w="32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Vaginal Microbiome — CST, BV, VVC</w:t>
            </w:r>
          </w:p>
        </w:tc>
        <w:tc>
          <w:tcPr>
            <w:tcW w:type="dxa" w:w="15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Add-On v1.0</w:t>
            </w:r>
          </w:p>
        </w:tc>
        <w:tc>
          <w:tcPr>
            <w:tcW w:type="dxa" w:w="15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w:t>
            </w:r>
          </w:p>
        </w:tc>
        <w:tc>
          <w:tcPr>
            <w:tcW w:type="dxa" w:w="26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Critical</w:t>
            </w:r>
          </w:p>
        </w:tc>
      </w:tr>
      <w:tr>
        <w:tc>
          <w:tcPr>
            <w:tcW w:type="dxa" w:w="5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22</w:t>
            </w:r>
          </w:p>
        </w:tc>
        <w:tc>
          <w:tcPr>
            <w:tcW w:type="dxa" w:w="32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Pelvic Floor &amp; Chronic Pain</w:t>
            </w:r>
          </w:p>
        </w:tc>
        <w:tc>
          <w:tcPr>
            <w:tcW w:type="dxa" w:w="15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Add-On v1.0</w:t>
            </w:r>
          </w:p>
        </w:tc>
        <w:tc>
          <w:tcPr>
            <w:tcW w:type="dxa" w:w="15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w:t>
            </w:r>
          </w:p>
        </w:tc>
        <w:tc>
          <w:tcPr>
            <w:tcW w:type="dxa" w:w="266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Critical</w:t>
            </w:r>
          </w:p>
        </w:tc>
      </w:tr>
      <w:tr>
        <w:tc>
          <w:tcPr>
            <w:tcW w:type="dxa" w:w="5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23</w:t>
            </w:r>
          </w:p>
        </w:tc>
        <w:tc>
          <w:tcPr>
            <w:tcW w:type="dxa" w:w="32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AI/ML &amp; Wearable Technology</w:t>
            </w:r>
          </w:p>
        </w:tc>
        <w:tc>
          <w:tcPr>
            <w:tcW w:type="dxa" w:w="15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Add-On v1.0</w:t>
            </w:r>
          </w:p>
        </w:tc>
        <w:tc>
          <w:tcPr>
            <w:tcW w:type="dxa" w:w="15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w:t>
            </w:r>
          </w:p>
        </w:tc>
        <w:tc>
          <w:tcPr>
            <w:tcW w:type="dxa" w:w="26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Critical</w:t>
            </w:r>
          </w:p>
        </w:tc>
      </w:tr>
      <w:tr>
        <w:tc>
          <w:tcPr>
            <w:tcW w:type="dxa" w:w="5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24</w:t>
            </w:r>
          </w:p>
        </w:tc>
        <w:tc>
          <w:tcPr>
            <w:tcW w:type="dxa" w:w="32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Female Sexual Dysfunction</w:t>
            </w:r>
          </w:p>
        </w:tc>
        <w:tc>
          <w:tcPr>
            <w:tcW w:type="dxa" w:w="15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Add-On v1.0</w:t>
            </w:r>
          </w:p>
        </w:tc>
        <w:tc>
          <w:tcPr>
            <w:tcW w:type="dxa" w:w="15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w:t>
            </w:r>
          </w:p>
        </w:tc>
        <w:tc>
          <w:tcPr>
            <w:tcW w:type="dxa" w:w="266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High</w:t>
            </w:r>
          </w:p>
        </w:tc>
      </w:tr>
      <w:tr>
        <w:tc>
          <w:tcPr>
            <w:tcW w:type="dxa" w:w="5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25</w:t>
            </w:r>
          </w:p>
        </w:tc>
        <w:tc>
          <w:tcPr>
            <w:tcW w:type="dxa" w:w="32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Genetics &amp; Epigenetics</w:t>
            </w:r>
          </w:p>
        </w:tc>
        <w:tc>
          <w:tcPr>
            <w:tcW w:type="dxa" w:w="15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Add-On v1.0</w:t>
            </w:r>
          </w:p>
        </w:tc>
        <w:tc>
          <w:tcPr>
            <w:tcW w:type="dxa" w:w="15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w:t>
            </w:r>
          </w:p>
        </w:tc>
        <w:tc>
          <w:tcPr>
            <w:tcW w:type="dxa" w:w="26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High</w:t>
            </w:r>
          </w:p>
        </w:tc>
      </w:tr>
      <w:tr>
        <w:tc>
          <w:tcPr>
            <w:tcW w:type="dxa" w:w="5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26</w:t>
            </w:r>
          </w:p>
        </w:tc>
        <w:tc>
          <w:tcPr>
            <w:tcW w:type="dxa" w:w="32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India-Specific Deep Dive</w:t>
            </w:r>
          </w:p>
        </w:tc>
        <w:tc>
          <w:tcPr>
            <w:tcW w:type="dxa" w:w="15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Add-On v1.0</w:t>
            </w:r>
          </w:p>
        </w:tc>
        <w:tc>
          <w:tcPr>
            <w:tcW w:type="dxa" w:w="15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w:t>
            </w:r>
          </w:p>
        </w:tc>
        <w:tc>
          <w:tcPr>
            <w:tcW w:type="dxa" w:w="266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Critical (India)</w:t>
            </w:r>
          </w:p>
        </w:tc>
      </w:tr>
      <w:tr>
        <w:tc>
          <w:tcPr>
            <w:tcW w:type="dxa" w:w="5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27</w:t>
            </w:r>
          </w:p>
        </w:tc>
        <w:tc>
          <w:tcPr>
            <w:tcW w:type="dxa" w:w="32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Preconception Health — 90-Day Protocol</w:t>
            </w:r>
          </w:p>
        </w:tc>
        <w:tc>
          <w:tcPr>
            <w:tcW w:type="dxa" w:w="15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Final Ext v2.0</w:t>
            </w:r>
          </w:p>
        </w:tc>
        <w:tc>
          <w:tcPr>
            <w:tcW w:type="dxa" w:w="15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 NEW</w:t>
            </w:r>
          </w:p>
        </w:tc>
        <w:tc>
          <w:tcPr>
            <w:tcW w:type="dxa" w:w="26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Critical</w:t>
            </w:r>
          </w:p>
        </w:tc>
      </w:tr>
      <w:tr>
        <w:tc>
          <w:tcPr>
            <w:tcW w:type="dxa" w:w="5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28</w:t>
            </w:r>
          </w:p>
        </w:tc>
        <w:tc>
          <w:tcPr>
            <w:tcW w:type="dxa" w:w="32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Endocrine Disruptors &amp; Environment</w:t>
            </w:r>
          </w:p>
        </w:tc>
        <w:tc>
          <w:tcPr>
            <w:tcW w:type="dxa" w:w="15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Final Ext v2.0</w:t>
            </w:r>
          </w:p>
        </w:tc>
        <w:tc>
          <w:tcPr>
            <w:tcW w:type="dxa" w:w="15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 NEW</w:t>
            </w:r>
          </w:p>
        </w:tc>
        <w:tc>
          <w:tcPr>
            <w:tcW w:type="dxa" w:w="266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Critical</w:t>
            </w:r>
          </w:p>
        </w:tc>
      </w:tr>
      <w:tr>
        <w:tc>
          <w:tcPr>
            <w:tcW w:type="dxa" w:w="5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29</w:t>
            </w:r>
          </w:p>
        </w:tc>
        <w:tc>
          <w:tcPr>
            <w:tcW w:type="dxa" w:w="32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LGBTQ+ &amp; Transgender Menstrual Health</w:t>
            </w:r>
          </w:p>
        </w:tc>
        <w:tc>
          <w:tcPr>
            <w:tcW w:type="dxa" w:w="15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Final Ext v2.0</w:t>
            </w:r>
          </w:p>
        </w:tc>
        <w:tc>
          <w:tcPr>
            <w:tcW w:type="dxa" w:w="15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 NEW</w:t>
            </w:r>
          </w:p>
        </w:tc>
        <w:tc>
          <w:tcPr>
            <w:tcW w:type="dxa" w:w="26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High</w:t>
            </w:r>
          </w:p>
        </w:tc>
      </w:tr>
      <w:tr>
        <w:tc>
          <w:tcPr>
            <w:tcW w:type="dxa" w:w="5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30</w:t>
            </w:r>
          </w:p>
        </w:tc>
        <w:tc>
          <w:tcPr>
            <w:tcW w:type="dxa" w:w="32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Menstrual Products Comparison Guide</w:t>
            </w:r>
          </w:p>
        </w:tc>
        <w:tc>
          <w:tcPr>
            <w:tcW w:type="dxa" w:w="15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Final Ext v2.0</w:t>
            </w:r>
          </w:p>
        </w:tc>
        <w:tc>
          <w:tcPr>
            <w:tcW w:type="dxa" w:w="15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 NEW</w:t>
            </w:r>
          </w:p>
        </w:tc>
        <w:tc>
          <w:tcPr>
            <w:tcW w:type="dxa" w:w="266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High</w:t>
            </w:r>
          </w:p>
        </w:tc>
      </w:tr>
      <w:tr>
        <w:tc>
          <w:tcPr>
            <w:tcW w:type="dxa" w:w="5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31</w:t>
            </w:r>
          </w:p>
        </w:tc>
        <w:tc>
          <w:tcPr>
            <w:tcW w:type="dxa" w:w="32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Adolescent Health &amp; Puberty Education</w:t>
            </w:r>
          </w:p>
        </w:tc>
        <w:tc>
          <w:tcPr>
            <w:tcW w:type="dxa" w:w="15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Final Ext v2.0</w:t>
            </w:r>
          </w:p>
        </w:tc>
        <w:tc>
          <w:tcPr>
            <w:tcW w:type="dxa" w:w="15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 NEW</w:t>
            </w:r>
          </w:p>
        </w:tc>
        <w:tc>
          <w:tcPr>
            <w:tcW w:type="dxa" w:w="26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Critical</w:t>
            </w:r>
          </w:p>
        </w:tc>
      </w:tr>
      <w:tr>
        <w:tc>
          <w:tcPr>
            <w:tcW w:type="dxa" w:w="5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32</w:t>
            </w:r>
          </w:p>
        </w:tc>
        <w:tc>
          <w:tcPr>
            <w:tcW w:type="dxa" w:w="32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Disability, Chronic Illness &amp; Menstruation</w:t>
            </w:r>
          </w:p>
        </w:tc>
        <w:tc>
          <w:tcPr>
            <w:tcW w:type="dxa" w:w="15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Final Ext v2.0</w:t>
            </w:r>
          </w:p>
        </w:tc>
        <w:tc>
          <w:tcPr>
            <w:tcW w:type="dxa" w:w="15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 NEW</w:t>
            </w:r>
          </w:p>
        </w:tc>
        <w:tc>
          <w:tcPr>
            <w:tcW w:type="dxa" w:w="266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High</w:t>
            </w:r>
          </w:p>
        </w:tc>
      </w:tr>
      <w:tr>
        <w:tc>
          <w:tcPr>
            <w:tcW w:type="dxa" w:w="5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BONUS</w:t>
            </w:r>
          </w:p>
        </w:tc>
        <w:tc>
          <w:tcPr>
            <w:tcW w:type="dxa" w:w="32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Cancer Screening Protocols (Domain 33)</w:t>
            </w:r>
          </w:p>
        </w:tc>
        <w:tc>
          <w:tcPr>
            <w:tcW w:type="dxa" w:w="15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Final Ext v2.0</w:t>
            </w:r>
          </w:p>
        </w:tc>
        <w:tc>
          <w:tcPr>
            <w:tcW w:type="dxa" w:w="15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 NEW</w:t>
            </w:r>
          </w:p>
        </w:tc>
        <w:tc>
          <w:tcPr>
            <w:tcW w:type="dxa" w:w="26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Critical</w:t>
            </w:r>
          </w:p>
        </w:tc>
      </w:tr>
      <w:tr>
        <w:tc>
          <w:tcPr>
            <w:tcW w:type="dxa" w:w="5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BONUS</w:t>
            </w:r>
          </w:p>
        </w:tc>
        <w:tc>
          <w:tcPr>
            <w:tcW w:type="dxa" w:w="32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Workplace Policy &amp; Partner Education (Domain 34)</w:t>
            </w:r>
          </w:p>
        </w:tc>
        <w:tc>
          <w:tcPr>
            <w:tcW w:type="dxa" w:w="15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Final Ext v2.0</w:t>
            </w:r>
          </w:p>
        </w:tc>
        <w:tc>
          <w:tcPr>
            <w:tcW w:type="dxa" w:w="150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 NEW</w:t>
            </w:r>
          </w:p>
        </w:tc>
        <w:tc>
          <w:tcPr>
            <w:tcW w:type="dxa" w:w="2660"/>
            <w:tcBorders>
              <w:top w:val="single" w:color="DDDDDD" w:sz="1"/>
              <w:left w:val="single" w:color="DDDDDD" w:sz="1"/>
              <w:bottom w:val="single" w:color="DDDDDD" w:sz="1"/>
              <w:right w:val="single" w:color="DDDDDD" w:sz="1"/>
            </w:tcBorders>
            <w:shd w:fill="FDF5F8" w:val="clear"/>
            <w:tcMar>
              <w:top w:type="dxa" w:w="90"/>
              <w:left w:type="dxa" w:w="140"/>
              <w:bottom w:type="dxa" w:w="90"/>
              <w:right w:type="dxa" w:w="140"/>
            </w:tcMar>
          </w:tcPr>
          <w:p>
            <w:r>
              <w:rPr>
                <w:rFonts w:ascii="Arial" w:cs="Arial" w:eastAsia="Arial" w:hAnsi="Arial"/>
                <w:color w:val="333333"/>
                <w:sz w:val="19"/>
                <w:szCs w:val="19"/>
              </w:rPr>
              <w:t xml:space="preserve">High</w:t>
            </w:r>
          </w:p>
        </w:tc>
      </w:tr>
    </w:tbl>
    <w:p>
      <w:pPr>
        <w:spacing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B8A" w:sz="1"/>
              <w:left w:val="single" w:color="0D7B8A" w:sz="1"/>
              <w:bottom w:val="single" w:color="0D7B8A" w:sz="1"/>
              <w:right w:val="single" w:color="0D7B8A" w:sz="1"/>
            </w:tcBorders>
            <w:shd w:fill="E6F5F7" w:val="clear"/>
            <w:tcMar>
              <w:top w:type="dxa" w:w="160"/>
              <w:left w:type="dxa" w:w="200"/>
              <w:bottom w:type="dxa" w:w="160"/>
              <w:right w:type="dxa" w:w="200"/>
            </w:tcMar>
          </w:tcPr>
          <w:p>
            <w:pPr>
              <w:spacing w:after="80"/>
            </w:pPr>
            <w:r>
              <w:rPr>
                <w:rFonts w:ascii="Arial" w:cs="Arial" w:eastAsia="Arial" w:hAnsi="Arial"/>
                <w:b/>
                <w:bCs/>
                <w:color w:val="0D7B8A"/>
                <w:sz w:val="22"/>
                <w:szCs w:val="22"/>
              </w:rPr>
              <w:t xml:space="preserve">🚀  COMPLETE 3-DOCUMENT LLM TRAINING DEPLOYMENT GUIDE</w:t>
            </w:r>
          </w:p>
          <w:p>
            <w:pPr>
              <w:spacing w:after="60"/>
            </w:pPr>
            <w:r>
              <w:rPr>
                <w:rFonts w:ascii="Arial" w:cs="Arial" w:eastAsia="Arial" w:hAnsi="Arial"/>
                <w:color w:val="333333"/>
                <w:sz w:val="20"/>
                <w:szCs w:val="20"/>
              </w:rPr>
              <w:t xml:space="preserve">DOCUMENT 1: womens_ai_knowledge_base_v2.docx — 20 domains, biological foundation through AI model design (45 KB)</w:t>
            </w:r>
          </w:p>
          <w:p>
            <w:pPr>
              <w:spacing w:after="60"/>
            </w:pPr>
            <w:r>
              <w:rPr>
                <w:rFonts w:ascii="Arial" w:cs="Arial" w:eastAsia="Arial" w:hAnsi="Arial"/>
                <w:color w:val="333333"/>
                <w:sz w:val="20"/>
                <w:szCs w:val="20"/>
              </w:rPr>
              <w:t xml:space="preserve">DOCUMENT 2: womens_ai_addon_v1.docx — 6 domains, vaginal microbiome through India deep dive (38 KB)</w:t>
            </w:r>
          </w:p>
          <w:p>
            <w:pPr>
              <w:spacing w:after="60"/>
            </w:pPr>
            <w:r>
              <w:rPr>
                <w:rFonts w:ascii="Arial" w:cs="Arial" w:eastAsia="Arial" w:hAnsi="Arial"/>
                <w:color w:val="333333"/>
                <w:sz w:val="20"/>
                <w:szCs w:val="20"/>
              </w:rPr>
              <w:t xml:space="preserve">DOCUMENT 3: womens_ai_final_extension_v2.docx — 8 domains, preconception through partner education (this document)</w:t>
            </w:r>
          </w:p>
          <w:p>
            <w:pPr>
              <w:spacing w:after="60"/>
            </w:pPr>
            <w:r>
              <w:rPr>
                <w:rFonts w:ascii="Arial" w:cs="Arial" w:eastAsia="Arial" w:hAnsi="Arial"/>
                <w:color w:val="333333"/>
                <w:sz w:val="20"/>
                <w:szCs w:val="20"/>
              </w:rPr>
              <w:t xml:space="preserve"/>
            </w:r>
          </w:p>
          <w:p>
            <w:pPr>
              <w:spacing w:after="60"/>
            </w:pPr>
            <w:r>
              <w:rPr>
                <w:rFonts w:ascii="Arial" w:cs="Arial" w:eastAsia="Arial" w:hAnsi="Arial"/>
                <w:color w:val="333333"/>
                <w:sz w:val="20"/>
                <w:szCs w:val="20"/>
              </w:rPr>
              <w:t xml:space="preserve">INGESTION METHOD RECOMMENDATIONS:</w:t>
            </w:r>
          </w:p>
          <w:p>
            <w:pPr>
              <w:spacing w:after="60"/>
            </w:pPr>
            <w:r>
              <w:rPr>
                <w:rFonts w:ascii="Arial" w:cs="Arial" w:eastAsia="Arial" w:hAnsi="Arial"/>
                <w:color w:val="333333"/>
                <w:sz w:val="20"/>
                <w:szCs w:val="20"/>
              </w:rPr>
              <w:t xml:space="preserve">  → RAG Pipeline: Chunk by H2 heading; embed with text-embedding-3-large; retrieval top-k=5</w:t>
            </w:r>
          </w:p>
          <w:p>
            <w:pPr>
              <w:spacing w:after="60"/>
            </w:pPr>
            <w:r>
              <w:rPr>
                <w:rFonts w:ascii="Arial" w:cs="Arial" w:eastAsia="Arial" w:hAnsi="Arial"/>
                <w:color w:val="333333"/>
                <w:sz w:val="20"/>
                <w:szCs w:val="20"/>
              </w:rPr>
              <w:t xml:space="preserve">  → Fine-tuning: Use Q&amp;A pairs from Section 9 of Base Doc + generate 500 more from all 32 domains</w:t>
            </w:r>
          </w:p>
          <w:p>
            <w:pPr>
              <w:spacing w:after="60"/>
            </w:pPr>
            <w:r>
              <w:rPr>
                <w:rFonts w:ascii="Arial" w:cs="Arial" w:eastAsia="Arial" w:hAnsi="Arial"/>
                <w:color w:val="333333"/>
                <w:sz w:val="20"/>
                <w:szCs w:val="20"/>
              </w:rPr>
              <w:t xml:space="preserve">  → Context window: All 3 docs fit within 128K context window — can be fed as system prompt context</w:t>
            </w:r>
          </w:p>
          <w:p>
            <w:pPr>
              <w:spacing w:after="60"/>
            </w:pPr>
            <w:r>
              <w:rPr>
                <w:rFonts w:ascii="Arial" w:cs="Arial" w:eastAsia="Arial" w:hAnsi="Arial"/>
                <w:color w:val="333333"/>
                <w:sz w:val="20"/>
                <w:szCs w:val="20"/>
              </w:rPr>
              <w:t xml:space="preserve">  → Metadata tagging: Tag each chunk with [domain_id, life_stage, urgency, india_specific, lgbtq_inclusive]</w:t>
            </w:r>
          </w:p>
          <w:p>
            <w:pPr>
              <w:spacing w:after="60"/>
            </w:pPr>
            <w:r>
              <w:rPr>
                <w:rFonts w:ascii="Arial" w:cs="Arial" w:eastAsia="Arial" w:hAnsi="Arial"/>
                <w:color w:val="333333"/>
                <w:sz w:val="20"/>
                <w:szCs w:val="20"/>
              </w:rPr>
              <w:t xml:space="preserve"/>
            </w:r>
          </w:p>
          <w:p>
            <w:pPr>
              <w:spacing w:after="60"/>
            </w:pPr>
            <w:r>
              <w:rPr>
                <w:rFonts w:ascii="Arial" w:cs="Arial" w:eastAsia="Arial" w:hAnsi="Arial"/>
                <w:color w:val="333333"/>
                <w:sz w:val="20"/>
                <w:szCs w:val="20"/>
              </w:rPr>
              <w:t xml:space="preserve">VALIDATION PRIORITIES:</w:t>
            </w:r>
          </w:p>
          <w:p>
            <w:pPr>
              <w:spacing w:after="60"/>
            </w:pPr>
            <w:r>
              <w:rPr>
                <w:rFonts w:ascii="Arial" w:cs="Arial" w:eastAsia="Arial" w:hAnsi="Arial"/>
                <w:color w:val="333333"/>
                <w:sz w:val="20"/>
                <w:szCs w:val="20"/>
              </w:rPr>
              <w:t xml:space="preserve">  1. Red flag detection accuracy (zero tolerance for missed emergencies)</w:t>
            </w:r>
          </w:p>
          <w:p>
            <w:pPr>
              <w:spacing w:after="60"/>
            </w:pPr>
            <w:r>
              <w:rPr>
                <w:rFonts w:ascii="Arial" w:cs="Arial" w:eastAsia="Arial" w:hAnsi="Arial"/>
                <w:color w:val="333333"/>
                <w:sz w:val="20"/>
                <w:szCs w:val="20"/>
              </w:rPr>
              <w:t xml:space="preserve">  2. Life stage context switching (adolescent vs breastfeeding vs perimenopausal responses must differ)</w:t>
            </w:r>
          </w:p>
          <w:p>
            <w:pPr>
              <w:spacing w:after="60"/>
            </w:pPr>
            <w:r>
              <w:rPr>
                <w:rFonts w:ascii="Arial" w:cs="Arial" w:eastAsia="Arial" w:hAnsi="Arial"/>
                <w:color w:val="333333"/>
                <w:sz w:val="20"/>
                <w:szCs w:val="20"/>
              </w:rPr>
              <w:t xml:space="preserve">  3. Inclusive language compliance (LGBTQ+ respectful responses)</w:t>
            </w:r>
          </w:p>
          <w:p>
            <w:pPr>
              <w:spacing w:after="60"/>
            </w:pPr>
            <w:r>
              <w:rPr>
                <w:rFonts w:ascii="Arial" w:cs="Arial" w:eastAsia="Arial" w:hAnsi="Arial"/>
                <w:color w:val="333333"/>
                <w:sz w:val="20"/>
                <w:szCs w:val="20"/>
              </w:rPr>
              <w:t xml:space="preserve">  4. India-specific accuracy (non-obese PCOS, Ayurvedic integration, regional language terms)</w:t>
            </w:r>
          </w:p>
          <w:p>
            <w:pPr>
              <w:spacing w:after="60"/>
            </w:pPr>
            <w:r>
              <w:rPr>
                <w:rFonts w:ascii="Arial" w:cs="Arial" w:eastAsia="Arial" w:hAnsi="Arial"/>
                <w:color w:val="333333"/>
                <w:sz w:val="20"/>
                <w:szCs w:val="20"/>
              </w:rPr>
              <w:t xml:space="preserve">  5. EDC practical advice (actionable swaps, not just academic information)</w:t>
            </w:r>
          </w:p>
          <w:p>
            <w:pPr>
              <w:spacing w:after="60"/>
            </w:pPr>
            <w:r>
              <w:rPr>
                <w:rFonts w:ascii="Arial" w:cs="Arial" w:eastAsia="Arial" w:hAnsi="Arial"/>
                <w:color w:val="333333"/>
                <w:sz w:val="20"/>
                <w:szCs w:val="20"/>
              </w:rPr>
              <w:t xml:space="preserve"/>
            </w:r>
          </w:p>
          <w:p>
            <w:pPr>
              <w:spacing w:after="60"/>
            </w:pPr>
            <w:r>
              <w:rPr>
                <w:rFonts w:ascii="Arial" w:cs="Arial" w:eastAsia="Arial" w:hAnsi="Arial"/>
                <w:color w:val="333333"/>
                <w:sz w:val="20"/>
                <w:szCs w:val="20"/>
              </w:rPr>
              <w:t xml:space="preserve">QUARTERLY UPDATE DOMAINS (change fastest): Domain 23 (AI/ML), Domain 28 (EDCs), Domain 29 (Trans health — WPATH SOC updates)</w:t>
            </w:r>
          </w:p>
        </w:tc>
      </w:tr>
    </w:tbl>
    <w:p>
      <w:pPr>
        <w:spacing w:after="120"/>
      </w:pPr>
    </w:p>
    <w:p>
      <w:pPr>
        <w:pBdr>
          <w:bottom w:val="single" w:color="E0B4C4" w:sz="3"/>
        </w:pBdr>
        <w:spacing w:before="80" w:after="80"/>
      </w:pPr>
    </w:p>
    <w:p>
      <w:pPr>
        <w:spacing w:before="240" w:after="120"/>
        <w:jc w:val="center"/>
      </w:pPr>
      <w:r>
        <w:rPr>
          <w:rFonts w:ascii="Arial" w:cs="Arial" w:eastAsia="Arial" w:hAnsi="Arial"/>
          <w:b/>
          <w:bCs/>
          <w:color w:val="B5174E"/>
          <w:sz w:val="22"/>
          <w:szCs w:val="22"/>
        </w:rPr>
        <w:t xml:space="preserve">END OF FINAL EXTENSION v2.0  |  32-Domain Women-Centric AI Knowledge Base — COMPLETE</w:t>
      </w:r>
    </w:p>
    <w:p>
      <w:pPr>
        <w:spacing w:after="120"/>
      </w:pP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Women-Centric AI Knowledge Base  |  FINAL EXTENSION v2.0  |  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Arial" w:cs="Arial" w:eastAsia="Arial" w:hAnsi="Arial"/>
      <w:b/>
      <w:bCs/>
      <w:color w:val="B5174E"/>
      <w:sz w:val="38"/>
      <w:szCs w:val="38"/>
    </w:rPr>
  </w:style>
  <w:style w:type="paragraph" w:styleId="Heading2">
    <w:name w:val="Heading 2"/>
    <w:basedOn w:val="Normal"/>
    <w:next w:val="Normal"/>
    <w:qFormat/>
    <w:pPr>
      <w:spacing w:before="320" w:after="140"/>
      <w:outlineLvl w:val="1"/>
    </w:pPr>
    <w:rPr>
      <w:rFonts w:ascii="Arial" w:cs="Arial" w:eastAsia="Arial" w:hAnsi="Arial"/>
      <w:b/>
      <w:bCs/>
      <w:color w:val="1A1A2E"/>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0D7B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2026-03-14T05:37:57.025Z</dcterms:created>
  <dcterms:modified xsi:type="dcterms:W3CDTF">2026-03-14T05:37:57.027Z</dcterms:modified>
</cp:coreProperties>
</file>

<file path=docProps/custom.xml><?xml version="1.0" encoding="utf-8"?>
<Properties xmlns="http://schemas.openxmlformats.org/officeDocument/2006/custom-properties" xmlns:vt="http://schemas.openxmlformats.org/officeDocument/2006/docPropsVTypes"/>
</file>