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dictyBase 2026: a lightweight, sustainable reimplementation of the </w:t>
      </w:r>
      <w:r>
        <w:rPr>
          <w:i/>
        </w:rPr>
        <w:t>Dictyostelium</w:t>
      </w:r>
      <w:r>
        <w:t xml:space="preserve"> model organism database</w:t>
      </w:r>
    </w:p>
    <w:p>
      <w:r>
        <w:rPr>
          <w:b/>
        </w:rPr>
        <w:t>Working manuscript — Nucleic Acids Research (Database Issue) style</w:t>
      </w:r>
    </w:p>
    <w:p>
      <w:pPr>
        <w:pStyle w:val="Quote"/>
      </w:pPr>
      <w:r>
        <w:t>Framing locked: modern reimplementation of dictyBase (continuity with the established resource); title as above; co-authorship to be offered to Rex and Sidd.</w:t>
      </w:r>
    </w:p>
    <w:p>
      <w:r>
        <w:t>Authors: Matthew J. Scaglione¹,\</w:t>
      </w:r>
      <w:r>
        <w:rPr>
          <w:i/>
        </w:rPr>
        <w:t xml:space="preserve"> ; [Siddhartha Basu² and Rex L. Chisholm² — authorship to be offered; names/order to confirm] Affiliations: ¹Duke University School of Medicine, Durham, NC, USA; ²[dictyBase — affiliation to confirm] \</w:t>
      </w:r>
      <w:r>
        <w:t>To whom correspondence should be addressed.</w:t>
      </w:r>
    </w:p>
    <w:p>
      <w:pPr>
        <w:pBdr>
          <w:bottom w:val="single" w:sz="6" w:space="1" w:color="999999"/>
        </w:pBdr>
      </w:pPr>
    </w:p>
    <w:p>
      <w:pPr>
        <w:pStyle w:val="Heading1"/>
      </w:pPr>
      <w:r>
        <w:t>Abstract</w:t>
      </w:r>
    </w:p>
    <w:p>
      <w:r>
        <w:rPr>
          <w:i/>
        </w:rPr>
        <w:t>(~180 words; NAR abstracts are a single paragraph: what the organism is, what the resource is, what it contains, what is new, availability.)</w:t>
      </w:r>
    </w:p>
    <w:p>
      <w:r>
        <w:rPr>
          <w:i/>
        </w:rPr>
        <w:t>Dictyostelium discoideum</w:t>
      </w:r>
      <w:r>
        <w:t xml:space="preserve"> is a premier model organism for the study of chemotaxis, cell motility, phagocytosis, multicellular development, and an expanding set of human-disease genes. Its model organism database, dictyBase, has served the research community for two decades. Here we present a fully reimplemented dictyBase: an openly documented resource that reproduces and extends the established database on a deliberately lightweight architecture. The reimplemented resource provides integrated gene records combining curated summaries, Gene Ontology and phenotype annotations, human orthologs and disease associations, developmental transcriptomic and proteomic expression, protein domains and predicted structures; a full complement of analysis tools including sequence search (BLAST), a multi-genome browser, Gene Ontology, phenotype and pathway enrichment, expression comparison, and molecular-biology design utilities; and the complete Dicty Stock Center catalog of 7,079 strains and 1,265 plasmids with an integrated ordering workflow. The entire system runs as a single self-contained service over static, reproducibly built data drawn from GO, NCBI, UniProt, InterPro, KEGG and other community sources, allowing a small team to maintain it at low cost. dictyBase is freely available without registration at [URL].</w:t>
      </w:r>
    </w:p>
    <w:p>
      <w:pPr>
        <w:pBdr>
          <w:bottom w:val="single" w:sz="6" w:space="1" w:color="999999"/>
        </w:pBdr>
      </w:pPr>
    </w:p>
    <w:p>
      <w:pPr>
        <w:pStyle w:val="Heading1"/>
      </w:pPr>
      <w:r>
        <w:t>Introduction</w:t>
      </w:r>
    </w:p>
    <w:p>
      <w:r>
        <w:t xml:space="preserve">The social amoeba </w:t>
      </w:r>
      <w:r>
        <w:rPr>
          <w:i/>
        </w:rPr>
        <w:t>Dictyostelium discoideum</w:t>
      </w:r>
      <w:r>
        <w:t xml:space="preserve"> is a long-established model for cell and developmental biology. It grows as single cells that consume bacteria by phagocytosis, and upon starvation aggregates into a multicellular organism that proceeds through a stereotyped, roughly 24-hour developmental program, making it a uniquely tractable system for the study of chemotaxis, cell motility, cell–cell signaling, cell-type differentiation, and morphogenesis [refs]. Its experimental advantages—a compact haploid genome, efficient homologous recombination and CRISPR-based genome editing, and inexpensive culture—are increasingly complemented by a role in translational research: a substantial fraction of its genes have human orthologs, and it serves as a model for human conditions ranging from the neuronal ceroid lipofuscinoses to disorders of autophagy, mitochondrial function, and host–pathogen interaction [refs].</w:t>
      </w:r>
    </w:p>
    <w:p>
      <w:r>
        <w:t xml:space="preserve">For two decades, dictyBase has served as the central model organism database (MOD) for </w:t>
      </w:r>
      <w:r>
        <w:rPr>
          <w:i/>
        </w:rPr>
        <w:t>D. discoideum</w:t>
      </w:r>
      <w:r>
        <w:t xml:space="preserve"> and related dictyostelids (Kreppel et al., 2004; Chisholm et al., 2006; Fey et al., 2009; Basu et al., 2013). It provides the community's authoritative gene nomenclature, expert literature curation, Gene Ontology and phenotype annotations, genome sequences and assemblies, and—through the Dicty Stock Center—a repository from which strains and plasmids are distributed worldwide. These resources underpin a large fraction of published </w:t>
      </w:r>
      <w:r>
        <w:rPr>
          <w:i/>
        </w:rPr>
        <w:t>Dictyostelium</w:t>
      </w:r>
      <w:r>
        <w:t xml:space="preserve"> research and are relied upon for gene naming, functional annotation, and reagent access.</w:t>
      </w:r>
    </w:p>
    <w:p>
      <w:r>
        <w:t>Like many model organism databases, dictyBase must sustain a comprehensive, continuously updated resource against a backdrop of evolving community size and constrained, uncertain funding (Alliance of Genome Resources Consortium, 2024). Modern MOD infrastructures are frequently built as distributed, service-oriented systems that, while powerful, require specialized expertise and continuous engineering effort to operate—an operational burden that is difficult to sustain for smaller or transitioning communities.</w:t>
      </w:r>
    </w:p>
    <w:p>
      <w:r>
        <w:t>Here we describe a ground-up reimplementation of dictyBase built around a different principle: to preserve the completeness and authority of the resource while minimizing the cost and expertise required to run it. The reimplemented dictyBase delivers integrated gene records, comparative and human-disease data, transcriptomic and proteomic expression, and a full suite of analysis tools over a single self-contained service backed by static, reproducibly generated data assets. These assets are rebuilt from authoritative community sources—the Gene Ontology Consortium, NCBI, UniProt, InterPro, and KEGG, among others—by a documented set of scripts, and the running system requires no database server or distributed services. Beyond reproducing dictyBase's established functionality, this release adds human-ortholog and disease integration, faceted gene discovery, expanded analysis and molecular-biology design tools, and an education module for undergraduate teaching. We show that this architecture supports a content-complete MOD that can be maintained by a small team at modest cost, and we discuss its implications as a sustainable model for community databases.</w:t>
      </w:r>
    </w:p>
    <w:p>
      <w:pPr>
        <w:pStyle w:val="Heading1"/>
      </w:pPr>
      <w:r>
        <w:t>Data content and sources</w:t>
      </w:r>
    </w:p>
    <w:p>
      <w:r>
        <w:rPr>
          <w:i/>
        </w:rPr>
        <w:t>(Numbers below reflect the current data build and should be re-verified against the released assets before submission.)</w:t>
      </w:r>
    </w:p>
    <w:p>
      <w:r>
        <w:rPr>
          <w:b/>
        </w:rPr>
        <w:t>Gene records and nomenclature.</w:t>
      </w:r>
      <w:r>
        <w:t xml:space="preserve"> dictyBase provides records for the 13,892 protein-coding and RNA genes of the </w:t>
      </w:r>
      <w:r>
        <w:rPr>
          <w:i/>
        </w:rPr>
        <w:t>D. discoideum</w:t>
      </w:r>
      <w:r>
        <w:t xml:space="preserve"> AX4 reference genome, keyed by stable DDB_G identifiers and the community's approved gene symbols. Each record integrates a curated free-text summary where available, gene models derived from the reference annotation, cross-references to NCBI, UniProt, and related resources, and downloadable genomic, coding, and protein sequences. dictyBase remains the authority for </w:t>
      </w:r>
      <w:r>
        <w:rPr>
          <w:i/>
        </w:rPr>
        <w:t>Dictyostelium</w:t>
      </w:r>
      <w:r>
        <w:t xml:space="preserve"> gene nomenclature.</w:t>
      </w:r>
    </w:p>
    <w:p>
      <w:r>
        <w:rPr>
          <w:b/>
        </w:rPr>
        <w:t>Function: Gene Ontology and phenotypes.</w:t>
      </w:r>
      <w:r>
        <w:t xml:space="preserve"> Gene Ontology annotations are imported from the Gene Ontology Consortium's </w:t>
      </w:r>
      <w:r>
        <w:rPr>
          <w:i/>
        </w:rPr>
        <w:t>D. discoideum</w:t>
      </w:r>
      <w:r>
        <w:t xml:space="preserve"> release (Gene Ontology Consortium, 2023) and displayed grouped by aspect (molecular function, biological process, cellular component) with supporting evidence codes and references. Each annotation carries a provenance badge distinguishing expert dictyBase curation from electronic inference (UniProt, InterPro, GO_Central), so users can weight annotations by evidence quality. Curated loss-of-function phenotypes are provided for 474 genes, each with associated experimental conditions and literature.</w:t>
      </w:r>
    </w:p>
    <w:p>
      <w:r>
        <w:rPr>
          <w:b/>
        </w:rPr>
        <w:t>Comparative genomics and human disease.</w:t>
      </w:r>
      <w:r>
        <w:t xml:space="preserve"> To support translational use, dictyBase links </w:t>
      </w:r>
      <w:r>
        <w:rPr>
          <w:i/>
        </w:rPr>
        <w:t>D. discoideum</w:t>
      </w:r>
      <w:r>
        <w:t xml:space="preserve"> genes to their human orthologs and, where applicable, to human disease. Orthology is derived from the OMA browser (Altenhoff et al., 2024) and UniProt, and disease associations from the Human Phenotype Ontology (Gargano et al., 2024); 2,521 genes have an assigned human ortholog and 423 are linked to a human disease (for example, the </w:t>
      </w:r>
      <w:r>
        <w:rPr>
          <w:i/>
        </w:rPr>
        <w:t>cln5</w:t>
      </w:r>
      <w:r>
        <w:t xml:space="preserve"> ortholog of human </w:t>
      </w:r>
      <w:r>
        <w:rPr>
          <w:i/>
        </w:rPr>
        <w:t>CLN5</w:t>
      </w:r>
      <w:r>
        <w:t>, mutated in neuronal ceroid lipofuscinosis). Within-species paralog and gene-family relationships are computed on demand by sequence comparison.</w:t>
      </w:r>
    </w:p>
    <w:p>
      <w:r>
        <w:rPr>
          <w:b/>
        </w:rPr>
        <w:t>Expression: transcriptomics and proteomics.</w:t>
      </w:r>
      <w:r>
        <w:t xml:space="preserve"> Developmental gene-expression profiles across the aggregation-to-fruiting time course are provided from RNA-seq (Parikh et al., 2010) and are used both to compute co-expression relationships and to overlay expression tracks in the genome browser. Two mass-spectrometry proteomic datasets are integrated: a developmental proteome spanning five life-cycle stages (4,502 proteins; Banu et al., 2026) and an insoluble/heat-stress proteome (8,043 proteins; Williams et al., 2026).</w:t>
      </w:r>
    </w:p>
    <w:p>
      <w:r>
        <w:rPr>
          <w:b/>
        </w:rPr>
        <w:t>Pathways.</w:t>
      </w:r>
      <w:r>
        <w:t xml:space="preserve"> Metabolic and signaling pathway memberships are imported from KEGG (Kanehisa and Goto, 2000), covering 1,927 genes across 131 pathways, and are surfaced both on each gene record and as a term set for enrichment analysis.</w:t>
      </w:r>
    </w:p>
    <w:p>
      <w:r>
        <w:rPr>
          <w:b/>
        </w:rPr>
        <w:t>Protein structure and domains.</w:t>
      </w:r>
      <w:r>
        <w:t xml:space="preserve"> Protein records display InterPro domain architectures (Paysan-Lafosse et al., 2023) as annotated diagrams, embed AlphaFold predicted structures (Jumper et al., 2021; Varadi et al., 2022) where available, and present curated post-translational modification annotations.</w:t>
      </w:r>
    </w:p>
    <w:p>
      <w:r>
        <w:rPr>
          <w:b/>
        </w:rPr>
        <w:t>Genomes.</w:t>
      </w:r>
      <w:r>
        <w:t xml:space="preserve"> dictyBase hosts the assemblies and annotations of nine sequenced dictyostelid genomes, spanning the taxonomic groups of the social amoebae. All are browsable in an integrated genome browser and downloadable as FASTA assemblies and GFF3 annotations, supporting comparative and evolutionary analysis.</w:t>
      </w:r>
    </w:p>
    <w:p>
      <w:r>
        <w:rPr>
          <w:b/>
        </w:rPr>
        <w:t>The Dicty Stock Center.</w:t>
      </w:r>
      <w:r>
        <w:t xml:space="preserve"> The complete Dicty Stock Center catalog is integrated directly into the resource: 7,079 strains and 1,265 plasmids, synchronized from the dictyBase collection, each with genotype, phenotype, availability, and depositor information; a further ~21,500 genome-wide (GWDI) knockout strains are accessible. Users assemble orders in a cart and submit them through an integrated request workflow.</w:t>
      </w:r>
    </w:p>
    <w:p>
      <w:r>
        <w:rPr>
          <w:b/>
        </w:rPr>
        <w:t>A separated machine-generated annotation layer.</w:t>
      </w:r>
      <w:r>
        <w:t xml:space="preserve"> Recognizing both the demand for and the risks of automated annotation, dictyBase includes an explicitly separated, machine-generated annotation layer covering 1,374 genes. These annotations are visually badged, individually toggleable, and kept strictly distinct from expert-curated evidence; they are never merged into the curated record. Every gene symbol and GO identifier in the layer is validated against the authoritative gene and Gene Ontology sets during generation, so that no identifier is fabricated.</w:t>
      </w:r>
    </w:p>
    <w:p>
      <w:pPr>
        <w:pStyle w:val="Heading1"/>
      </w:pPr>
      <w:r>
        <w:t>Implementation and architecture</w:t>
      </w:r>
    </w:p>
    <w:p>
      <w:r>
        <w:rPr>
          <w:b/>
        </w:rPr>
        <w:t>Design overview.</w:t>
      </w:r>
      <w:r>
        <w:t xml:space="preserve"> dictyBase is implemented as a single self-contained web service written against the Python standard library, serving a vanilla-JavaScript single-page application (Figure 1). The system uses no external database, no message broker, and no distributed services; it has no build step, and its only runtime dependency for core function is a Python interpreter. Analyses that require established bioinformatics tools (for example, BLAST) invoke standard command-line binaries. This design deliberately trades the horizontal scalability of a service-oriented architecture—unnecessary at the query volumes of a specialized MOD—for radically lower operational complexity.</w:t>
      </w:r>
    </w:p>
    <w:p>
      <w:r>
        <w:rPr>
          <w:b/>
        </w:rPr>
        <w:t>Data as reproducible static builds.</w:t>
      </w:r>
      <w:r>
        <w:t xml:space="preserve"> Rather than serving data from a live database, dictyBase serves pre-computed, versioned data assets in JSON and standard bioinformatics formats. A documented suite of build scripts regenerates these assets from authoritative community sources—the Gene Ontology Consortium, NCBI, UniProt, InterPro, KEGG, the OMA browser, the Human Phenotype Ontology, AlphaFold, and the dictyBase collection—so that the entire data content of the resource is reproducible from source and its provenance is explicit. The running service reads these assets directly, compressing text responses on the fly. Data updates are performed by re-running the relevant build script and redeploying the assets, decoupling data maintenance from software operation.</w:t>
      </w:r>
    </w:p>
    <w:p>
      <w:r>
        <w:rPr>
          <w:b/>
        </w:rPr>
        <w:t>Access and computation.</w:t>
      </w:r>
      <w:r>
        <w:t xml:space="preserve"> In addition to the web interface, dictyBase exposes a public REST API of approximately 40 endpoints providing programmatic access to gene records, search, sequence retrieval, and each analysis tool. Analyses are computed in-process: sequence retrieval is performed from the genome assembly and gene models; over- representation analysis uses a self-contained hypergeometric implementation with Benjamini–Hochberg control of the false-discovery rate; and molecular-biology utilities (guide-RNA design with genome-wide off-target screening, primer design, and codon optimization) are implemented directly against the genome. No user accounts or personal data are stored, and usage is measured with a cookieless, first-party analytics counter that records only aggregate, bucketed page categories.</w:t>
      </w:r>
    </w:p>
    <w:p>
      <w:r>
        <w:rPr>
          <w:b/>
        </w:rPr>
        <w:t>Operational footprint.</w:t>
      </w:r>
      <w:r>
        <w:t xml:space="preserve"> Because the resource requires only a single service and static assets, it can be hosted on a single modest virtual machine at an annual cost of approximately US$700, and the bulk of its content can alternatively be served as static files behind a lightweight dynamic backend. The complete source code and data-build scripts are openly available (see Availability), enabling independent deployment, inspection, and reuse. We return to the implications of this footprint for MOD sustainability in the Discussion.</w:t>
      </w:r>
    </w:p>
    <w:p>
      <w:pPr>
        <w:pStyle w:val="Heading1"/>
      </w:pPr>
      <w:r>
        <w:t>Web interface and analysis tools</w:t>
      </w:r>
    </w:p>
    <w:p>
      <w:r>
        <w:rPr>
          <w:b/>
        </w:rPr>
        <w:t>The gene record.</w:t>
      </w:r>
      <w:r>
        <w:t xml:space="preserve"> Each gene is presented as a single record organized into tabbed sections—summary, Gene Ontology, phenotypes, literature, protein structure, interactions, orthologs, and post-translational modifications—that consolidate the data described above with cross-references to external resources. Gene symbols throughout the site are linked and augmented with hovercards that surface a gene's name, summary, and key attributes without navigation, and any gene can be cited or added to a personal workspace (below).</w:t>
      </w:r>
    </w:p>
    <w:p>
      <w:r>
        <w:rPr>
          <w:b/>
        </w:rPr>
        <w:t>Search and discovery.</w:t>
      </w:r>
      <w:r>
        <w:t xml:space="preserve"> dictyBase offers general full-text search across genes and site content, together with focused searches by curated phenotype, Gene Ontology term, and subcellular localization. An advanced gene finder supports faceted filtering of the entire catalog by combinations of properties—curated phenotype, presence of a human ortholog, disease association, and developmental expression peak—with export of the resulting gene set. A keyboard-driven command palette provides rapid navigation to any gene, page, or tool.</w:t>
      </w:r>
    </w:p>
    <w:p>
      <w:r>
        <w:rPr>
          <w:b/>
        </w:rPr>
        <w:t>Analysis tools.</w:t>
      </w:r>
      <w:r>
        <w:t xml:space="preserve"> An integrated suite of tools operates on genes and sequences. Sequence-similarity search is available through BLAST (Camacho et al., 2009); a genome browser built on IGV.js (Robinson et al., 2023) displays the nine dictyostelid assemblies with gene models and developmental RNA-seq tracks. Gene-set analyses include Gene Ontology, phenotype, and KEGG pathway over-representation testing; multi-gene developmental expression comparison; and identification of co-expressed genes. For experimental design, dictyBase provides guide-RNA design with genome-wide off-target screening, quantitative-PCR primer design with parameters tuned for the organism's AT-rich genome, and codon optimization against </w:t>
      </w:r>
      <w:r>
        <w:rPr>
          <w:i/>
        </w:rPr>
        <w:t>Dictyostelium</w:t>
      </w:r>
      <w:r>
        <w:t xml:space="preserve"> codon usage. On the protein record, domain architectures, cross-species conservation, and AlphaFold predicted structures are displayed interactively.</w:t>
      </w:r>
    </w:p>
    <w:p>
      <w:r>
        <w:rPr>
          <w:b/>
        </w:rPr>
        <w:t>A personal workspace.</w:t>
      </w:r>
      <w:r>
        <w:t xml:space="preserve"> Users may collect genes of interest into a per-browser workspace ("basket") that persists locally without an account. The collected set can be submitted directly to the enrichment and expression-comparison tools or exported as tabular data or protein FASTA, providing a simple bridge from browsing to analysis.</w:t>
      </w:r>
    </w:p>
    <w:p>
      <w:r>
        <w:rPr>
          <w:b/>
        </w:rPr>
        <w:t>Education.</w:t>
      </w:r>
      <w:r>
        <w:t xml:space="preserve"> To support the organism's substantial use in undergraduate teaching, dictyBase includes an education module comprising an interactive depiction of the life cycle linked to marker genes, a glossary, a self-assessment quiz, and a set of original, openly licensed teaching figures, alongside a library of classroom laboratory protocols.</w:t>
      </w:r>
    </w:p>
    <w:p>
      <w:pPr>
        <w:pStyle w:val="Heading1"/>
      </w:pPr>
      <w:r>
        <w:t>Curation and community</w:t>
      </w:r>
    </w:p>
    <w:p>
      <w:r>
        <w:rPr>
          <w:b/>
        </w:rPr>
        <w:t>Curation model.</w:t>
      </w:r>
      <w:r>
        <w:t xml:space="preserve"> dictyBase distinguishes three annotation layers: expert curation performed by dictyBase; community-contributed annotations submitted for review; and the separated machine-generated layer described above. Each layer is independently badged and can be shown or hidden by the user, so that the provenance and evidence basis of every annotation remain transparent.</w:t>
      </w:r>
    </w:p>
    <w:p>
      <w:r>
        <w:rPr>
          <w:b/>
        </w:rPr>
        <w:t>Curation interface.</w:t>
      </w:r>
      <w:r>
        <w:t xml:space="preserve"> A web-based curator interface allows authorized curators to add and edit gene and stock-center records directly. Edits are stored as durable overrides that are preserved across data rebuilds, so that manual curation is never overwritten when underlying assets are refreshed from source. Community members may submit gene annotations, corrections, and datasets through structured forms for curator review.</w:t>
      </w:r>
    </w:p>
    <w:p>
      <w:r>
        <w:rPr>
          <w:b/>
        </w:rPr>
        <w:t>Interoperability.</w:t>
      </w:r>
      <w:r>
        <w:t xml:space="preserve"> As the </w:t>
      </w:r>
      <w:r>
        <w:rPr>
          <w:i/>
        </w:rPr>
        <w:t>Dictyostelium</w:t>
      </w:r>
      <w:r>
        <w:t xml:space="preserve"> MOD, dictyBase both consumes and contributes to community data resources. Its curated Gene Ontology annotations continue to be contributed to the Gene Ontology Consortium through the established annotation pipeline [confirm current mechanism], and its gene nomenclature and records are cross-referenced with NCBI and UniProt, preserving dictyBase's role within the broader annotation ecosystem.</w:t>
      </w:r>
    </w:p>
    <w:p>
      <w:pPr>
        <w:pStyle w:val="Heading1"/>
      </w:pPr>
      <w:r>
        <w:t>Sustainability and future directions</w:t>
      </w:r>
    </w:p>
    <w:p>
      <w:r>
        <w:rPr>
          <w:b/>
        </w:rPr>
        <w:t>A sustainable model for community databases.</w:t>
      </w:r>
      <w:r>
        <w:t xml:space="preserve"> The principal claim of this work is architectural: that a specialized model organism database can be delivered in a form that is content-complete yet inexpensive and simple to operate. By serving reproducibly built static assets from a single service, dictyBase removes the standing operational burden of a database server and distributed microservices, reduces the resource's dependence on any single engineer, and makes both its software and its data auditable and independently deployable. For communities whose size or funding cannot support a large engineering effort—an increasingly common situation among model organism databases—this architecture offers a route to preserving a comprehensive resource at modest cost.</w:t>
      </w:r>
    </w:p>
    <w:p>
      <w:r>
        <w:rPr>
          <w:b/>
        </w:rPr>
        <w:t>Limitations.</w:t>
      </w:r>
      <w:r>
        <w:t xml:space="preserve"> The design makes deliberate trade-offs. It is optimized for a read-mostly resource at the query volumes typical of a specialized community, and is not intended to support high-throughput transactional workloads or large, concurrent development teams. Features that depend on persistent user accounts or complex transactions—such as large-scale automated order processing—are intentionally minimal, with reagent requests handled through a lightweight workflow.</w:t>
      </w:r>
    </w:p>
    <w:p>
      <w:r>
        <w:rPr>
          <w:b/>
        </w:rPr>
        <w:t>Future directions.</w:t>
      </w:r>
      <w:r>
        <w:t xml:space="preserve"> Planned developments include a community beta to gather user feedback, incorporation of additional data types (for example, spatial and in-situ expression and allele-level information), expanded mechanisms for community contribution, and continued synchronization with upstream data sources as they are updated.</w:t>
      </w:r>
    </w:p>
    <w:p>
      <w:pPr>
        <w:pStyle w:val="Heading1"/>
      </w:pPr>
      <w:r>
        <w:t>Figures</w:t>
      </w:r>
    </w:p>
    <w:p>
      <w:r>
        <w:rPr>
          <w:b/>
        </w:rPr>
        <w:t>Figure 1.</w:t>
      </w:r>
      <w:r>
        <w:t xml:space="preserve"> Architecture and data flow of the reimplemented dictyBase. Authoritative community data sources (Gene Ontology, NCBI, UniProt, InterPro, KEGG, OMA, HPO, AlphaFold and the dictyBase collection) are transformed by a documented set of build scripts into versioned static data assets. A single self-contained service delivers these assets to the web interface, a public REST API, and bulk downloads. No database server or distributed services are required. (Schematic: </w:t>
      </w:r>
      <w:r>
        <w:rPr>
          <w:rFonts w:ascii="Consolas" w:hAnsi="Consolas"/>
          <w:sz w:val="20"/>
        </w:rPr>
        <w:t>docs/figure1-architecture.svg</w:t>
      </w:r>
      <w:r>
        <w:t>.)</w:t>
      </w:r>
    </w:p>
    <w:p>
      <w:pPr>
        <w:pStyle w:val="Heading1"/>
      </w:pPr>
      <w:r>
        <w:t>Availability</w:t>
      </w:r>
    </w:p>
    <w:p>
      <w:r>
        <w:t>dictyBase is freely available at [https://—— (stable URL to confirm)] with no registration required. Curated gene summaries are released under CC BY-NC 4.0; other data are redistributed under the terms of their source resources. The complete source code and data-build scripts are openly available at [repository URL to confirm] under [an OSI-approved license, to confirm], enabling independent deployment and reuse.</w:t>
      </w:r>
    </w:p>
    <w:p>
      <w:pPr>
        <w:pStyle w:val="Heading1"/>
      </w:pPr>
      <w:r>
        <w:t>Funding</w:t>
      </w:r>
    </w:p>
    <w:p>
      <w:r>
        <w:t>[Funding sources and grant numbers to confirm.]</w:t>
      </w:r>
    </w:p>
    <w:p>
      <w:pPr>
        <w:pStyle w:val="Heading1"/>
      </w:pPr>
      <w:r>
        <w:t>Acknowledgments</w:t>
      </w:r>
    </w:p>
    <w:p>
      <w:r>
        <w:t xml:space="preserve">We thank the </w:t>
      </w:r>
      <w:r>
        <w:rPr>
          <w:i/>
        </w:rPr>
        <w:t>Dictyostelium</w:t>
      </w:r>
      <w:r>
        <w:t xml:space="preserve"> research community and the curators and developers of dictyBase, past and present, whose work this resource builds upon. [Complete as appropriate.]</w:t>
      </w:r>
    </w:p>
    <w:p>
      <w:pPr>
        <w:pStyle w:val="Heading1"/>
      </w:pPr>
      <w:r>
        <w:t>Conflict of interest statement</w:t>
      </w:r>
    </w:p>
    <w:p>
      <w:r>
        <w:t>None declared.</w:t>
      </w:r>
    </w:p>
    <w:p>
      <w:pPr>
        <w:pStyle w:val="Heading1"/>
      </w:pPr>
      <w:r>
        <w:t>References</w:t>
      </w:r>
    </w:p>
    <w:p>
      <w:r>
        <w:rPr>
          <w:i/>
        </w:rPr>
        <w:t>Core references below are verified; database/tool references (marked †) should be confirmed against the current release version and formatted to NAR numbered style before submission.</w:t>
      </w:r>
    </w:p>
    <w:p>
      <w:r>
        <w:t xml:space="preserve">1. Kreppel L, Fey P, Gaudet P, Just E, Kibbe WA, Chisholm RL, Kimmel AR. dictyBase: a new </w:t>
      </w:r>
      <w:r>
        <w:rPr>
          <w:i/>
        </w:rPr>
        <w:t>Dictyostelium discoideum</w:t>
      </w:r>
      <w:r>
        <w:t xml:space="preserve"> genome database. </w:t>
      </w:r>
      <w:r>
        <w:rPr>
          <w:i/>
        </w:rPr>
        <w:t>Nucleic Acids Res.</w:t>
      </w:r>
      <w:r>
        <w:t xml:space="preserve"> 2004;32(Database issue):D332–D333.</w:t>
      </w:r>
    </w:p>
    <w:p>
      <w:r>
        <w:t xml:space="preserve">2. Chisholm RL, Gaudet P, Just E, Pilcher KE, Fey P, Merchant SN, Kibbe WA. dictyBase, the model organism database for </w:t>
      </w:r>
      <w:r>
        <w:rPr>
          <w:i/>
        </w:rPr>
        <w:t>Dictyostelium discoideum</w:t>
      </w:r>
      <w:r>
        <w:t xml:space="preserve">. </w:t>
      </w:r>
      <w:r>
        <w:rPr>
          <w:i/>
        </w:rPr>
        <w:t>Nucleic Acids Res.</w:t>
      </w:r>
      <w:r>
        <w:t xml:space="preserve"> 2006;34(Database issue):D423–D427.</w:t>
      </w:r>
    </w:p>
    <w:p>
      <w:r>
        <w:t xml:space="preserve">3. Fey P, Gaudet P, Curk T, Zupan B, Just EM, Basu S, Merchant SN, Bushmanova YA, Shaulsky G, Kibbe WA, Chisholm RL. dictyBase—a </w:t>
      </w:r>
      <w:r>
        <w:rPr>
          <w:i/>
        </w:rPr>
        <w:t>Dictyostelium</w:t>
      </w:r>
      <w:r>
        <w:t xml:space="preserve"> bioinformatics resource update. </w:t>
      </w:r>
      <w:r>
        <w:rPr>
          <w:i/>
        </w:rPr>
        <w:t>Nucleic Acids Res.</w:t>
      </w:r>
      <w:r>
        <w:t xml:space="preserve"> 2009;37(Database issue):D515–D519.</w:t>
      </w:r>
    </w:p>
    <w:p>
      <w:r>
        <w:t xml:space="preserve">4. Basu S, Fey P, Pandit Y, Dodson R, Kibbe WA, Chisholm RL. DictyBase 2013: integrating multiple Dictyostelid species. </w:t>
      </w:r>
      <w:r>
        <w:rPr>
          <w:i/>
        </w:rPr>
        <w:t>Nucleic Acids Res.</w:t>
      </w:r>
      <w:r>
        <w:t xml:space="preserve"> 2013;41(Database issue):D676–D683.</w:t>
      </w:r>
    </w:p>
    <w:p>
      <w:r>
        <w:t xml:space="preserve">5. Parikh A, Miranda ER, Katoh-Kurasawa M, Fuller D, Rot G, Zagar L, Curk T, Sucgang R, Chen R, Zupan B, Loomis WF, Kuspa A, Shaulsky G. Conserved developmental transcriptomes in evolutionarily divergent species. </w:t>
      </w:r>
      <w:r>
        <w:rPr>
          <w:i/>
        </w:rPr>
        <w:t>Genome Biol.</w:t>
      </w:r>
      <w:r>
        <w:t xml:space="preserve"> 2010;11(3):R35.</w:t>
      </w:r>
    </w:p>
    <w:p>
      <w:r>
        <w:t xml:space="preserve">6. Banu S, Anusha PV, Beltran-Alvarez P, Idris MM, Wollenberg Valero KC, Rivero F. The proteome of </w:t>
      </w:r>
      <w:r>
        <w:rPr>
          <w:i/>
        </w:rPr>
        <w:t>Dictyostelium discoideum</w:t>
      </w:r>
      <w:r>
        <w:t xml:space="preserve"> across its entire life cycle reveals sharp transitions between developmental stages. </w:t>
      </w:r>
      <w:r>
        <w:rPr>
          <w:i/>
        </w:rPr>
        <w:t>Proteomes.</w:t>
      </w:r>
      <w:r>
        <w:t xml:space="preserve"> 2026;14(1):3.</w:t>
      </w:r>
    </w:p>
    <w:p>
      <w:r>
        <w:t xml:space="preserve">7. Williams FN, Travis K, Guerra-Hernandez Y, Soderblom E, Scaglione KM. Nutrient and heat stress induce changes to the solubility of predicted prion-like proteins in </w:t>
      </w:r>
      <w:r>
        <w:rPr>
          <w:i/>
        </w:rPr>
        <w:t>Dictyostelium discoideum</w:t>
      </w:r>
      <w:r>
        <w:t xml:space="preserve">. </w:t>
      </w:r>
      <w:r>
        <w:rPr>
          <w:i/>
        </w:rPr>
        <w:t>BMC Mol Cell Biol.</w:t>
      </w:r>
      <w:r>
        <w:t xml:space="preserve"> 2026;27(1).</w:t>
      </w:r>
    </w:p>
    <w:p>
      <w:r>
        <w:t xml:space="preserve">8. † Gene Ontology Consortium. The Gene Ontology knowledgebase in 2023. </w:t>
      </w:r>
      <w:r>
        <w:rPr>
          <w:i/>
        </w:rPr>
        <w:t>Genetics.</w:t>
      </w:r>
      <w:r>
        <w:t xml:space="preserve"> 2023;224(1):iyad031.</w:t>
      </w:r>
    </w:p>
    <w:p>
      <w:r>
        <w:t xml:space="preserve">9. † Altenhoff AM, et al. The OMA orthology database. </w:t>
      </w:r>
      <w:r>
        <w:rPr>
          <w:i/>
        </w:rPr>
        <w:t>Nucleic Acids Res.</w:t>
      </w:r>
      <w:r>
        <w:t xml:space="preserve"> [year/volume to confirm].</w:t>
      </w:r>
    </w:p>
    <w:p>
      <w:r>
        <w:t xml:space="preserve">10. † Gargano MA, et al. The Human Phenotype Ontology in 2024. </w:t>
      </w:r>
      <w:r>
        <w:rPr>
          <w:i/>
        </w:rPr>
        <w:t>Nucleic Acids Res.</w:t>
      </w:r>
      <w:r>
        <w:t xml:space="preserve"> 2024;52(D1):D1333–D1346.</w:t>
      </w:r>
    </w:p>
    <w:p>
      <w:r>
        <w:t xml:space="preserve">11. † Kanehisa M, Goto S. KEGG: Kyoto Encyclopedia of Genes and Genomes. </w:t>
      </w:r>
      <w:r>
        <w:rPr>
          <w:i/>
        </w:rPr>
        <w:t>Nucleic Acids Res.</w:t>
      </w:r>
      <w:r>
        <w:t xml:space="preserve"> 2000;28(1):27–30.</w:t>
      </w:r>
    </w:p>
    <w:p>
      <w:r>
        <w:t xml:space="preserve">12. † Paysan-Lafosse T, et al. InterPro in 2022. </w:t>
      </w:r>
      <w:r>
        <w:rPr>
          <w:i/>
        </w:rPr>
        <w:t>Nucleic Acids Res.</w:t>
      </w:r>
      <w:r>
        <w:t xml:space="preserve"> 2023;51(D1):D418–D427.</w:t>
      </w:r>
    </w:p>
    <w:p>
      <w:r>
        <w:t xml:space="preserve">13. † Jumper J, et al. Highly accurate protein structure prediction with AlphaFold. </w:t>
      </w:r>
      <w:r>
        <w:rPr>
          <w:i/>
        </w:rPr>
        <w:t>Nature.</w:t>
      </w:r>
      <w:r>
        <w:t xml:space="preserve"> 2021;596:583–589.</w:t>
      </w:r>
    </w:p>
    <w:p>
      <w:r>
        <w:t xml:space="preserve">14. † Varadi M, et al. AlphaFold Protein Structure Database. </w:t>
      </w:r>
      <w:r>
        <w:rPr>
          <w:i/>
        </w:rPr>
        <w:t>Nucleic Acids Res.</w:t>
      </w:r>
      <w:r>
        <w:t xml:space="preserve"> 2022;50(D1):D439–D444.</w:t>
      </w:r>
    </w:p>
    <w:p>
      <w:r>
        <w:t xml:space="preserve">15. † Robinson JT, Thorvaldsdóttir H, Turner D, Mesirov JP. igv.js: an embeddable JavaScript implementation of the Integrative Genomics Viewer (IGV). </w:t>
      </w:r>
      <w:r>
        <w:rPr>
          <w:i/>
        </w:rPr>
        <w:t>Bioinformatics.</w:t>
      </w:r>
      <w:r>
        <w:t xml:space="preserve"> 2023;39(1):btac830.</w:t>
      </w:r>
    </w:p>
    <w:p>
      <w:r>
        <w:t xml:space="preserve">16. † Camacho C, Coulouris G, Avagyan V, Ma N, Papadopoulos J, Bealer K, Madden TL. BLAST+: architecture and applications. </w:t>
      </w:r>
      <w:r>
        <w:rPr>
          <w:i/>
        </w:rPr>
        <w:t>BMC Bioinformatics.</w:t>
      </w:r>
      <w:r>
        <w:t xml:space="preserve"> 2009;10:421.</w:t>
      </w:r>
    </w:p>
    <w:p>
      <w:r>
        <w:t xml:space="preserve">17. † Alliance of Genome Resources Consortium. Updates to the Alliance of Genome Resources central infrastructure. </w:t>
      </w:r>
      <w:r>
        <w:rPr>
          <w:i/>
        </w:rPr>
        <w:t>Genetics.</w:t>
      </w:r>
      <w:r>
        <w:t xml:space="preserve"> 2024;227(1):iyae049.</w:t>
      </w:r>
    </w:p>
    <w:p>
      <w:pPr>
        <w:pBdr>
          <w:bottom w:val="single" w:sz="6" w:space="1" w:color="999999"/>
        </w:pBdr>
      </w:pPr>
    </w:p>
    <w:p>
      <w:pPr>
        <w:pStyle w:val="Heading2"/>
      </w:pPr>
      <w:r>
        <w:t>Manuscript status / to-do</w:t>
      </w:r>
    </w:p>
    <w:p>
      <w:pPr>
        <w:pStyle w:val="ListBullet"/>
      </w:pPr>
      <w:r>
        <w:t>Confirm author list, order, and affiliations (offer to Rex and Sidd pending).</w:t>
      </w:r>
    </w:p>
    <w:p>
      <w:pPr>
        <w:pStyle w:val="ListBullet"/>
      </w:pPr>
      <w:r>
        <w:t>Fill Availability (stable URL, license, repository), Funding, Acknowledgments.</w:t>
      </w:r>
    </w:p>
    <w:p>
      <w:pPr>
        <w:pStyle w:val="ListBullet"/>
      </w:pPr>
      <w:r>
        <w:t xml:space="preserve">Add general organism-biology review citations at the remaining </w:t>
      </w:r>
      <w:r>
        <w:rPr>
          <w:rFonts w:ascii="Consolas" w:hAnsi="Consolas"/>
          <w:sz w:val="20"/>
        </w:rPr>
        <w:t>[refs]</w:t>
      </w:r>
      <w:r>
        <w:t xml:space="preserve"> markers in the Introduction.</w:t>
      </w:r>
    </w:p>
    <w:p>
      <w:pPr>
        <w:pStyle w:val="ListBullet"/>
      </w:pPr>
      <w:r>
        <w:t>Confirm the current GO-contribution mechanism in Curation (</w:t>
      </w:r>
      <w:r>
        <w:rPr>
          <w:rFonts w:ascii="Consolas" w:hAnsi="Consolas"/>
          <w:sz w:val="20"/>
        </w:rPr>
        <w:t>[confirm current mechanism]</w:t>
      </w:r>
      <w:r>
        <w:t>).</w:t>
      </w:r>
    </w:p>
    <w:p>
      <w:pPr>
        <w:pStyle w:val="ListBullet"/>
      </w:pPr>
      <w:r>
        <w:t xml:space="preserve">Render Figure 1 from </w:t>
      </w:r>
      <w:r>
        <w:rPr>
          <w:rFonts w:ascii="Consolas" w:hAnsi="Consolas"/>
          <w:sz w:val="20"/>
        </w:rPr>
        <w:t>docs/figure1-architecture.svg</w:t>
      </w:r>
      <w:r>
        <w:t>; consider a Figure 2 (annotated interface screenshot).</w:t>
      </w:r>
    </w:p>
    <w:p>
      <w:pPr>
        <w:pStyle w:val="ListBullet"/>
      </w:pPr>
      <w:r>
        <w:t>Verify database/tool references (†) against current versions; convert citations to NAR numbered style.</w:t>
      </w:r>
    </w:p>
    <w:p>
      <w:pPr>
        <w:pStyle w:val="ListBullet"/>
      </w:pPr>
      <w:r>
        <w:t>Length check against NAR Database Issue limits; trim if needed.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