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FC7D6" w14:textId="77777777" w:rsidR="002C2752" w:rsidRPr="00F41AC5" w:rsidRDefault="002C2752">
      <w:pPr>
        <w:rPr>
          <w:b/>
          <w:sz w:val="28"/>
          <w:szCs w:val="28"/>
        </w:rPr>
      </w:pPr>
      <w:r w:rsidRPr="00F41AC5">
        <w:rPr>
          <w:b/>
          <w:sz w:val="28"/>
          <w:szCs w:val="28"/>
        </w:rPr>
        <w:t>Deriving Axenic cell lines from wild-type amoebae</w:t>
      </w:r>
    </w:p>
    <w:p w14:paraId="4A123D66" w14:textId="77777777" w:rsidR="002C2752" w:rsidRDefault="002C2752"/>
    <w:p w14:paraId="38CA5808" w14:textId="77777777" w:rsidR="002C2752" w:rsidRDefault="002C2752" w:rsidP="002C2752">
      <w:pPr>
        <w:autoSpaceDE w:val="0"/>
        <w:autoSpaceDN w:val="0"/>
        <w:adjustRightInd w:val="0"/>
        <w:spacing w:after="240" w:line="28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Grow the wild-type cells on live bacteria in 100mm petri dishes.  I suggest starting with 5 dishes for each strain. </w:t>
      </w:r>
    </w:p>
    <w:p w14:paraId="45A00CEA" w14:textId="29D3BB2F" w:rsidR="002C2752" w:rsidRDefault="002C2752" w:rsidP="002C2752">
      <w:pPr>
        <w:autoSpaceDE w:val="0"/>
        <w:autoSpaceDN w:val="0"/>
        <w:adjustRightInd w:val="0"/>
        <w:spacing w:after="240" w:line="28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When the wild-type amoebae </w:t>
      </w:r>
      <w:r w:rsidR="00F41AC5">
        <w:rPr>
          <w:rFonts w:ascii="Times" w:hAnsi="Times" w:cs="Times"/>
        </w:rPr>
        <w:t xml:space="preserve">are at high density, but before they have </w:t>
      </w:r>
      <w:r>
        <w:rPr>
          <w:rFonts w:ascii="Times" w:hAnsi="Times" w:cs="Times"/>
        </w:rPr>
        <w:t>clear</w:t>
      </w:r>
      <w:r w:rsidR="00F41AC5">
        <w:rPr>
          <w:rFonts w:ascii="Times" w:hAnsi="Times" w:cs="Times"/>
        </w:rPr>
        <w:t>ed</w:t>
      </w:r>
      <w:r>
        <w:rPr>
          <w:rFonts w:ascii="Times" w:hAnsi="Times" w:cs="Times"/>
        </w:rPr>
        <w:t xml:space="preserve"> the bacteria, swirl the plate to remove as many bacteria as possible</w:t>
      </w:r>
      <w:r w:rsidR="00F41AC5">
        <w:rPr>
          <w:rFonts w:ascii="Times" w:hAnsi="Times" w:cs="Times"/>
        </w:rPr>
        <w:t xml:space="preserve"> (without removing the amoebae)</w:t>
      </w:r>
      <w:r>
        <w:rPr>
          <w:rFonts w:ascii="Times" w:hAnsi="Times" w:cs="Times"/>
        </w:rPr>
        <w:t xml:space="preserve"> and add </w:t>
      </w:r>
      <w:r w:rsidR="00F41AC5">
        <w:rPr>
          <w:rFonts w:ascii="Times" w:hAnsi="Times" w:cs="Times"/>
        </w:rPr>
        <w:t xml:space="preserve">12.5 ml of </w:t>
      </w:r>
      <w:r>
        <w:rPr>
          <w:rFonts w:ascii="Times" w:hAnsi="Times" w:cs="Times"/>
        </w:rPr>
        <w:t>HL5 containing amp/strep</w:t>
      </w:r>
      <w:r w:rsidR="00F41AC5">
        <w:rPr>
          <w:rFonts w:ascii="Times" w:hAnsi="Times" w:cs="Times"/>
        </w:rPr>
        <w:t xml:space="preserve"> (from 1000x stock) and</w:t>
      </w:r>
      <w:r>
        <w:rPr>
          <w:rFonts w:ascii="Times" w:hAnsi="Times" w:cs="Times"/>
        </w:rPr>
        <w:t xml:space="preserve"> tetracycline as well (5 µg/ml) so the bacteria do not begin to grow</w:t>
      </w:r>
      <w:r w:rsidR="00F41AC5">
        <w:rPr>
          <w:rFonts w:ascii="Times" w:hAnsi="Times" w:cs="Times"/>
        </w:rPr>
        <w:t xml:space="preserve"> (the HL5 is a growth medium for bacteria)</w:t>
      </w:r>
      <w:r>
        <w:rPr>
          <w:rFonts w:ascii="Times" w:hAnsi="Times" w:cs="Times"/>
        </w:rPr>
        <w:t xml:space="preserve">. </w:t>
      </w:r>
    </w:p>
    <w:p w14:paraId="281C36F7" w14:textId="40940936" w:rsidR="002C2752" w:rsidRDefault="002C2752" w:rsidP="002C2752">
      <w:pPr>
        <w:autoSpaceDE w:val="0"/>
        <w:autoSpaceDN w:val="0"/>
        <w:adjustRightInd w:val="0"/>
        <w:spacing w:after="240" w:line="28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Change the HL5 every </w:t>
      </w:r>
      <w:r w:rsidR="00F41AC5">
        <w:rPr>
          <w:rFonts w:ascii="Times" w:hAnsi="Times" w:cs="Times"/>
        </w:rPr>
        <w:t>3</w:t>
      </w:r>
      <w:r>
        <w:rPr>
          <w:rFonts w:ascii="Times" w:hAnsi="Times" w:cs="Times"/>
        </w:rPr>
        <w:t>-4 days</w:t>
      </w:r>
      <w:r w:rsidR="00F41AC5">
        <w:rPr>
          <w:rFonts w:ascii="Times" w:hAnsi="Times" w:cs="Times"/>
        </w:rPr>
        <w:t xml:space="preserve"> and keep an eye out for signs of bacterial growth.  We have several other antibiotics that can be used to inhibit bacterial growth.</w:t>
      </w:r>
    </w:p>
    <w:p w14:paraId="5D755FEB" w14:textId="1B5BB604" w:rsidR="002C2752" w:rsidRDefault="002C2752" w:rsidP="002C2752">
      <w:pPr>
        <w:autoSpaceDE w:val="0"/>
        <w:autoSpaceDN w:val="0"/>
        <w:adjustRightInd w:val="0"/>
        <w:spacing w:after="240" w:line="280" w:lineRule="atLeast"/>
        <w:rPr>
          <w:rFonts w:ascii="Times" w:hAnsi="Times" w:cs="Times"/>
        </w:rPr>
      </w:pPr>
      <w:r>
        <w:rPr>
          <w:rFonts w:ascii="Times" w:hAnsi="Times" w:cs="Times"/>
        </w:rPr>
        <w:t xml:space="preserve">Check the plates periodically for </w:t>
      </w:r>
      <w:proofErr w:type="spellStart"/>
      <w:r w:rsidR="00F41AC5">
        <w:rPr>
          <w:rFonts w:ascii="Times" w:hAnsi="Times" w:cs="Times"/>
        </w:rPr>
        <w:t>amoebal</w:t>
      </w:r>
      <w:proofErr w:type="spellEnd"/>
      <w:r w:rsidR="00F41AC5">
        <w:rPr>
          <w:rFonts w:ascii="Times" w:hAnsi="Times" w:cs="Times"/>
        </w:rPr>
        <w:t xml:space="preserve"> </w:t>
      </w:r>
      <w:bookmarkStart w:id="0" w:name="_GoBack"/>
      <w:bookmarkEnd w:id="0"/>
      <w:r>
        <w:rPr>
          <w:rFonts w:ascii="Times" w:hAnsi="Times" w:cs="Times"/>
        </w:rPr>
        <w:t xml:space="preserve">cells beginning to grow.  It may take anywhere from a few weeks to a month.  </w:t>
      </w:r>
    </w:p>
    <w:p w14:paraId="7AEDB16E" w14:textId="77777777" w:rsidR="002C2752" w:rsidRDefault="002C2752" w:rsidP="002C2752">
      <w:pPr>
        <w:autoSpaceDE w:val="0"/>
        <w:autoSpaceDN w:val="0"/>
        <w:adjustRightInd w:val="0"/>
        <w:spacing w:after="240" w:line="280" w:lineRule="atLeast"/>
        <w:rPr>
          <w:rFonts w:ascii="Times" w:hAnsi="Times" w:cs="Times"/>
        </w:rPr>
      </w:pPr>
      <w:r>
        <w:rPr>
          <w:rFonts w:ascii="Times" w:hAnsi="Times" w:cs="Times"/>
        </w:rPr>
        <w:t>If cells grow, clone on SM plates and repick into HL5 medium.</w:t>
      </w:r>
    </w:p>
    <w:p w14:paraId="0BBCBADB" w14:textId="77777777" w:rsidR="002C2752" w:rsidRDefault="002C2752"/>
    <w:p w14:paraId="62591AA1" w14:textId="77777777" w:rsidR="002C2752" w:rsidRDefault="002C2752" w:rsidP="002C27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Arial" w:hAnsi="Arial" w:cs="Arial"/>
          <w:sz w:val="20"/>
          <w:szCs w:val="20"/>
        </w:rPr>
        <w:t xml:space="preserve">Shelden, E. and Knecht, D. A. (1995) Mutants lacking myosin II cannot resist forces generated during multicellular morphogenesis. </w:t>
      </w:r>
      <w:r>
        <w:rPr>
          <w:rFonts w:ascii="Arial" w:hAnsi="Arial" w:cs="Arial"/>
          <w:i/>
          <w:iCs/>
          <w:sz w:val="20"/>
          <w:szCs w:val="20"/>
        </w:rPr>
        <w:t>J Cell Sci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108</w:t>
      </w:r>
      <w:r>
        <w:rPr>
          <w:rFonts w:ascii="Arial" w:hAnsi="Arial" w:cs="Arial"/>
          <w:sz w:val="20"/>
          <w:szCs w:val="20"/>
        </w:rPr>
        <w:t>, 1105-1115</w:t>
      </w:r>
    </w:p>
    <w:p w14:paraId="0F5F7FBD" w14:textId="77777777" w:rsidR="002C2752" w:rsidRDefault="002C2752"/>
    <w:p w14:paraId="5DB422B1" w14:textId="77777777" w:rsidR="002C2752" w:rsidRDefault="002C2752" w:rsidP="002C27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Arial" w:hAnsi="Arial" w:cs="Arial"/>
          <w:sz w:val="20"/>
          <w:szCs w:val="20"/>
        </w:rPr>
        <w:t xml:space="preserve">Morrison, A. and Harwood, A. (1992) A simple method of generating axenic derivatives of Dictyostelium strains. </w:t>
      </w:r>
      <w:r>
        <w:rPr>
          <w:rFonts w:ascii="Arial" w:hAnsi="Arial" w:cs="Arial"/>
          <w:i/>
          <w:iCs/>
          <w:sz w:val="20"/>
          <w:szCs w:val="20"/>
        </w:rPr>
        <w:t>Exp. Cell Res.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199</w:t>
      </w:r>
      <w:r>
        <w:rPr>
          <w:rFonts w:ascii="Arial" w:hAnsi="Arial" w:cs="Arial"/>
          <w:sz w:val="20"/>
          <w:szCs w:val="20"/>
        </w:rPr>
        <w:t>, 383-386</w:t>
      </w:r>
    </w:p>
    <w:p w14:paraId="62A3C082" w14:textId="77777777" w:rsidR="002C2752" w:rsidRDefault="002C2752"/>
    <w:sectPr w:rsidR="002C2752" w:rsidSect="0091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52"/>
    <w:rsid w:val="000D6378"/>
    <w:rsid w:val="002C2752"/>
    <w:rsid w:val="009134AF"/>
    <w:rsid w:val="00F4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B6FD8"/>
  <w15:chartTrackingRefBased/>
  <w15:docId w15:val="{A6D6E25E-CC77-C247-B61E-7BA57203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Knecht, David</dc:creator>
  <cp:keywords/>
  <dc:description/>
  <cp:lastModifiedBy>Knecht, David</cp:lastModifiedBy>
  <cp:revision>2</cp:revision>
  <dcterms:created xsi:type="dcterms:W3CDTF">2021-01-18T19:55:00Z</dcterms:created>
  <dcterms:modified xsi:type="dcterms:W3CDTF">2021-01-18T19:55:00Z</dcterms:modified>
</cp:coreProperties>
</file>