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Trebuchet MS" w:cs="Trebuchet MS" w:hAnsi="Trebuchet MS" w:eastAsia="Trebuchet MS"/>
          <w:b w:val="1"/>
          <w:bCs w:val="1"/>
          <w:i w:val="1"/>
          <w:iCs w:val="1"/>
          <w:sz w:val="36"/>
          <w:szCs w:val="36"/>
        </w:rPr>
      </w:pPr>
      <w:r>
        <w:rPr>
          <w:rFonts w:ascii="Trebuchet MS" w:hAnsi="Trebuchet MS"/>
          <w:b w:val="1"/>
          <w:bCs w:val="1"/>
          <w:i w:val="1"/>
          <w:iCs w:val="1"/>
          <w:sz w:val="36"/>
          <w:szCs w:val="36"/>
          <w:rtl w:val="0"/>
          <w:lang w:val="en-US"/>
        </w:rPr>
        <w:t>Experiment: Fluorescence Localization</w:t>
      </w:r>
      <w:r>
        <w:rPr>
          <w:rFonts w:ascii="Trebuchet MS" w:hAnsi="Trebuchet MS"/>
          <w:sz w:val="36"/>
          <w:szCs w:val="36"/>
          <w:rtl w:val="0"/>
          <w:lang w:val="en-US"/>
        </w:rPr>
        <w:t xml:space="preserve"> </w:t>
      </w:r>
      <w:r>
        <w:rPr>
          <w:rFonts w:ascii="Trebuchet MS" w:hAnsi="Trebuchet MS"/>
          <w:b w:val="1"/>
          <w:bCs w:val="1"/>
          <w:i w:val="1"/>
          <w:iCs w:val="1"/>
          <w:sz w:val="36"/>
          <w:szCs w:val="36"/>
          <w:rtl w:val="0"/>
          <w:lang w:val="en-US"/>
        </w:rPr>
        <w:t>of Actin and Tubulin in fixed cells</w:t>
      </w:r>
    </w:p>
    <w:p>
      <w:pPr>
        <w:pStyle w:val="Normal.0"/>
        <w:rPr>
          <w:rFonts w:ascii="Trebuchet MS" w:cs="Trebuchet MS" w:hAnsi="Trebuchet MS" w:eastAsia="Trebuchet MS"/>
          <w:b w:val="1"/>
          <w:bCs w:val="1"/>
          <w:i w:val="1"/>
          <w:iCs w:val="1"/>
          <w:sz w:val="36"/>
          <w:szCs w:val="36"/>
        </w:rPr>
      </w:pPr>
      <w:r>
        <w:rPr>
          <w:rFonts w:ascii="Trebuchet MS" w:hAnsi="Trebuchet MS"/>
          <w:b w:val="1"/>
          <w:bCs w:val="1"/>
          <w:i w:val="1"/>
          <w:iCs w:val="1"/>
          <w:sz w:val="36"/>
          <w:szCs w:val="36"/>
          <w:rtl w:val="0"/>
          <w:lang w:val="en-US"/>
        </w:rPr>
        <w:t>Question: what is the localization of the two types of filaments in cells?  Does the localization differ between wild-type and mutant cells?</w:t>
      </w:r>
    </w:p>
    <w:p>
      <w:pPr>
        <w:pStyle w:val="Normal.0"/>
        <w:rPr>
          <w:rFonts w:ascii="Trebuchet MS" w:cs="Trebuchet MS" w:hAnsi="Trebuchet MS" w:eastAsia="Trebuchet MS"/>
          <w:sz w:val="22"/>
          <w:szCs w:val="22"/>
        </w:rPr>
      </w:pPr>
    </w:p>
    <w:p>
      <w:pPr>
        <w:pStyle w:val="Normal.0"/>
        <w:rPr>
          <w:rFonts w:ascii="Trebuchet MS" w:cs="Trebuchet MS" w:hAnsi="Trebuchet MS" w:eastAsia="Trebuchet MS"/>
          <w:sz w:val="22"/>
          <w:szCs w:val="22"/>
        </w:rPr>
      </w:pPr>
    </w:p>
    <w:p>
      <w:pPr>
        <w:pStyle w:val="Normal.0"/>
        <w:ind w:firstLine="720"/>
        <w:rPr>
          <w:rFonts w:ascii="Trebuchet MS" w:cs="Trebuchet MS" w:hAnsi="Trebuchet MS" w:eastAsia="Trebuchet MS"/>
          <w:sz w:val="22"/>
          <w:szCs w:val="22"/>
        </w:rPr>
      </w:pPr>
      <w:r>
        <w:rPr>
          <w:rFonts w:ascii="Trebuchet MS" w:hAnsi="Trebuchet MS"/>
          <w:sz w:val="22"/>
          <w:szCs w:val="22"/>
          <w:rtl w:val="0"/>
          <w:lang w:val="en-US"/>
        </w:rPr>
        <w:t>Today, you will visualize the localization of proteins in fixed cells using traditional fluorescence reagents rather than GFP/RFP.  You will stain the cells grown on coverslips with antibodies against tubulin (immunofluorescence).  This mouse monoclonal antibody will bind to tubulin in the cells and then the unbound antibody washed away.  Then, a fluorescent goat anti-mouse secondary antibody that reacts with the first antibody will be used.  This amplifies the signal because more than one secondary antibody molecule can bind to each primary antibody molecule.  Also, the secondary antibody is labeled with a fluorescent dye called Alexa 488 to make it fluorescent.  We will also do a negative control in which we treat a coverslip only with secondary antibody.  This will assure us that the signal we see with both is because of the reactivity of the first antibody and not the secondary antibody.  Last, we will stain the cells with Alexa 568 phalloidin, which will bind to F-actin filaments in the cells to visualize the actin cytoskeleton.</w:t>
      </w:r>
    </w:p>
    <w:p>
      <w:pPr>
        <w:pStyle w:val="Normal.0"/>
        <w:rPr>
          <w:rFonts w:ascii="Trebuchet MS" w:cs="Trebuchet MS" w:hAnsi="Trebuchet MS" w:eastAsia="Trebuchet MS"/>
        </w:rPr>
      </w:pPr>
    </w:p>
    <w:p>
      <w:pPr>
        <w:pStyle w:val="Heading 4 A"/>
        <w:numPr>
          <w:ilvl w:val="0"/>
          <w:numId w:val="2"/>
        </w:numPr>
        <w:bidi w:val="0"/>
        <w:ind w:right="0"/>
        <w:jc w:val="left"/>
        <w:rPr>
          <w:rFonts w:ascii="Trebuchet MS" w:hAnsi="Trebuchet MS"/>
          <w:b w:val="1"/>
          <w:bCs w:val="1"/>
          <w:i w:val="1"/>
          <w:iCs w:val="1"/>
          <w:sz w:val="28"/>
          <w:szCs w:val="28"/>
          <w:rtl w:val="0"/>
          <w:lang w:val="en-US"/>
        </w:rPr>
      </w:pPr>
      <w:r>
        <w:rPr>
          <w:rFonts w:ascii="Trebuchet MS" w:hAnsi="Trebuchet MS"/>
          <w:b w:val="1"/>
          <w:bCs w:val="1"/>
          <w:i w:val="1"/>
          <w:iCs w:val="1"/>
          <w:sz w:val="28"/>
          <w:szCs w:val="28"/>
          <w:u w:val="none"/>
          <w:rtl w:val="0"/>
          <w:lang w:val="en-US"/>
        </w:rPr>
        <w:t xml:space="preserve">Attach Cells to 4 well chamber slides </w:t>
      </w:r>
    </w:p>
    <w:p>
      <w:pPr>
        <w:pStyle w:val="Heading 4 A"/>
        <w:ind w:left="360" w:firstLine="0"/>
        <w:rPr>
          <w:rFonts w:ascii="Trebuchet MS" w:cs="Trebuchet MS" w:hAnsi="Trebuchet MS" w:eastAsia="Trebuchet MS"/>
          <w:b w:val="1"/>
          <w:bCs w:val="1"/>
          <w:i w:val="1"/>
          <w:iCs w:val="1"/>
          <w:sz w:val="28"/>
          <w:szCs w:val="28"/>
          <w:u w:val="none"/>
        </w:rPr>
      </w:pPr>
      <w:r>
        <w:rPr>
          <w:rFonts w:ascii="Trebuchet MS" w:hAnsi="Trebuchet MS"/>
          <w:b w:val="1"/>
          <w:bCs w:val="1"/>
          <w:i w:val="1"/>
          <w:iCs w:val="1"/>
          <w:sz w:val="28"/>
          <w:szCs w:val="28"/>
          <w:u w:val="none"/>
          <w:rtl w:val="0"/>
          <w:lang w:val="en-US"/>
        </w:rPr>
        <w:t xml:space="preserve"> </w:t>
      </w:r>
    </w:p>
    <w:p>
      <w:pPr>
        <w:pStyle w:val="Heading 4 A"/>
        <w:ind w:left="360" w:firstLine="0"/>
        <w:rPr>
          <w:rFonts w:ascii="Trebuchet MS" w:cs="Trebuchet MS" w:hAnsi="Trebuchet MS" w:eastAsia="Trebuchet MS"/>
          <w:u w:val="none"/>
        </w:rPr>
      </w:pPr>
      <w:r>
        <w:rPr>
          <w:rFonts w:ascii="Trebuchet MS" w:hAnsi="Trebuchet MS"/>
          <w:b w:val="1"/>
          <w:bCs w:val="1"/>
          <w:i w:val="1"/>
          <w:iCs w:val="1"/>
          <w:sz w:val="28"/>
          <w:szCs w:val="28"/>
          <w:u w:val="none"/>
          <w:rtl w:val="0"/>
          <w:lang w:val="en-US"/>
        </w:rPr>
        <w:t>Note- THE GLASS ON THE BOTTOM OF THE CHAMBERS IS 170 Microns THICK SO IT IS VERY FRAGILE.  HANDLE THE CHAMBERS GENTLY AND WITH CARE!!!</w:t>
      </w:r>
    </w:p>
    <w:p>
      <w:pPr>
        <w:pStyle w:val="Normal.0"/>
        <w:rPr>
          <w:rFonts w:ascii="Trebuchet MS" w:cs="Trebuchet MS" w:hAnsi="Trebuchet MS" w:eastAsia="Trebuchet MS"/>
          <w:sz w:val="22"/>
          <w:szCs w:val="22"/>
        </w:rPr>
      </w:pPr>
    </w:p>
    <w:p>
      <w:pPr>
        <w:pStyle w:val="Body Text1"/>
        <w:numPr>
          <w:ilvl w:val="0"/>
          <w:numId w:val="4"/>
        </w:numPr>
        <w:bidi w:val="0"/>
        <w:ind w:right="0"/>
        <w:jc w:val="left"/>
        <w:rPr>
          <w:rFonts w:ascii="Trebuchet MS" w:hAnsi="Trebuchet MS"/>
          <w:rtl w:val="0"/>
          <w:lang w:val="en-US"/>
        </w:rPr>
      </w:pPr>
      <w:r>
        <w:rPr>
          <w:rFonts w:ascii="Trebuchet MS" w:hAnsi="Trebuchet MS"/>
          <w:rtl w:val="0"/>
          <w:lang w:val="en-US"/>
        </w:rPr>
        <w:t xml:space="preserve">Plate NC4A2 cells in 2 wells and HK323 in 1 well of a 4 well glass bottom chamber slide.  The cells need to be well attached, so it helps if you can do this the day before or the morning of the experiment so they have time to attach well. You want a healthy density of cells without them being overgrown.  If you do this the day before, be sure to account for 2 generations of growth.  If you start at normal lab time, give them at least 30 minutes to attach.  </w:t>
      </w:r>
      <w:r>
        <w:rPr>
          <w:rFonts w:ascii="Trebuchet MS" w:hAnsi="Trebuchet MS"/>
          <w:b w:val="1"/>
          <w:bCs w:val="1"/>
          <w:u w:val="single"/>
          <w:rtl w:val="0"/>
          <w:lang w:val="en-US"/>
        </w:rPr>
        <w:t>Any of these approaches work as long as you are gentle adding and removing solutions in the later steps.</w:t>
      </w:r>
    </w:p>
    <w:p>
      <w:pPr>
        <w:pStyle w:val="Body Text1"/>
        <w:numPr>
          <w:ilvl w:val="1"/>
          <w:numId w:val="4"/>
        </w:numPr>
        <w:bidi w:val="0"/>
        <w:ind w:right="0"/>
        <w:jc w:val="left"/>
        <w:rPr>
          <w:rFonts w:ascii="Trebuchet MS" w:hAnsi="Trebuchet MS"/>
          <w:rtl w:val="0"/>
          <w:lang w:val="en-US"/>
        </w:rPr>
      </w:pPr>
      <w:r>
        <w:rPr>
          <w:rFonts w:ascii="Trebuchet MS" w:hAnsi="Trebuchet MS"/>
          <w:rtl w:val="0"/>
          <w:lang w:val="en-US"/>
        </w:rPr>
        <w:t>Well 1- AX2- negative control stained only with secondary antibody and phalloidin</w:t>
      </w:r>
    </w:p>
    <w:p>
      <w:pPr>
        <w:pStyle w:val="Body Text1"/>
        <w:numPr>
          <w:ilvl w:val="1"/>
          <w:numId w:val="4"/>
        </w:numPr>
        <w:bidi w:val="0"/>
        <w:ind w:right="0"/>
        <w:jc w:val="left"/>
        <w:rPr>
          <w:rFonts w:ascii="Trebuchet MS" w:hAnsi="Trebuchet MS"/>
          <w:rtl w:val="0"/>
          <w:lang w:val="en-US"/>
        </w:rPr>
      </w:pPr>
      <w:r>
        <w:rPr>
          <w:rFonts w:ascii="Trebuchet MS" w:hAnsi="Trebuchet MS"/>
          <w:rtl w:val="0"/>
          <w:lang w:val="en-US"/>
        </w:rPr>
        <w:t>Well 2- AX2 stained with primary+secondary antibody and phalloidin</w:t>
      </w:r>
    </w:p>
    <w:p>
      <w:pPr>
        <w:pStyle w:val="Body Text1"/>
        <w:numPr>
          <w:ilvl w:val="1"/>
          <w:numId w:val="4"/>
        </w:numPr>
        <w:bidi w:val="0"/>
        <w:ind w:right="0"/>
        <w:jc w:val="left"/>
        <w:rPr>
          <w:rFonts w:ascii="Trebuchet MS" w:hAnsi="Trebuchet MS"/>
          <w:rtl w:val="0"/>
          <w:lang w:val="en-US"/>
        </w:rPr>
      </w:pPr>
      <w:r>
        <w:rPr>
          <w:rFonts w:ascii="Trebuchet MS" w:hAnsi="Trebuchet MS"/>
          <w:rtl w:val="0"/>
          <w:lang w:val="en-US"/>
        </w:rPr>
        <w:t>Well 3- HK323- stained with primary+secondary antibody and phalloidin</w:t>
      </w:r>
    </w:p>
    <w:p>
      <w:pPr>
        <w:pStyle w:val="Body Text1"/>
        <w:numPr>
          <w:ilvl w:val="1"/>
          <w:numId w:val="4"/>
        </w:numPr>
        <w:bidi w:val="0"/>
        <w:ind w:right="0"/>
        <w:jc w:val="left"/>
        <w:rPr>
          <w:rFonts w:ascii="Trebuchet MS" w:hAnsi="Trebuchet MS"/>
          <w:rtl w:val="0"/>
          <w:lang w:val="en-US"/>
        </w:rPr>
      </w:pPr>
      <w:r>
        <w:rPr>
          <w:rFonts w:ascii="Trebuchet MS" w:hAnsi="Trebuchet MS"/>
          <w:rtl w:val="0"/>
          <w:lang w:val="en-US"/>
        </w:rPr>
        <w:t>Well 4- anything else you would like to try.</w:t>
      </w:r>
    </w:p>
    <w:p>
      <w:pPr>
        <w:pStyle w:val="Normal.0"/>
        <w:ind w:left="360" w:hanging="360"/>
        <w:rPr>
          <w:rFonts w:ascii="Trebuchet MS" w:cs="Trebuchet MS" w:hAnsi="Trebuchet MS" w:eastAsia="Trebuchet MS"/>
          <w:b w:val="1"/>
          <w:bCs w:val="1"/>
        </w:rPr>
      </w:pPr>
      <w:r>
        <w:rPr>
          <w:rFonts w:ascii="Trebuchet MS" w:hAnsi="Trebuchet MS"/>
          <w:sz w:val="22"/>
          <w:szCs w:val="22"/>
          <w:rtl w:val="0"/>
          <w:lang w:val="en-US"/>
        </w:rPr>
        <w:t xml:space="preserve">  </w:t>
      </w:r>
    </w:p>
    <w:p>
      <w:pPr>
        <w:pStyle w:val="Heading 4 A"/>
        <w:rPr>
          <w:rFonts w:ascii="Trebuchet MS" w:cs="Trebuchet MS" w:hAnsi="Trebuchet MS" w:eastAsia="Trebuchet MS"/>
          <w:b w:val="1"/>
          <w:bCs w:val="1"/>
          <w:u w:val="none"/>
        </w:rPr>
      </w:pPr>
      <w:r>
        <w:rPr>
          <w:rFonts w:ascii="Trebuchet MS" w:hAnsi="Trebuchet MS"/>
          <w:b w:val="1"/>
          <w:bCs w:val="1"/>
          <w:u w:val="none"/>
          <w:rtl w:val="0"/>
          <w:lang w:val="en-US"/>
        </w:rPr>
        <w:t>B.  Glutaraldehyde/formaldehyde fixation</w:t>
      </w:r>
    </w:p>
    <w:p>
      <w:pPr>
        <w:pStyle w:val="Normal.0"/>
        <w:rPr>
          <w:rFonts w:ascii="Trebuchet MS" w:cs="Trebuchet MS" w:hAnsi="Trebuchet MS" w:eastAsia="Trebuchet MS"/>
          <w:sz w:val="22"/>
          <w:szCs w:val="22"/>
          <w:u w:val="single"/>
        </w:rPr>
      </w:pPr>
    </w:p>
    <w:p>
      <w:pPr>
        <w:pStyle w:val="Body Text1"/>
        <w:rPr>
          <w:rFonts w:ascii="Trebuchet MS" w:cs="Trebuchet MS" w:hAnsi="Trebuchet MS" w:eastAsia="Trebuchet MS"/>
          <w:b w:val="1"/>
          <w:bCs w:val="1"/>
          <w:i w:val="1"/>
          <w:iCs w:val="1"/>
        </w:rPr>
      </w:pPr>
      <w:r>
        <w:rPr>
          <w:rFonts w:ascii="Trebuchet MS" w:hAnsi="Trebuchet MS"/>
          <w:rtl w:val="0"/>
          <w:lang w:val="en-US"/>
        </w:rPr>
        <w:t xml:space="preserve">Your TA will premix the fixing solution which will have 1% formaldehyde, 0.1% glutaldehyde and 0.01% Triton X-100 in HL-5 in the hood.  This solution is </w:t>
      </w:r>
      <w:r>
        <w:rPr>
          <w:rFonts w:ascii="Trebuchet MS" w:hAnsi="Trebuchet MS"/>
          <w:b w:val="1"/>
          <w:bCs w:val="1"/>
          <w:rtl w:val="0"/>
          <w:lang w:val="en-US"/>
        </w:rPr>
        <w:t>good up to an hour</w:t>
      </w:r>
      <w:r>
        <w:rPr>
          <w:rFonts w:ascii="Trebuchet MS" w:hAnsi="Trebuchet MS"/>
          <w:rtl w:val="0"/>
          <w:lang w:val="en-US"/>
        </w:rPr>
        <w:t xml:space="preserve">, but after a certain amount of time will no longer work for fixing, and need to be tossed and made up again.  </w:t>
      </w:r>
    </w:p>
    <w:p>
      <w:pPr>
        <w:pStyle w:val="Normal.0"/>
        <w:rPr>
          <w:rFonts w:ascii="Trebuchet MS" w:cs="Trebuchet MS" w:hAnsi="Trebuchet MS" w:eastAsia="Trebuchet MS"/>
          <w:b w:val="1"/>
          <w:bCs w:val="1"/>
          <w:i w:val="1"/>
          <w:iCs w:val="1"/>
          <w:sz w:val="22"/>
          <w:szCs w:val="22"/>
        </w:rPr>
      </w:pPr>
    </w:p>
    <w:p>
      <w:pPr>
        <w:pStyle w:val="Normal.0"/>
        <w:numPr>
          <w:ilvl w:val="0"/>
          <w:numId w:val="6"/>
        </w:numPr>
        <w:bidi w:val="0"/>
        <w:spacing w:before="140"/>
        <w:ind w:right="0"/>
        <w:jc w:val="left"/>
        <w:rPr>
          <w:rFonts w:ascii="Arial" w:hAnsi="Arial"/>
          <w:sz w:val="22"/>
          <w:szCs w:val="22"/>
          <w:rtl w:val="0"/>
          <w:lang w:val="en-US"/>
        </w:rPr>
      </w:pPr>
      <w:r>
        <w:rPr>
          <w:rFonts w:ascii="Arial" w:hAnsi="Arial"/>
          <w:sz w:val="22"/>
          <w:szCs w:val="22"/>
          <w:rtl w:val="0"/>
          <w:lang w:val="en-US"/>
        </w:rPr>
        <w:t xml:space="preserve"> In the chemical fume hood, aspirate the HL5 from each well with a P1000 pipetter and gently add 500 </w:t>
      </w:r>
      <w:r>
        <w:rPr>
          <w:rFonts w:ascii="Arial" w:hAnsi="Arial" w:hint="default"/>
          <w:sz w:val="22"/>
          <w:szCs w:val="22"/>
          <w:rtl w:val="0"/>
          <w:lang w:val="en-US"/>
        </w:rPr>
        <w:t>µ</w:t>
      </w:r>
      <w:r>
        <w:rPr>
          <w:rFonts w:ascii="Arial" w:hAnsi="Arial"/>
          <w:sz w:val="22"/>
          <w:szCs w:val="22"/>
          <w:rtl w:val="0"/>
          <w:lang w:val="en-US"/>
        </w:rPr>
        <w:t>l of fixative solution to each well.  Do each well separately so the cells are not drying out while you add the fixative.</w:t>
      </w:r>
    </w:p>
    <w:p>
      <w:pPr>
        <w:pStyle w:val="Normal.0"/>
        <w:numPr>
          <w:ilvl w:val="0"/>
          <w:numId w:val="6"/>
        </w:numPr>
        <w:bidi w:val="0"/>
        <w:spacing w:before="140"/>
        <w:ind w:right="0"/>
        <w:jc w:val="left"/>
        <w:rPr>
          <w:rFonts w:ascii="Arial" w:hAnsi="Arial"/>
          <w:sz w:val="22"/>
          <w:szCs w:val="22"/>
          <w:rtl w:val="0"/>
          <w:lang w:val="en-US"/>
        </w:rPr>
      </w:pPr>
      <w:r>
        <w:rPr>
          <w:rFonts w:ascii="Arial" w:hAnsi="Arial"/>
          <w:sz w:val="22"/>
          <w:szCs w:val="22"/>
          <w:rtl w:val="0"/>
          <w:lang w:val="en-US"/>
        </w:rPr>
        <w:t xml:space="preserve"> Incubate for about 10 minutes in the hood.</w:t>
      </w:r>
    </w:p>
    <w:p>
      <w:pPr>
        <w:pStyle w:val="Normal.0"/>
        <w:numPr>
          <w:ilvl w:val="0"/>
          <w:numId w:val="6"/>
        </w:numPr>
        <w:bidi w:val="0"/>
        <w:spacing w:before="140"/>
        <w:ind w:right="0"/>
        <w:jc w:val="left"/>
        <w:rPr>
          <w:rFonts w:ascii="Arial" w:hAnsi="Arial"/>
          <w:sz w:val="22"/>
          <w:szCs w:val="22"/>
          <w:rtl w:val="0"/>
          <w:lang w:val="en-US"/>
        </w:rPr>
      </w:pPr>
      <w:r>
        <w:rPr>
          <w:rFonts w:ascii="Arial" w:hAnsi="Arial"/>
          <w:sz w:val="22"/>
          <w:szCs w:val="22"/>
          <w:rtl w:val="0"/>
          <w:lang w:val="en-US"/>
        </w:rPr>
        <w:t>Using a P1000 micropipette tilt the dish and gently pipette the fixative from the corner of each well and dispose into the proper waste container. Use the same corner each time.</w:t>
      </w:r>
    </w:p>
    <w:p>
      <w:pPr>
        <w:pStyle w:val="Normal.0"/>
        <w:numPr>
          <w:ilvl w:val="0"/>
          <w:numId w:val="6"/>
        </w:numPr>
        <w:bidi w:val="0"/>
        <w:spacing w:before="140"/>
        <w:ind w:right="0"/>
        <w:jc w:val="left"/>
        <w:rPr>
          <w:rFonts w:ascii="Arial" w:hAnsi="Arial"/>
          <w:sz w:val="22"/>
          <w:szCs w:val="22"/>
          <w:rtl w:val="0"/>
          <w:lang w:val="en-US"/>
        </w:rPr>
      </w:pPr>
      <w:r>
        <w:rPr>
          <w:rFonts w:ascii="Arial" w:hAnsi="Arial"/>
          <w:sz w:val="22"/>
          <w:szCs w:val="22"/>
          <w:rtl w:val="0"/>
          <w:lang w:val="en-US"/>
        </w:rPr>
        <w:t xml:space="preserve">Slowly and gently add 750 </w:t>
      </w:r>
      <w:r>
        <w:rPr>
          <w:rFonts w:ascii="Arial" w:hAnsi="Arial" w:hint="default"/>
          <w:sz w:val="22"/>
          <w:szCs w:val="22"/>
          <w:rtl w:val="0"/>
          <w:lang w:val="en-US"/>
        </w:rPr>
        <w:t>µ</w:t>
      </w:r>
      <w:r>
        <w:rPr>
          <w:rFonts w:ascii="Arial" w:hAnsi="Arial"/>
          <w:sz w:val="22"/>
          <w:szCs w:val="22"/>
          <w:rtl w:val="0"/>
          <w:lang w:val="en-US"/>
        </w:rPr>
        <w:t>l of TBST buffer to each of the wells to wash and then bring the dish to your benchtop microscope to make sure that you still have cells attached.</w:t>
      </w:r>
    </w:p>
    <w:p>
      <w:pPr>
        <w:pStyle w:val="Normal.0"/>
        <w:numPr>
          <w:ilvl w:val="0"/>
          <w:numId w:val="6"/>
        </w:numPr>
        <w:bidi w:val="0"/>
        <w:spacing w:before="140"/>
        <w:ind w:right="0"/>
        <w:jc w:val="left"/>
        <w:rPr>
          <w:rFonts w:ascii="Arial" w:hAnsi="Arial"/>
          <w:sz w:val="22"/>
          <w:szCs w:val="22"/>
          <w:rtl w:val="0"/>
          <w:lang w:val="en-US"/>
        </w:rPr>
      </w:pPr>
      <w:r>
        <w:rPr>
          <w:rFonts w:ascii="Arial" w:hAnsi="Arial"/>
          <w:sz w:val="22"/>
          <w:szCs w:val="22"/>
          <w:rtl w:val="0"/>
          <w:lang w:val="en-US"/>
        </w:rPr>
        <w:t xml:space="preserve">Aspirate the TBST and slowly and gently add 500 </w:t>
      </w:r>
      <w:r>
        <w:rPr>
          <w:rFonts w:ascii="Arial" w:hAnsi="Arial" w:hint="default"/>
          <w:sz w:val="22"/>
          <w:szCs w:val="22"/>
          <w:rtl w:val="0"/>
          <w:lang w:val="en-US"/>
        </w:rPr>
        <w:t>µ</w:t>
      </w:r>
      <w:r>
        <w:rPr>
          <w:rFonts w:ascii="Arial" w:hAnsi="Arial"/>
          <w:sz w:val="22"/>
          <w:szCs w:val="22"/>
          <w:rtl w:val="0"/>
          <w:lang w:val="en-US"/>
        </w:rPr>
        <w:t>l of 50 mM ammonium chloride/0.5% Triton X-100 solution to each of the 4 wells and incubate for 5 minutes.  The ammonium chloride stops the reactivity of the fixative while the triton X-100 permeabilizes the cells.</w:t>
      </w:r>
    </w:p>
    <w:p>
      <w:pPr>
        <w:pStyle w:val="Normal.0"/>
        <w:spacing w:before="140"/>
        <w:ind w:left="360" w:hanging="360"/>
        <w:rPr>
          <w:rFonts w:ascii="Arial" w:cs="Arial" w:hAnsi="Arial" w:eastAsia="Arial"/>
          <w:sz w:val="22"/>
          <w:szCs w:val="22"/>
        </w:rPr>
      </w:pPr>
    </w:p>
    <w:p>
      <w:pPr>
        <w:pStyle w:val="Heading 4 A"/>
        <w:rPr>
          <w:rFonts w:ascii="Trebuchet MS" w:cs="Trebuchet MS" w:hAnsi="Trebuchet MS" w:eastAsia="Trebuchet MS"/>
          <w:b w:val="1"/>
          <w:bCs w:val="1"/>
          <w:u w:val="none"/>
        </w:rPr>
      </w:pPr>
      <w:r>
        <w:rPr>
          <w:rFonts w:ascii="Trebuchet MS" w:hAnsi="Trebuchet MS"/>
          <w:b w:val="1"/>
          <w:bCs w:val="1"/>
          <w:u w:val="none"/>
          <w:rtl w:val="0"/>
          <w:lang w:val="en-US"/>
        </w:rPr>
        <w:t>C.  Immunostaining</w:t>
      </w:r>
    </w:p>
    <w:p>
      <w:pPr>
        <w:pStyle w:val="Normal.0"/>
        <w:numPr>
          <w:ilvl w:val="0"/>
          <w:numId w:val="8"/>
        </w:numPr>
        <w:bidi w:val="0"/>
        <w:spacing w:before="140"/>
        <w:ind w:right="0"/>
        <w:jc w:val="left"/>
        <w:rPr>
          <w:rFonts w:ascii="Arial" w:hAnsi="Arial"/>
          <w:sz w:val="22"/>
          <w:szCs w:val="22"/>
          <w:rtl w:val="0"/>
          <w:lang w:val="en-US"/>
        </w:rPr>
      </w:pPr>
      <w:r>
        <w:rPr>
          <w:rFonts w:ascii="Arial" w:hAnsi="Arial"/>
          <w:sz w:val="22"/>
          <w:szCs w:val="22"/>
          <w:rtl w:val="0"/>
          <w:lang w:val="en-US"/>
        </w:rPr>
        <w:t xml:space="preserve">Gently aspirate the ammonium chloride/triton X-100 from the corner of each well </w:t>
      </w:r>
    </w:p>
    <w:p>
      <w:pPr>
        <w:pStyle w:val="Normal.0"/>
        <w:numPr>
          <w:ilvl w:val="0"/>
          <w:numId w:val="9"/>
        </w:numPr>
        <w:bidi w:val="0"/>
        <w:spacing w:before="140"/>
        <w:ind w:right="0"/>
        <w:jc w:val="left"/>
        <w:rPr>
          <w:rFonts w:ascii="Arial" w:hAnsi="Arial"/>
          <w:sz w:val="24"/>
          <w:szCs w:val="24"/>
          <w:rtl w:val="0"/>
          <w:lang w:val="en-US"/>
        </w:rPr>
      </w:pPr>
      <w:r>
        <w:rPr>
          <w:rFonts w:ascii="Arial" w:hAnsi="Arial"/>
          <w:sz w:val="24"/>
          <w:szCs w:val="24"/>
          <w:rtl w:val="0"/>
          <w:lang w:val="en-US"/>
        </w:rPr>
        <w:t xml:space="preserve">Add 150 </w:t>
      </w:r>
      <w:r>
        <w:rPr>
          <w:rFonts w:ascii="Arial" w:hAnsi="Arial" w:hint="default"/>
          <w:sz w:val="24"/>
          <w:szCs w:val="24"/>
          <w:rtl w:val="0"/>
          <w:lang w:val="en-US"/>
        </w:rPr>
        <w:t>µ</w:t>
      </w:r>
      <w:r>
        <w:rPr>
          <w:rFonts w:ascii="Arial" w:hAnsi="Arial"/>
          <w:sz w:val="24"/>
          <w:szCs w:val="24"/>
          <w:rtl w:val="0"/>
          <w:lang w:val="en-US"/>
        </w:rPr>
        <w:t>l of primary anti-alpha-tubulin antibody (Koonce monoclonal diluted 1:10 in TBST) to one AX2 well and one HK323 well.  The other AX2 well can be left in the ammonium chloride solution.  The TA will prepare the diluted antibody. Incubate the antibody for at least 30 minutes.</w:t>
      </w:r>
    </w:p>
    <w:p>
      <w:pPr>
        <w:pStyle w:val="Normal.0"/>
        <w:numPr>
          <w:ilvl w:val="0"/>
          <w:numId w:val="10"/>
        </w:numPr>
        <w:bidi w:val="0"/>
        <w:spacing w:before="140"/>
        <w:ind w:right="0"/>
        <w:jc w:val="left"/>
        <w:rPr>
          <w:rFonts w:ascii="Arial" w:hAnsi="Arial"/>
          <w:rtl w:val="0"/>
          <w:lang w:val="en-US"/>
        </w:rPr>
      </w:pPr>
      <w:r>
        <w:rPr>
          <w:rFonts w:ascii="Arial" w:hAnsi="Arial"/>
          <w:rtl w:val="0"/>
          <w:lang w:val="en-US"/>
        </w:rPr>
        <w:t xml:space="preserve">Remove the solution of primary antibody and gently pipette approximately 500 </w:t>
      </w:r>
      <w:r>
        <w:rPr>
          <w:rFonts w:ascii="Arial" w:hAnsi="Arial" w:hint="default"/>
          <w:rtl w:val="0"/>
          <w:lang w:val="en-US"/>
        </w:rPr>
        <w:t>µ</w:t>
      </w:r>
      <w:r>
        <w:rPr>
          <w:rFonts w:ascii="Arial" w:hAnsi="Arial"/>
          <w:rtl w:val="0"/>
          <w:lang w:val="en-US"/>
        </w:rPr>
        <w:t>l of fresh TBST buffer into each well to wash away the excess, unbound primary antibody and incubate for a few minutes. Remove TBST and repeat.</w:t>
      </w:r>
    </w:p>
    <w:p>
      <w:pPr>
        <w:pStyle w:val="Normal.0"/>
        <w:numPr>
          <w:ilvl w:val="0"/>
          <w:numId w:val="10"/>
        </w:numPr>
        <w:bidi w:val="0"/>
        <w:spacing w:before="140"/>
        <w:ind w:right="0"/>
        <w:jc w:val="left"/>
        <w:rPr>
          <w:rFonts w:ascii="Arial" w:hAnsi="Arial"/>
          <w:rtl w:val="0"/>
          <w:lang w:val="en-US"/>
        </w:rPr>
      </w:pPr>
      <w:r>
        <w:rPr>
          <w:rFonts w:ascii="Arial" w:hAnsi="Arial"/>
          <w:rtl w:val="0"/>
          <w:lang w:val="en-US"/>
        </w:rPr>
        <w:t xml:space="preserve">Remove the TBST and add 150 </w:t>
      </w:r>
      <w:r>
        <w:rPr>
          <w:rFonts w:ascii="Arial" w:hAnsi="Arial" w:hint="default"/>
          <w:rtl w:val="0"/>
          <w:lang w:val="en-US"/>
        </w:rPr>
        <w:t>µ</w:t>
      </w:r>
      <w:r>
        <w:rPr>
          <w:rFonts w:ascii="Arial" w:hAnsi="Arial"/>
          <w:rtl w:val="0"/>
          <w:lang w:val="en-US"/>
        </w:rPr>
        <w:t xml:space="preserve">l of a solution containing goat anti mouse secondary antibody (diluted 1:100 in TBST) and 0.08 </w:t>
      </w:r>
      <w:r>
        <w:rPr>
          <w:rFonts w:ascii="Arial" w:hAnsi="Arial" w:hint="default"/>
          <w:rtl w:val="0"/>
          <w:lang w:val="en-US"/>
        </w:rPr>
        <w:t>µ</w:t>
      </w:r>
      <w:r>
        <w:rPr>
          <w:rFonts w:ascii="Arial" w:hAnsi="Arial"/>
          <w:rtl w:val="0"/>
          <w:lang w:val="en-US"/>
        </w:rPr>
        <w:t>g/ml Alexa 568 phalloidin (1/100 dilution of stock) to each of the 3 wells and incubate for at least 30 minutes.  Conjugated to the secondary antibody is the fluorophore Alexa 488, which will fluoresce green under blue light similar to GFP.  Phalloidin is a compound that binds tightly to F-actin.  Conjugated to the phalloidin is the fluorophore Alexa 568 which will fluoresce red when excited by green light.</w:t>
      </w:r>
    </w:p>
    <w:p>
      <w:pPr>
        <w:pStyle w:val="Normal.0"/>
        <w:numPr>
          <w:ilvl w:val="0"/>
          <w:numId w:val="10"/>
        </w:numPr>
        <w:bidi w:val="0"/>
        <w:spacing w:before="140"/>
        <w:ind w:right="0"/>
        <w:jc w:val="left"/>
        <w:rPr>
          <w:rFonts w:ascii="Arial" w:hAnsi="Arial"/>
          <w:rtl w:val="0"/>
          <w:lang w:val="en-US"/>
        </w:rPr>
      </w:pPr>
      <w:r>
        <w:rPr>
          <w:rFonts w:ascii="Arial" w:hAnsi="Arial"/>
          <w:rtl w:val="0"/>
          <w:lang w:val="en-US"/>
        </w:rPr>
        <w:t>Remove the solution and dispose into the proper waste container.</w:t>
      </w:r>
    </w:p>
    <w:p>
      <w:pPr>
        <w:pStyle w:val="Normal.0"/>
        <w:numPr>
          <w:ilvl w:val="0"/>
          <w:numId w:val="10"/>
        </w:numPr>
        <w:bidi w:val="0"/>
        <w:spacing w:before="140"/>
        <w:ind w:right="0"/>
        <w:jc w:val="left"/>
        <w:rPr>
          <w:rFonts w:ascii="Arial" w:hAnsi="Arial"/>
          <w:rtl w:val="0"/>
          <w:lang w:val="en-US"/>
        </w:rPr>
      </w:pPr>
      <w:r>
        <w:rPr>
          <w:rFonts w:ascii="Arial" w:hAnsi="Arial"/>
          <w:rtl w:val="0"/>
          <w:lang w:val="en-US"/>
        </w:rPr>
        <w:t>Gently wash each well twice with TBST.</w:t>
      </w:r>
    </w:p>
    <w:p>
      <w:pPr>
        <w:pStyle w:val="Normal.0"/>
        <w:numPr>
          <w:ilvl w:val="0"/>
          <w:numId w:val="10"/>
        </w:numPr>
        <w:bidi w:val="0"/>
        <w:spacing w:before="140"/>
        <w:ind w:right="0"/>
        <w:jc w:val="left"/>
        <w:rPr>
          <w:rFonts w:ascii="Arial" w:hAnsi="Arial"/>
          <w:rtl w:val="0"/>
          <w:lang w:val="en-US"/>
        </w:rPr>
      </w:pPr>
      <w:r>
        <w:rPr>
          <w:rFonts w:ascii="Arial" w:hAnsi="Arial"/>
          <w:rtl w:val="0"/>
          <w:lang w:val="en-US"/>
        </w:rPr>
        <w:t xml:space="preserve">Add 250 </w:t>
      </w:r>
      <w:r>
        <w:rPr>
          <w:rFonts w:ascii="Arial" w:hAnsi="Arial" w:hint="default"/>
          <w:rtl w:val="0"/>
          <w:lang w:val="en-US"/>
        </w:rPr>
        <w:t>µ</w:t>
      </w:r>
      <w:r>
        <w:rPr>
          <w:rFonts w:ascii="Arial" w:hAnsi="Arial"/>
          <w:rtl w:val="0"/>
          <w:lang w:val="en-US"/>
        </w:rPr>
        <w:t xml:space="preserve">l of anti-fade solution (DABCO + glycerol), which will prevent the fluorescence from fading with exposure to intense excitation light.  Image the cells with your microscope using the 100x objective.  If all looks good, bring them to the confocal microscope and we will collect some z stacks to make 3D projections.  </w:t>
      </w:r>
    </w:p>
    <w:p>
      <w:pPr>
        <w:pStyle w:val="Normal.0"/>
        <w:numPr>
          <w:ilvl w:val="0"/>
          <w:numId w:val="10"/>
        </w:numPr>
        <w:bidi w:val="0"/>
        <w:spacing w:before="140"/>
        <w:ind w:right="0"/>
        <w:jc w:val="left"/>
        <w:rPr>
          <w:rFonts w:ascii="Arial" w:hAnsi="Arial"/>
          <w:rtl w:val="0"/>
          <w:lang w:val="en-US"/>
        </w:rPr>
      </w:pPr>
      <w:r>
        <w:rPr>
          <w:rFonts w:ascii="Arial" w:hAnsi="Arial"/>
          <w:rtl w:val="0"/>
          <w:lang w:val="en-US"/>
        </w:rPr>
        <w:t>The dishes can be stored in the fridge if you don</w:t>
      </w:r>
      <w:r>
        <w:rPr>
          <w:rFonts w:ascii="Arial" w:hAnsi="Arial" w:hint="default"/>
          <w:rtl w:val="0"/>
          <w:lang w:val="en-US"/>
        </w:rPr>
        <w:t>’</w:t>
      </w:r>
      <w:r>
        <w:rPr>
          <w:rFonts w:ascii="Arial" w:hAnsi="Arial"/>
          <w:rtl w:val="0"/>
          <w:lang w:val="en-US"/>
        </w:rPr>
        <w:t>t finish today.</w:t>
      </w:r>
    </w:p>
    <w:p>
      <w:pPr>
        <w:pStyle w:val="Colorful List - Accent 1"/>
        <w:ind w:left="0" w:firstLine="0"/>
        <w:rPr>
          <w:rFonts w:ascii="Arial" w:cs="Arial" w:hAnsi="Arial" w:eastAsia="Arial"/>
        </w:rPr>
      </w:pPr>
    </w:p>
    <w:p>
      <w:pPr>
        <w:pStyle w:val="Normal.0"/>
        <w:rPr>
          <w:rFonts w:ascii="Trebuchet MS" w:cs="Trebuchet MS" w:hAnsi="Trebuchet MS" w:eastAsia="Trebuchet MS"/>
          <w:sz w:val="22"/>
          <w:szCs w:val="22"/>
          <w:u w:val="single"/>
        </w:rPr>
      </w:pPr>
    </w:p>
    <w:p>
      <w:pPr>
        <w:pStyle w:val="Normal.0"/>
        <w:rPr>
          <w:rFonts w:ascii="Trebuchet MS" w:cs="Trebuchet MS" w:hAnsi="Trebuchet MS" w:eastAsia="Trebuchet MS"/>
          <w:sz w:val="28"/>
          <w:szCs w:val="28"/>
        </w:rPr>
      </w:pPr>
      <w:r>
        <w:rPr>
          <w:rFonts w:ascii="Trebuchet MS" w:hAnsi="Trebuchet MS"/>
          <w:sz w:val="28"/>
          <w:szCs w:val="28"/>
          <w:rtl w:val="0"/>
          <w:lang w:val="en-US"/>
        </w:rPr>
        <w:t>Questions for consideration:</w:t>
      </w:r>
    </w:p>
    <w:p>
      <w:pPr>
        <w:pStyle w:val="Normal.0"/>
        <w:rPr>
          <w:rFonts w:ascii="Trebuchet MS" w:cs="Trebuchet MS" w:hAnsi="Trebuchet MS" w:eastAsia="Trebuchet MS"/>
          <w:sz w:val="22"/>
          <w:szCs w:val="22"/>
        </w:rPr>
      </w:pPr>
    </w:p>
    <w:p>
      <w:pPr>
        <w:pStyle w:val="Normal.0"/>
        <w:numPr>
          <w:ilvl w:val="0"/>
          <w:numId w:val="12"/>
        </w:numPr>
        <w:bidi w:val="0"/>
        <w:ind w:right="0"/>
        <w:jc w:val="left"/>
        <w:rPr>
          <w:rFonts w:ascii="Trebuchet MS" w:hAnsi="Trebuchet MS"/>
          <w:sz w:val="22"/>
          <w:szCs w:val="22"/>
          <w:rtl w:val="0"/>
          <w:lang w:val="en-US"/>
        </w:rPr>
      </w:pPr>
      <w:r>
        <w:rPr>
          <w:rFonts w:ascii="Trebuchet MS" w:hAnsi="Trebuchet MS"/>
          <w:sz w:val="22"/>
          <w:szCs w:val="22"/>
          <w:rtl w:val="0"/>
          <w:lang w:val="en-US"/>
        </w:rPr>
        <w:t>What is the relative localization of microtubules vs actin?  Does the localization of the two probes overlap? Is there any channel cross-talk between the two fluorescent probes (do you see the microtubules faintly in the actin channel or vice-versa)?  Explain!</w:t>
      </w:r>
    </w:p>
    <w:p>
      <w:pPr>
        <w:pStyle w:val="Normal.0"/>
        <w:tabs>
          <w:tab w:val="left" w:pos="720"/>
        </w:tabs>
        <w:rPr>
          <w:rFonts w:ascii="Trebuchet MS" w:cs="Trebuchet MS" w:hAnsi="Trebuchet MS" w:eastAsia="Trebuchet MS"/>
          <w:sz w:val="22"/>
          <w:szCs w:val="22"/>
        </w:rPr>
      </w:pPr>
    </w:p>
    <w:p>
      <w:pPr>
        <w:pStyle w:val="Normal.0"/>
        <w:numPr>
          <w:ilvl w:val="0"/>
          <w:numId w:val="12"/>
        </w:numPr>
        <w:bidi w:val="0"/>
        <w:ind w:right="0"/>
        <w:jc w:val="left"/>
        <w:rPr>
          <w:rFonts w:ascii="Trebuchet MS" w:hAnsi="Trebuchet MS"/>
          <w:sz w:val="22"/>
          <w:szCs w:val="22"/>
          <w:rtl w:val="0"/>
          <w:lang w:val="en-US"/>
        </w:rPr>
      </w:pPr>
      <w:r>
        <w:rPr>
          <w:rFonts w:ascii="Trebuchet MS" w:hAnsi="Trebuchet MS"/>
          <w:sz w:val="22"/>
          <w:szCs w:val="22"/>
          <w:rtl w:val="0"/>
          <w:lang w:val="en-US"/>
        </w:rPr>
        <w:t>What does the control tell you? Was there any signal from the secondary antibody alone?</w:t>
      </w:r>
    </w:p>
    <w:p>
      <w:pPr>
        <w:pStyle w:val="Normal.0"/>
        <w:tabs>
          <w:tab w:val="left" w:pos="720"/>
        </w:tabs>
        <w:rPr>
          <w:rFonts w:ascii="Trebuchet MS" w:cs="Trebuchet MS" w:hAnsi="Trebuchet MS" w:eastAsia="Trebuchet MS"/>
          <w:sz w:val="22"/>
          <w:szCs w:val="22"/>
        </w:rPr>
      </w:pPr>
    </w:p>
    <w:p>
      <w:pPr>
        <w:pStyle w:val="Normal.0"/>
        <w:numPr>
          <w:ilvl w:val="0"/>
          <w:numId w:val="12"/>
        </w:numPr>
        <w:bidi w:val="0"/>
        <w:ind w:right="0"/>
        <w:jc w:val="left"/>
        <w:rPr>
          <w:rFonts w:ascii="Trebuchet MS" w:hAnsi="Trebuchet MS"/>
          <w:sz w:val="22"/>
          <w:szCs w:val="22"/>
          <w:rtl w:val="0"/>
          <w:lang w:val="en-US"/>
        </w:rPr>
      </w:pPr>
      <w:r>
        <w:rPr>
          <w:rFonts w:ascii="Trebuchet MS" w:hAnsi="Trebuchet MS"/>
          <w:sz w:val="22"/>
          <w:szCs w:val="22"/>
          <w:rtl w:val="0"/>
          <w:lang w:val="en-US"/>
        </w:rPr>
        <w:t xml:space="preserve">Does the pattern of fluorescence differ from cell to cell?  </w:t>
      </w:r>
    </w:p>
    <w:p>
      <w:pPr>
        <w:pStyle w:val="Normal.0"/>
        <w:tabs>
          <w:tab w:val="left" w:pos="720"/>
        </w:tabs>
        <w:rPr>
          <w:rFonts w:ascii="Trebuchet MS" w:cs="Trebuchet MS" w:hAnsi="Trebuchet MS" w:eastAsia="Trebuchet MS"/>
          <w:sz w:val="22"/>
          <w:szCs w:val="22"/>
        </w:rPr>
      </w:pPr>
    </w:p>
    <w:p>
      <w:pPr>
        <w:pStyle w:val="Normal.0"/>
        <w:numPr>
          <w:ilvl w:val="0"/>
          <w:numId w:val="12"/>
        </w:numPr>
        <w:bidi w:val="0"/>
        <w:ind w:right="0"/>
        <w:jc w:val="left"/>
        <w:rPr>
          <w:rFonts w:ascii="Trebuchet MS" w:hAnsi="Trebuchet MS"/>
          <w:sz w:val="22"/>
          <w:szCs w:val="22"/>
          <w:rtl w:val="0"/>
          <w:lang w:val="en-US"/>
        </w:rPr>
      </w:pPr>
      <w:r>
        <w:rPr>
          <w:rFonts w:ascii="Trebuchet MS" w:hAnsi="Trebuchet MS"/>
          <w:sz w:val="22"/>
          <w:szCs w:val="22"/>
          <w:rtl w:val="0"/>
          <w:lang w:val="en-US"/>
        </w:rPr>
        <w:t>Is the distribution of actin and tubulin different in the mutant cells as compared to the wild-type?</w:t>
      </w:r>
      <w:r>
        <w:rPr>
          <w:rFonts w:ascii="Arial Unicode MS" w:cs="Arial Unicode MS" w:hAnsi="Arial Unicode MS" w:eastAsia="Arial Unicode MS"/>
          <w:b w:val="0"/>
          <w:bCs w:val="0"/>
          <w:i w:val="0"/>
          <w:iCs w:val="0"/>
          <w:sz w:val="22"/>
          <w:szCs w:val="22"/>
        </w:rPr>
        <w:br w:type="page"/>
      </w:r>
    </w:p>
    <w:p>
      <w:pPr>
        <w:pStyle w:val="Free Form"/>
        <w:rPr>
          <w:rFonts w:ascii="Trebuchet MS" w:cs="Trebuchet MS" w:hAnsi="Trebuchet MS" w:eastAsia="Trebuchet MS"/>
          <w:b w:val="1"/>
          <w:bCs w:val="1"/>
          <w:sz w:val="18"/>
          <w:szCs w:val="18"/>
        </w:rPr>
      </w:pPr>
      <w:r>
        <w:rPr>
          <w:rFonts w:ascii="Trebuchet MS" w:hAnsi="Trebuchet MS"/>
          <w:b w:val="1"/>
          <w:bCs w:val="1"/>
          <w:sz w:val="28"/>
          <w:szCs w:val="28"/>
          <w:rtl w:val="0"/>
          <w:lang w:val="en-US"/>
        </w:rPr>
        <w:t>Reagents/Media:</w:t>
      </w:r>
    </w:p>
    <w:p>
      <w:pPr>
        <w:pStyle w:val="Normal.0"/>
        <w:rPr>
          <w:rFonts w:ascii="Trebuchet MS" w:cs="Trebuchet MS" w:hAnsi="Trebuchet MS" w:eastAsia="Trebuchet MS"/>
          <w:b w:val="1"/>
          <w:bCs w:val="1"/>
          <w:sz w:val="18"/>
          <w:szCs w:val="18"/>
        </w:rPr>
      </w:pPr>
    </w:p>
    <w:p>
      <w:pPr>
        <w:pStyle w:val="Normal.0"/>
        <w:spacing w:after="200" w:line="48" w:lineRule="auto"/>
        <w:rPr>
          <w:rFonts w:ascii="Trebuchet MS" w:cs="Trebuchet MS" w:hAnsi="Trebuchet MS" w:eastAsia="Trebuchet MS"/>
          <w:b w:val="1"/>
          <w:bCs w:val="1"/>
          <w:sz w:val="18"/>
          <w:szCs w:val="18"/>
        </w:rPr>
      </w:pPr>
    </w:p>
    <w:p>
      <w:pPr>
        <w:pStyle w:val="Normal.0"/>
        <w:spacing w:line="312" w:lineRule="auto"/>
        <w:rPr>
          <w:rFonts w:ascii="Trebuchet MS" w:cs="Trebuchet MS" w:hAnsi="Trebuchet MS" w:eastAsia="Trebuchet MS"/>
          <w:sz w:val="18"/>
          <w:szCs w:val="18"/>
        </w:rPr>
      </w:pPr>
    </w:p>
    <w:p>
      <w:pPr>
        <w:pStyle w:val="Normal.0"/>
        <w:spacing w:line="312" w:lineRule="auto"/>
        <w:rPr>
          <w:rFonts w:ascii="Trebuchet MS" w:cs="Trebuchet MS" w:hAnsi="Trebuchet MS" w:eastAsia="Trebuchet MS"/>
          <w:b w:val="1"/>
          <w:bCs w:val="1"/>
        </w:rPr>
      </w:pPr>
      <w:r>
        <w:rPr>
          <w:rFonts w:ascii="Trebuchet MS" w:hAnsi="Trebuchet MS"/>
          <w:b w:val="1"/>
          <w:bCs w:val="1"/>
          <w:rtl w:val="0"/>
          <w:lang w:val="en-US"/>
        </w:rPr>
        <w:t>Formaldehyde/Glutaraldehyde  Fix [(mixed in HL5 just before use]</w:t>
      </w:r>
    </w:p>
    <w:p>
      <w:pPr>
        <w:pStyle w:val="Normal.0"/>
        <w:spacing w:line="312" w:lineRule="auto"/>
        <w:rPr>
          <w:rFonts w:ascii="Trebuchet MS" w:cs="Trebuchet MS" w:hAnsi="Trebuchet MS" w:eastAsia="Trebuchet MS"/>
        </w:rPr>
      </w:pPr>
      <w:r>
        <w:rPr>
          <w:rFonts w:ascii="Trebuchet MS" w:hAnsi="Trebuchet MS"/>
          <w:rtl w:val="0"/>
          <w:lang w:val="en-US"/>
        </w:rPr>
        <w:t>Formaldehyde 2%  from 16% stock from Polysciences ampule</w:t>
      </w:r>
    </w:p>
    <w:p>
      <w:pPr>
        <w:pStyle w:val="Normal.0"/>
        <w:spacing w:line="312" w:lineRule="auto"/>
        <w:rPr>
          <w:rFonts w:ascii="Trebuchet MS" w:cs="Trebuchet MS" w:hAnsi="Trebuchet MS" w:eastAsia="Trebuchet MS"/>
        </w:rPr>
      </w:pPr>
      <w:r>
        <w:rPr>
          <w:rFonts w:ascii="Trebuchet MS" w:hAnsi="Trebuchet MS"/>
          <w:rtl w:val="0"/>
          <w:lang w:val="en-US"/>
        </w:rPr>
        <w:t>Glutaraldehyde 0.1%  from 8% stock from Polysciences ampule</w:t>
      </w:r>
    </w:p>
    <w:p>
      <w:pPr>
        <w:pStyle w:val="Normal.0"/>
        <w:spacing w:line="312" w:lineRule="auto"/>
        <w:rPr>
          <w:rFonts w:ascii="Trebuchet MS" w:cs="Trebuchet MS" w:hAnsi="Trebuchet MS" w:eastAsia="Trebuchet MS"/>
        </w:rPr>
      </w:pPr>
      <w:r>
        <w:rPr>
          <w:rFonts w:ascii="Trebuchet MS" w:hAnsi="Trebuchet MS"/>
          <w:rtl w:val="0"/>
          <w:lang w:val="en-US"/>
        </w:rPr>
        <w:t>Save leftover in 15 ml centrifuge tube in fridge.</w:t>
      </w:r>
    </w:p>
    <w:p>
      <w:pPr>
        <w:pStyle w:val="Normal.0"/>
        <w:spacing w:line="312" w:lineRule="auto"/>
        <w:rPr>
          <w:rFonts w:ascii="Trebuchet MS" w:cs="Trebuchet MS" w:hAnsi="Trebuchet MS" w:eastAsia="Trebuchet MS"/>
        </w:rPr>
      </w:pPr>
    </w:p>
    <w:p>
      <w:pPr>
        <w:pStyle w:val="Normal.0"/>
        <w:spacing w:line="312" w:lineRule="auto"/>
        <w:rPr>
          <w:rFonts w:ascii="Trebuchet MS" w:cs="Trebuchet MS" w:hAnsi="Trebuchet MS" w:eastAsia="Trebuchet MS"/>
        </w:rPr>
      </w:pPr>
      <w:r>
        <w:rPr>
          <w:rFonts w:ascii="Trebuchet MS" w:hAnsi="Trebuchet MS"/>
          <w:b w:val="1"/>
          <w:bCs w:val="1"/>
          <w:rtl w:val="0"/>
          <w:lang w:val="en-US"/>
        </w:rPr>
        <w:t>Triton X100</w:t>
      </w:r>
      <w:r>
        <w:rPr>
          <w:rFonts w:ascii="Trebuchet MS" w:hAnsi="Trebuchet MS"/>
          <w:rtl w:val="0"/>
          <w:lang w:val="en-US"/>
        </w:rPr>
        <w:t>: 0.1% in [prepared from stock of 20% Triton in H2O]</w:t>
      </w:r>
    </w:p>
    <w:p>
      <w:pPr>
        <w:pStyle w:val="Normal.0"/>
        <w:spacing w:line="312" w:lineRule="auto"/>
        <w:rPr>
          <w:rFonts w:ascii="Trebuchet MS" w:cs="Trebuchet MS" w:hAnsi="Trebuchet MS" w:eastAsia="Trebuchet MS"/>
        </w:rPr>
      </w:pPr>
      <w:r>
        <w:rPr>
          <w:rFonts w:ascii="Trebuchet MS" w:hAnsi="Trebuchet MS"/>
          <w:rtl w:val="0"/>
          <w:lang w:val="en-US"/>
        </w:rPr>
        <w:t>50 mM Ammonium chloride pH</w:t>
      </w:r>
    </w:p>
    <w:p>
      <w:pPr>
        <w:pStyle w:val="Normal.0"/>
        <w:spacing w:line="312" w:lineRule="auto"/>
        <w:rPr>
          <w:rFonts w:ascii="Trebuchet MS" w:cs="Trebuchet MS" w:hAnsi="Trebuchet MS" w:eastAsia="Trebuchet MS"/>
          <w:b w:val="1"/>
          <w:bCs w:val="1"/>
        </w:rPr>
      </w:pPr>
    </w:p>
    <w:p>
      <w:pPr>
        <w:pStyle w:val="Normal.0"/>
        <w:spacing w:line="312" w:lineRule="auto"/>
        <w:rPr>
          <w:rFonts w:ascii="Trebuchet MS" w:cs="Trebuchet MS" w:hAnsi="Trebuchet MS" w:eastAsia="Trebuchet MS"/>
        </w:rPr>
      </w:pPr>
    </w:p>
    <w:p>
      <w:pPr>
        <w:pStyle w:val="Normal.0"/>
        <w:spacing w:line="312" w:lineRule="auto"/>
        <w:rPr>
          <w:rFonts w:ascii="Trebuchet MS" w:cs="Trebuchet MS" w:hAnsi="Trebuchet MS" w:eastAsia="Trebuchet MS"/>
        </w:rPr>
      </w:pPr>
      <w:r>
        <w:rPr>
          <w:rFonts w:ascii="Trebuchet MS" w:hAnsi="Trebuchet MS"/>
          <w:b w:val="1"/>
          <w:bCs w:val="1"/>
          <w:rtl w:val="0"/>
          <w:lang w:val="en-US"/>
        </w:rPr>
        <w:t>TBST Buffer</w:t>
      </w:r>
      <w:r>
        <w:rPr>
          <w:rFonts w:ascii="Trebuchet MS" w:hAnsi="Trebuchet MS"/>
          <w:rtl w:val="0"/>
          <w:lang w:val="en-US"/>
        </w:rPr>
        <w:t xml:space="preserve"> [20mM Tris/HCL, pH 7.5,150 mM NaCl, 0.005% Tween 20]</w:t>
      </w:r>
    </w:p>
    <w:p>
      <w:pPr>
        <w:pStyle w:val="Normal.0"/>
        <w:spacing w:line="312" w:lineRule="auto"/>
        <w:rPr>
          <w:rFonts w:ascii="Trebuchet MS" w:cs="Trebuchet MS" w:hAnsi="Trebuchet MS" w:eastAsia="Trebuchet MS"/>
        </w:rPr>
      </w:pPr>
    </w:p>
    <w:p>
      <w:pPr>
        <w:pStyle w:val="Normal.0"/>
        <w:rPr>
          <w:rFonts w:ascii="Trebuchet MS" w:cs="Trebuchet MS" w:hAnsi="Trebuchet MS" w:eastAsia="Trebuchet MS"/>
          <w:b w:val="1"/>
          <w:bCs w:val="1"/>
          <w:i w:val="1"/>
          <w:iCs w:val="1"/>
        </w:rPr>
      </w:pPr>
      <w:r>
        <w:rPr>
          <w:rFonts w:ascii="Trebuchet MS" w:hAnsi="Trebuchet MS"/>
          <w:b w:val="1"/>
          <w:bCs w:val="1"/>
          <w:i w:val="1"/>
          <w:iCs w:val="1"/>
          <w:rtl w:val="0"/>
          <w:lang w:val="en-US"/>
        </w:rPr>
        <w:t>Antibodies:</w:t>
      </w:r>
    </w:p>
    <w:p>
      <w:pPr>
        <w:pStyle w:val="Normal.0"/>
        <w:rPr>
          <w:rFonts w:ascii="Trebuchet MS" w:cs="Trebuchet MS" w:hAnsi="Trebuchet MS" w:eastAsia="Trebuchet MS"/>
        </w:rPr>
      </w:pPr>
    </w:p>
    <w:p>
      <w:pPr>
        <w:pStyle w:val="Normal.0"/>
        <w:rPr>
          <w:rFonts w:ascii="Trebuchet MS" w:cs="Trebuchet MS" w:hAnsi="Trebuchet MS" w:eastAsia="Trebuchet MS"/>
        </w:rPr>
      </w:pPr>
      <w:r>
        <w:rPr>
          <w:rFonts w:ascii="Trebuchet MS" w:hAnsi="Trebuchet MS"/>
          <w:rtl w:val="0"/>
          <w:lang w:val="en-US"/>
        </w:rPr>
        <w:t>1</w:t>
      </w:r>
      <w:r>
        <w:rPr>
          <w:rFonts w:ascii="Trebuchet MS" w:hAnsi="Trebuchet MS"/>
          <w:vertAlign w:val="superscript"/>
          <w:rtl w:val="0"/>
          <w:lang w:val="en-US"/>
        </w:rPr>
        <w:t>o</w:t>
      </w:r>
      <w:r>
        <w:rPr>
          <w:rFonts w:ascii="Trebuchet MS" w:hAnsi="Trebuchet MS"/>
          <w:rtl w:val="0"/>
          <w:lang w:val="en-US"/>
        </w:rPr>
        <w:t xml:space="preserve"> Antibody: use either Koonce</w:t>
      </w:r>
      <w:r>
        <w:rPr>
          <w:rFonts w:ascii="Trebuchet MS" w:hAnsi="Trebuchet MS" w:hint="default"/>
          <w:rtl w:val="0"/>
          <w:lang w:val="en-US"/>
        </w:rPr>
        <w:t>’</w:t>
      </w:r>
      <w:r>
        <w:rPr>
          <w:rFonts w:ascii="Trebuchet MS" w:hAnsi="Trebuchet MS"/>
          <w:rtl w:val="0"/>
          <w:lang w:val="en-US"/>
        </w:rPr>
        <w:t>s MAb or anti-alpha tubulin  (12G10)</w:t>
      </w:r>
    </w:p>
    <w:p>
      <w:pPr>
        <w:pStyle w:val="Normal.0"/>
        <w:rPr>
          <w:rFonts w:ascii="Trebuchet MS" w:cs="Trebuchet MS" w:hAnsi="Trebuchet MS" w:eastAsia="Trebuchet MS"/>
        </w:rPr>
      </w:pPr>
    </w:p>
    <w:p>
      <w:pPr>
        <w:pStyle w:val="Normal.0"/>
        <w:rPr>
          <w:rFonts w:ascii="Trebuchet MS" w:cs="Trebuchet MS" w:hAnsi="Trebuchet MS" w:eastAsia="Trebuchet MS"/>
        </w:rPr>
      </w:pPr>
      <w:r>
        <w:rPr>
          <w:rFonts w:ascii="Trebuchet MS" w:hAnsi="Trebuchet MS"/>
          <w:rtl w:val="0"/>
          <w:lang w:val="en-US"/>
        </w:rPr>
        <w:t xml:space="preserve">Use:1:10 dilution of this antibody stocks using TBST. </w:t>
      </w:r>
    </w:p>
    <w:p>
      <w:pPr>
        <w:pStyle w:val="Normal.0"/>
        <w:rPr>
          <w:rFonts w:ascii="Trebuchet MS" w:cs="Trebuchet MS" w:hAnsi="Trebuchet MS" w:eastAsia="Trebuchet MS"/>
        </w:rPr>
      </w:pPr>
    </w:p>
    <w:p>
      <w:pPr>
        <w:pStyle w:val="Normal.0"/>
        <w:rPr>
          <w:rFonts w:ascii="Trebuchet MS" w:cs="Trebuchet MS" w:hAnsi="Trebuchet MS" w:eastAsia="Trebuchet MS"/>
        </w:rPr>
      </w:pPr>
      <w:r>
        <w:rPr>
          <w:rFonts w:ascii="Trebuchet MS" w:hAnsi="Trebuchet MS"/>
          <w:rtl w:val="0"/>
          <w:lang w:val="en-US"/>
        </w:rPr>
        <w:t>2</w:t>
      </w:r>
      <w:r>
        <w:rPr>
          <w:rFonts w:ascii="Trebuchet MS" w:hAnsi="Trebuchet MS"/>
          <w:vertAlign w:val="superscript"/>
          <w:rtl w:val="0"/>
          <w:lang w:val="en-US"/>
        </w:rPr>
        <w:t>o</w:t>
      </w:r>
      <w:r>
        <w:rPr>
          <w:rFonts w:ascii="Trebuchet MS" w:hAnsi="Trebuchet MS"/>
          <w:rtl w:val="0"/>
          <w:lang w:val="en-US"/>
        </w:rPr>
        <w:t xml:space="preserve"> Antibody goat anti-mouse conjugated to Alexa 488 [invitrogen]</w:t>
      </w:r>
    </w:p>
    <w:p>
      <w:pPr>
        <w:pStyle w:val="Normal.0"/>
        <w:rPr>
          <w:rFonts w:ascii="Trebuchet MS" w:cs="Trebuchet MS" w:hAnsi="Trebuchet MS" w:eastAsia="Trebuchet MS"/>
        </w:rPr>
      </w:pPr>
      <w:r>
        <w:rPr>
          <w:rFonts w:ascii="Trebuchet MS" w:hAnsi="Trebuchet MS"/>
          <w:rtl w:val="0"/>
          <w:lang w:val="en-US"/>
        </w:rPr>
        <w:t>Use: 1:200 dilution of this antibody stock using TBST</w:t>
      </w:r>
    </w:p>
    <w:p>
      <w:pPr>
        <w:pStyle w:val="Normal.0"/>
        <w:rPr>
          <w:rFonts w:ascii="Trebuchet MS" w:cs="Trebuchet MS" w:hAnsi="Trebuchet MS" w:eastAsia="Trebuchet MS"/>
        </w:rPr>
      </w:pPr>
    </w:p>
    <w:p>
      <w:pPr>
        <w:pStyle w:val="Normal.0"/>
        <w:rPr>
          <w:rFonts w:ascii="Trebuchet MS" w:cs="Trebuchet MS" w:hAnsi="Trebuchet MS" w:eastAsia="Trebuchet MS"/>
        </w:rPr>
      </w:pPr>
      <w:r>
        <w:rPr>
          <w:rFonts w:ascii="Trebuchet MS" w:hAnsi="Trebuchet MS"/>
          <w:rtl w:val="0"/>
          <w:lang w:val="en-US"/>
        </w:rPr>
        <w:t>Rhodamine Phalloidin :prepared at 0.1</w:t>
      </w:r>
      <w:r>
        <w:rPr>
          <w:rFonts w:ascii="Trebuchet MS" w:hAnsi="Trebuchet MS" w:hint="default"/>
          <w:rtl w:val="0"/>
          <w:lang w:val="en-US"/>
        </w:rPr>
        <w:t>µ</w:t>
      </w:r>
      <w:r>
        <w:rPr>
          <w:rFonts w:ascii="Trebuchet MS" w:hAnsi="Trebuchet MS"/>
          <w:rtl w:val="0"/>
          <w:lang w:val="en-US"/>
        </w:rPr>
        <w:t>g/ml in TBST from 2</w:t>
      </w:r>
      <w:r>
        <w:rPr>
          <w:rFonts w:ascii="Trebuchet MS" w:hAnsi="Trebuchet MS" w:hint="default"/>
          <w:rtl w:val="0"/>
          <w:lang w:val="en-US"/>
        </w:rPr>
        <w:t>µ</w:t>
      </w:r>
      <w:r>
        <w:rPr>
          <w:rFonts w:ascii="Trebuchet MS" w:hAnsi="Trebuchet MS"/>
          <w:rtl w:val="0"/>
          <w:lang w:val="en-US"/>
        </w:rPr>
        <w:t>g/ml stock (in freezer in 253)</w:t>
      </w:r>
    </w:p>
    <w:p>
      <w:pPr>
        <w:pStyle w:val="Normal.0"/>
        <w:spacing w:line="312" w:lineRule="auto"/>
        <w:rPr>
          <w:rFonts w:ascii="Trebuchet MS" w:cs="Trebuchet MS" w:hAnsi="Trebuchet MS" w:eastAsia="Trebuchet MS"/>
          <w:sz w:val="18"/>
          <w:szCs w:val="18"/>
        </w:rPr>
      </w:pPr>
    </w:p>
    <w:p>
      <w:pPr>
        <w:pStyle w:val="Normal.0"/>
        <w:spacing w:line="312" w:lineRule="auto"/>
        <w:rPr>
          <w:rFonts w:ascii="Trebuchet MS" w:cs="Trebuchet MS" w:hAnsi="Trebuchet MS" w:eastAsia="Trebuchet MS"/>
        </w:rPr>
      </w:pPr>
      <w:r>
        <w:rPr>
          <w:rFonts w:ascii="Trebuchet MS" w:hAnsi="Trebuchet MS"/>
          <w:rtl w:val="0"/>
          <w:lang w:val="en-US"/>
        </w:rPr>
        <w:t xml:space="preserve">Alexa 568 phalloidin is purchased as 300U and dissolved in 1.5 ml of Methanol which is 6 </w:t>
      </w:r>
      <w:r>
        <w:rPr>
          <w:rFonts w:ascii="Trebuchet MS" w:hAnsi="Trebuchet MS" w:hint="default"/>
          <w:rtl w:val="0"/>
          <w:lang w:val="en-US"/>
        </w:rPr>
        <w:t>µ</w:t>
      </w:r>
      <w:r>
        <w:rPr>
          <w:rFonts w:ascii="Trebuchet MS" w:hAnsi="Trebuchet MS"/>
          <w:rtl w:val="0"/>
          <w:lang w:val="en-US"/>
        </w:rPr>
        <w:t>M or is 8</w:t>
      </w:r>
      <w:r>
        <w:rPr>
          <w:rFonts w:ascii="Trebuchet MS" w:hAnsi="Trebuchet MS" w:hint="default"/>
          <w:rtl w:val="0"/>
          <w:lang w:val="en-US"/>
        </w:rPr>
        <w:t>µ</w:t>
      </w:r>
      <w:r>
        <w:rPr>
          <w:rFonts w:ascii="Trebuchet MS" w:hAnsi="Trebuchet MS"/>
          <w:rtl w:val="0"/>
          <w:lang w:val="en-US"/>
        </w:rPr>
        <w:t>g/ml.  It works OK from 1/40 to 1/500 getting increasingly dim, but plenty bright to image.  1/100 is a compromise concentration</w:t>
      </w:r>
    </w:p>
    <w:p>
      <w:pPr>
        <w:pStyle w:val="Normal.0"/>
        <w:rPr>
          <w:rFonts w:ascii="Trebuchet MS" w:cs="Trebuchet MS" w:hAnsi="Trebuchet MS" w:eastAsia="Trebuchet MS"/>
        </w:rPr>
      </w:pPr>
    </w:p>
    <w:p>
      <w:pPr>
        <w:pStyle w:val="Normal.0"/>
        <w:rPr>
          <w:rFonts w:ascii="Trebuchet MS" w:cs="Trebuchet MS" w:hAnsi="Trebuchet MS" w:eastAsia="Trebuchet MS"/>
        </w:rPr>
      </w:pPr>
      <w:r>
        <w:rPr>
          <w:rFonts w:ascii="Trebuchet MS" w:hAnsi="Trebuchet MS"/>
          <w:b w:val="1"/>
          <w:bCs w:val="1"/>
          <w:rtl w:val="0"/>
          <w:lang w:val="en-US"/>
        </w:rPr>
        <w:t>Cell Strain(s):</w:t>
      </w:r>
    </w:p>
    <w:p>
      <w:pPr>
        <w:pStyle w:val="Normal.0"/>
        <w:rPr>
          <w:rFonts w:ascii="Trebuchet MS" w:cs="Trebuchet MS" w:hAnsi="Trebuchet MS" w:eastAsia="Trebuchet MS"/>
        </w:rPr>
      </w:pPr>
    </w:p>
    <w:p>
      <w:pPr>
        <w:pStyle w:val="Normal.0"/>
        <w:rPr>
          <w:rFonts w:ascii="Trebuchet MS" w:cs="Trebuchet MS" w:hAnsi="Trebuchet MS" w:eastAsia="Trebuchet MS"/>
        </w:rPr>
      </w:pPr>
      <w:r>
        <w:rPr>
          <w:rFonts w:ascii="Trebuchet MS" w:hAnsi="Trebuchet MS"/>
          <w:rtl w:val="0"/>
          <w:lang w:val="en-US"/>
        </w:rPr>
        <w:t>AX2</w:t>
      </w:r>
    </w:p>
    <w:p>
      <w:pPr>
        <w:pStyle w:val="Normal.0"/>
        <w:rPr>
          <w:rFonts w:ascii="Trebuchet MS" w:cs="Trebuchet MS" w:hAnsi="Trebuchet MS" w:eastAsia="Trebuchet MS"/>
        </w:rPr>
      </w:pPr>
      <w:r>
        <w:rPr>
          <w:rFonts w:ascii="Trebuchet MS" w:hAnsi="Trebuchet MS"/>
          <w:rtl w:val="0"/>
          <w:lang w:val="en-US"/>
        </w:rPr>
        <w:t>HK323</w:t>
      </w:r>
    </w:p>
    <w:p>
      <w:pPr>
        <w:pStyle w:val="Normal.0"/>
        <w:rPr>
          <w:rFonts w:ascii="Trebuchet MS" w:cs="Trebuchet MS" w:hAnsi="Trebuchet MS" w:eastAsia="Trebuchet MS"/>
          <w:vertAlign w:val="subscript"/>
        </w:rPr>
      </w:pPr>
    </w:p>
    <w:p>
      <w:pPr>
        <w:pStyle w:val="Normal.0"/>
        <w:rPr>
          <w:rFonts w:ascii="Trebuchet MS" w:cs="Trebuchet MS" w:hAnsi="Trebuchet MS" w:eastAsia="Trebuchet MS"/>
          <w:vertAlign w:val="subscript"/>
        </w:rPr>
      </w:pPr>
    </w:p>
    <w:p>
      <w:pPr>
        <w:pStyle w:val="Normal.0"/>
      </w:pPr>
      <w:r>
        <w:rPr>
          <w:rFonts w:ascii="Trebuchet MS" w:hAnsi="Trebuchet MS"/>
          <w:b w:val="1"/>
          <w:bCs w:val="1"/>
          <w:rtl w:val="0"/>
          <w:lang w:val="en-US"/>
        </w:rPr>
        <w:t>Other things needed for this experiment:</w:t>
      </w:r>
    </w:p>
    <w:sectPr>
      <w:headerReference w:type="default" r:id="rId4"/>
      <w:headerReference w:type="even" r:id="rId5"/>
      <w:footerReference w:type="default" r:id="rId6"/>
      <w:footerReference w:type="even" r:id="rId7"/>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rebuchet MS">
    <w:charset w:val="00"/>
    <w:family w:val="roman"/>
    <w:pitch w:val="default"/>
  </w:font>
  <w:font w:name="Helvetica Neue Light">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Letter"/>
      <w:suff w:val="tab"/>
      <w:lvlText w:val="%1."/>
      <w:lvlJc w:val="left"/>
      <w:pPr>
        <w:ind w:left="72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start w:val="1"/>
      <w:numFmt w:val="lowerLetter"/>
      <w:suff w:val="tab"/>
      <w:lvlText w:val="%2."/>
      <w:lvlJc w:val="left"/>
      <w:pPr>
        <w:ind w:left="144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44"/>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44"/>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44"/>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num" w:pos="260"/>
        </w:tabs>
        <w:ind w:left="620" w:hanging="6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620"/>
        </w:tabs>
        <w:ind w:left="980" w:hanging="6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620"/>
          <w:tab w:val="num" w:pos="980"/>
        </w:tabs>
        <w:ind w:left="1340" w:hanging="6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20"/>
          <w:tab w:val="num" w:pos="980"/>
        </w:tabs>
        <w:ind w:left="134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980"/>
        </w:tabs>
        <w:ind w:left="134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620"/>
          <w:tab w:val="num" w:pos="980"/>
        </w:tabs>
        <w:ind w:left="1340" w:hanging="7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980"/>
        </w:tabs>
        <w:ind w:left="13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620"/>
          <w:tab w:val="num" w:pos="980"/>
        </w:tabs>
        <w:ind w:left="1340" w:hanging="7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980"/>
        </w:tabs>
        <w:ind w:left="1340" w:hanging="10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tabs>
          <w:tab w:val="num" w:pos="260"/>
        </w:tabs>
        <w:ind w:left="620" w:hanging="6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260"/>
          <w:tab w:val="num" w:pos="620"/>
        </w:tabs>
        <w:ind w:left="980" w:hanging="6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72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260"/>
          <w:tab w:val="num" w:pos="620"/>
        </w:tabs>
        <w:ind w:left="98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72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260"/>
          <w:tab w:val="num" w:pos="620"/>
        </w:tabs>
        <w:ind w:left="980" w:hanging="7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72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260"/>
          <w:tab w:val="num" w:pos="620"/>
        </w:tabs>
        <w:ind w:left="980" w:hanging="7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720"/>
        </w:tabs>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520" w:hanging="5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nothing"/>
      <w:lvlText w:val="%2."/>
      <w:lvlJc w:val="left"/>
      <w:pPr>
        <w:tabs>
          <w:tab w:val="left" w:pos="520"/>
        </w:tabs>
        <w:ind w:left="520" w:hanging="1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ind w:left="720" w:hanging="360"/>
      </w:pPr>
      <w:rPr>
        <w:rFonts w:hAnsi="Arial Unicode MS"/>
        <w:caps w:val="0"/>
        <w:smallCaps w:val="0"/>
        <w:strike w:val="0"/>
        <w:dstrike w:val="0"/>
        <w:outline w:val="0"/>
        <w:emboss w:val="0"/>
        <w:imprint w:val="0"/>
        <w:color w:val="000000"/>
        <w:spacing w:val="0"/>
        <w:w w:val="100"/>
        <w:kern w:val="0"/>
        <w:position w:val="0"/>
        <w:sz w:val="24"/>
        <w:szCs w:val="24"/>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6"/>
    <w:lvlOverride w:ilvl="0">
      <w:lvl w:ilvl="0">
        <w:start w:val="1"/>
        <w:numFmt w:val="decimal"/>
        <w:suff w:val="tab"/>
        <w:lvlText w:val="%1."/>
        <w:lvlJc w:val="left"/>
        <w:pPr>
          <w:tabs>
            <w:tab w:val="num" w:pos="520"/>
          </w:tabs>
          <w:ind w:left="620" w:hanging="62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lowerLetter"/>
        <w:suff w:val="nothing"/>
        <w:lvlText w:val="%2."/>
        <w:lvlJc w:val="left"/>
        <w:pPr>
          <w:tabs>
            <w:tab w:val="left" w:pos="520"/>
          </w:tabs>
          <w:ind w:left="620" w:hanging="2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lowerRoman"/>
        <w:suff w:val="tab"/>
        <w:lvlText w:val="%3."/>
        <w:lvlJc w:val="left"/>
        <w:pPr>
          <w:tabs>
            <w:tab w:val="num" w:pos="720"/>
          </w:tabs>
          <w:ind w:left="820" w:hanging="82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decimal"/>
        <w:suff w:val="tab"/>
        <w:lvlText w:val="%4."/>
        <w:lvlJc w:val="left"/>
        <w:pPr>
          <w:tabs>
            <w:tab w:val="num" w:pos="620"/>
          </w:tabs>
          <w:ind w:left="720" w:hanging="4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lowerLetter"/>
        <w:suff w:val="tab"/>
        <w:lvlText w:val="%5."/>
        <w:lvlJc w:val="left"/>
        <w:pPr>
          <w:tabs>
            <w:tab w:val="num" w:pos="720"/>
          </w:tabs>
          <w:ind w:left="820" w:hanging="82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lowerRoman"/>
        <w:suff w:val="tab"/>
        <w:lvlText w:val="%6."/>
        <w:lvlJc w:val="left"/>
        <w:pPr>
          <w:tabs>
            <w:tab w:val="num" w:pos="620"/>
          </w:tabs>
          <w:ind w:left="720" w:hanging="4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decimal"/>
        <w:suff w:val="tab"/>
        <w:lvlText w:val="%7."/>
        <w:lvlJc w:val="left"/>
        <w:pPr>
          <w:tabs>
            <w:tab w:val="num" w:pos="720"/>
          </w:tabs>
          <w:ind w:left="820" w:hanging="82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lowerLetter"/>
        <w:suff w:val="tab"/>
        <w:lvlText w:val="%8."/>
        <w:lvlJc w:val="left"/>
        <w:pPr>
          <w:tabs>
            <w:tab w:val="num" w:pos="620"/>
          </w:tabs>
          <w:ind w:left="720" w:hanging="4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lowerRoman"/>
        <w:suff w:val="tab"/>
        <w:lvlText w:val="%9."/>
        <w:lvlJc w:val="left"/>
        <w:pPr>
          <w:tabs>
            <w:tab w:val="num" w:pos="720"/>
          </w:tabs>
          <w:ind w:left="820" w:hanging="82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num>
  <w:num w:numId="10">
    <w:abstractNumId w:val="6"/>
    <w:lvlOverride w:ilvl="0">
      <w:lvl w:ilvl="0">
        <w:start w:val="1"/>
        <w:numFmt w:val="decimal"/>
        <w:suff w:val="tab"/>
        <w:lvlText w:val="%1."/>
        <w:lvlJc w:val="left"/>
        <w:pPr>
          <w:tabs>
            <w:tab w:val="num" w:pos="520"/>
          </w:tabs>
          <w:ind w:left="620" w:hanging="6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nothing"/>
        <w:lvlText w:val="%2."/>
        <w:lvlJc w:val="left"/>
        <w:pPr>
          <w:tabs>
            <w:tab w:val="left" w:pos="520"/>
          </w:tabs>
          <w:ind w:left="620" w:hanging="2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720"/>
          </w:tabs>
          <w:ind w:left="820" w:hanging="8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620"/>
          </w:tabs>
          <w:ind w:left="720" w:hanging="4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720"/>
          </w:tabs>
          <w:ind w:left="820" w:hanging="8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620"/>
          </w:tabs>
          <w:ind w:left="720" w:hanging="4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720"/>
          </w:tabs>
          <w:ind w:left="820" w:hanging="8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620"/>
          </w:tabs>
          <w:ind w:left="720" w:hanging="4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720"/>
          </w:tabs>
          <w:ind w:left="820" w:hanging="8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9"/>
  </w:num>
  <w:num w:numId="12">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4 A">
    <w:name w:val="Heading 4 A"/>
    <w:next w:val="Normal.0"/>
    <w:pPr>
      <w:keepNext w:val="1"/>
      <w:keepLines w:val="0"/>
      <w:pageBreakBefore w:val="0"/>
      <w:widowControl w:val="1"/>
      <w:shd w:val="clear" w:color="auto" w:fill="auto"/>
      <w:suppressAutoHyphens w:val="0"/>
      <w:bidi w:val="0"/>
      <w:spacing w:before="0" w:after="0" w:line="240" w:lineRule="auto"/>
      <w:ind w:left="0" w:right="0" w:firstLine="0"/>
      <w:jc w:val="left"/>
      <w:outlineLvl w:val="2"/>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singl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Body Text1">
    <w:name w:val="Body Text1"/>
    <w:next w:val="Body Text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paragraph" w:styleId="Colorful List - Accent 1">
    <w:name w:val="Colorful List - Accent 1"/>
    <w:next w:val="Colorful List - Accent 1"/>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11"/>
      </w:numPr>
    </w:p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