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Arial" w:cs="Arial" w:hAnsi="Arial" w:eastAsia="Arial"/>
          <w:b w:val="1"/>
          <w:bCs w:val="1"/>
          <w:sz w:val="24"/>
          <w:szCs w:val="24"/>
        </w:rPr>
      </w:pPr>
      <w:r>
        <w:rPr>
          <w:rFonts w:ascii="Arial" w:hAnsi="Arial"/>
          <w:b w:val="1"/>
          <w:bCs w:val="1"/>
          <w:sz w:val="24"/>
          <w:szCs w:val="24"/>
          <w:rtl w:val="0"/>
          <w:lang w:val="en-US"/>
        </w:rPr>
        <w:t>More independent project throughts</w:t>
      </w:r>
    </w:p>
    <w:p>
      <w:pPr>
        <w:pStyle w:val="Body"/>
        <w:jc w:val="center"/>
        <w:rPr>
          <w:rFonts w:ascii="Arial" w:cs="Arial" w:hAnsi="Arial" w:eastAsia="Arial"/>
          <w:b w:val="1"/>
          <w:bCs w:val="1"/>
          <w:sz w:val="24"/>
          <w:szCs w:val="24"/>
        </w:rPr>
      </w:pPr>
    </w:p>
    <w:p>
      <w:pPr>
        <w:pStyle w:val="Body"/>
        <w:jc w:val="left"/>
        <w:rPr>
          <w:rFonts w:ascii="Arial" w:cs="Arial" w:hAnsi="Arial" w:eastAsia="Arial"/>
          <w:sz w:val="24"/>
          <w:szCs w:val="24"/>
        </w:rPr>
      </w:pPr>
      <w:r>
        <w:rPr>
          <w:rFonts w:ascii="Arial" w:hAnsi="Arial"/>
          <w:sz w:val="24"/>
          <w:szCs w:val="24"/>
          <w:rtl w:val="0"/>
          <w:lang w:val="en-US"/>
        </w:rPr>
        <w:t>Possible experiments related to cell motility</w:t>
      </w:r>
    </w:p>
    <w:p>
      <w:pPr>
        <w:pStyle w:val="Body"/>
        <w:jc w:val="left"/>
        <w:rPr>
          <w:rFonts w:ascii="Arial" w:cs="Arial" w:hAnsi="Arial" w:eastAsia="Arial"/>
          <w:sz w:val="24"/>
          <w:szCs w:val="24"/>
        </w:rPr>
      </w:pPr>
    </w:p>
    <w:p>
      <w:pPr>
        <w:pStyle w:val="Body"/>
        <w:numPr>
          <w:ilvl w:val="0"/>
          <w:numId w:val="2"/>
        </w:numPr>
        <w:jc w:val="left"/>
        <w:rPr>
          <w:rFonts w:ascii="Arial" w:hAnsi="Arial"/>
          <w:sz w:val="24"/>
          <w:szCs w:val="24"/>
          <w:lang w:val="en-US"/>
        </w:rPr>
      </w:pPr>
      <w:r>
        <w:rPr>
          <w:rFonts w:ascii="Arial" w:hAnsi="Arial"/>
          <w:sz w:val="24"/>
          <w:szCs w:val="24"/>
          <w:rtl w:val="0"/>
          <w:lang w:val="en-US"/>
        </w:rPr>
        <w:t xml:space="preserve"> </w:t>
      </w:r>
      <w:r>
        <w:rPr>
          <w:rFonts w:ascii="Arial" w:hAnsi="Arial"/>
          <w:b w:val="1"/>
          <w:bCs w:val="1"/>
          <w:sz w:val="24"/>
          <w:szCs w:val="24"/>
          <w:rtl w:val="0"/>
          <w:lang w:val="en-US"/>
        </w:rPr>
        <w:t>Measure the random movement of cells (NC4 or soil isolates) when growing or starving</w:t>
      </w:r>
      <w:r>
        <w:rPr>
          <w:rFonts w:ascii="Arial" w:hAnsi="Arial"/>
          <w:sz w:val="24"/>
          <w:szCs w:val="24"/>
          <w:rtl w:val="0"/>
          <w:lang w:val="en-US"/>
        </w:rPr>
        <w:t xml:space="preserve">.  </w:t>
      </w:r>
    </w:p>
    <w:p>
      <w:pPr>
        <w:pStyle w:val="Body"/>
        <w:numPr>
          <w:ilvl w:val="1"/>
          <w:numId w:val="2"/>
        </w:numPr>
        <w:jc w:val="left"/>
        <w:rPr>
          <w:rFonts w:ascii="Arial" w:hAnsi="Arial"/>
          <w:sz w:val="24"/>
          <w:szCs w:val="24"/>
          <w:lang w:val="en-US"/>
        </w:rPr>
      </w:pPr>
      <w:r>
        <w:rPr>
          <w:rFonts w:ascii="Arial" w:hAnsi="Arial"/>
          <w:sz w:val="24"/>
          <w:szCs w:val="24"/>
          <w:rtl w:val="0"/>
          <w:lang w:val="en-US"/>
        </w:rPr>
        <w:t xml:space="preserve">Under standard growth conditions, it is hard to assess motility because of the large number of bacteria present.  But if you add less bacteria to the dish, the cells will still grow, but at a slower rate and you should be able to measure their movement. Since both phagocytosis of bacteria and protrusion associated with motility require the polymerization of F-actin filaments, one might hypothesize that these two processes compete and so movement with bacteria present would be slower or the cells might not move much at all.  You should first determine the maximum amount of bacteria you can add and still visualize the amoebae with the microscope.  You can compare that motility to </w:t>
      </w:r>
    </w:p>
    <w:p>
      <w:pPr>
        <w:pStyle w:val="Body"/>
        <w:numPr>
          <w:ilvl w:val="2"/>
          <w:numId w:val="2"/>
        </w:numPr>
        <w:jc w:val="left"/>
        <w:rPr>
          <w:rFonts w:ascii="Arial" w:hAnsi="Arial"/>
          <w:sz w:val="24"/>
          <w:szCs w:val="24"/>
          <w:lang w:val="en-US"/>
        </w:rPr>
      </w:pPr>
      <w:r>
        <w:rPr>
          <w:rFonts w:ascii="Arial" w:hAnsi="Arial"/>
          <w:sz w:val="24"/>
          <w:szCs w:val="24"/>
          <w:rtl w:val="0"/>
          <w:lang w:val="en-US"/>
        </w:rPr>
        <w:t xml:space="preserve">wild type cells in SorCM buffer where there is no food </w:t>
      </w:r>
    </w:p>
    <w:p>
      <w:pPr>
        <w:pStyle w:val="Body"/>
        <w:numPr>
          <w:ilvl w:val="2"/>
          <w:numId w:val="2"/>
        </w:numPr>
        <w:jc w:val="left"/>
        <w:rPr>
          <w:rFonts w:ascii="Arial" w:hAnsi="Arial"/>
          <w:sz w:val="24"/>
          <w:szCs w:val="24"/>
          <w:lang w:val="en-US"/>
        </w:rPr>
      </w:pPr>
      <w:r>
        <w:rPr>
          <w:rFonts w:ascii="Arial" w:hAnsi="Arial"/>
          <w:sz w:val="24"/>
          <w:szCs w:val="24"/>
          <w:rtl w:val="0"/>
          <w:lang w:val="en-US"/>
        </w:rPr>
        <w:t xml:space="preserve"> Ax2 cells growing in HL5 medium </w:t>
      </w:r>
    </w:p>
    <w:p>
      <w:pPr>
        <w:pStyle w:val="Body"/>
        <w:numPr>
          <w:ilvl w:val="2"/>
          <w:numId w:val="2"/>
        </w:numPr>
        <w:jc w:val="left"/>
        <w:rPr>
          <w:rFonts w:ascii="Arial" w:hAnsi="Arial"/>
          <w:sz w:val="24"/>
          <w:szCs w:val="24"/>
          <w:lang w:val="en-US"/>
        </w:rPr>
      </w:pPr>
      <w:r>
        <w:rPr>
          <w:rFonts w:ascii="Arial" w:hAnsi="Arial"/>
          <w:sz w:val="24"/>
          <w:szCs w:val="24"/>
          <w:rtl w:val="0"/>
          <w:lang w:val="en-US"/>
        </w:rPr>
        <w:t>Ax2 in SorCM buffer.</w:t>
      </w:r>
    </w:p>
    <w:p>
      <w:pPr>
        <w:pStyle w:val="Body"/>
        <w:numPr>
          <w:ilvl w:val="2"/>
          <w:numId w:val="2"/>
        </w:numPr>
        <w:jc w:val="left"/>
        <w:rPr>
          <w:rFonts w:ascii="Arial" w:hAnsi="Arial"/>
          <w:sz w:val="24"/>
          <w:szCs w:val="24"/>
          <w:lang w:val="en-US"/>
        </w:rPr>
      </w:pPr>
      <w:r>
        <w:rPr>
          <w:rFonts w:ascii="Arial" w:hAnsi="Arial"/>
          <w:sz w:val="24"/>
          <w:szCs w:val="24"/>
          <w:rtl w:val="0"/>
          <w:lang w:val="en-US"/>
        </w:rPr>
        <w:t xml:space="preserve">Ax2 growing on bacteria  </w:t>
      </w:r>
    </w:p>
    <w:p>
      <w:pPr>
        <w:pStyle w:val="Body"/>
        <w:numPr>
          <w:ilvl w:val="2"/>
          <w:numId w:val="2"/>
        </w:numPr>
        <w:jc w:val="left"/>
        <w:rPr>
          <w:rFonts w:ascii="Arial" w:hAnsi="Arial"/>
          <w:sz w:val="24"/>
          <w:szCs w:val="24"/>
          <w:lang w:val="en-US"/>
        </w:rPr>
      </w:pPr>
      <w:r>
        <w:rPr>
          <w:rFonts w:ascii="Arial" w:hAnsi="Arial"/>
          <w:sz w:val="24"/>
          <w:szCs w:val="24"/>
          <w:rtl w:val="0"/>
          <w:lang w:val="en-US"/>
        </w:rPr>
        <w:t>Does the surface matter?  Test glass vs. plastic (we have glass bottom dishes for this) vs. agarose or other surfaces</w:t>
      </w:r>
    </w:p>
    <w:p>
      <w:pPr>
        <w:pStyle w:val="Body"/>
        <w:numPr>
          <w:ilvl w:val="2"/>
          <w:numId w:val="2"/>
        </w:numPr>
        <w:jc w:val="left"/>
        <w:rPr>
          <w:rFonts w:ascii="Arial" w:hAnsi="Arial"/>
          <w:sz w:val="24"/>
          <w:szCs w:val="24"/>
          <w:lang w:val="en-US"/>
        </w:rPr>
      </w:pPr>
      <w:r>
        <w:rPr>
          <w:rFonts w:ascii="Arial" w:hAnsi="Arial"/>
          <w:sz w:val="24"/>
          <w:szCs w:val="24"/>
          <w:rtl w:val="0"/>
          <w:lang w:val="en-US"/>
        </w:rPr>
        <w:t>Mutants lacking the myosin II gene (Ax2 derived) in any condition above</w:t>
      </w:r>
    </w:p>
    <w:p>
      <w:pPr>
        <w:pStyle w:val="Body"/>
        <w:numPr>
          <w:ilvl w:val="0"/>
          <w:numId w:val="2"/>
        </w:numPr>
        <w:jc w:val="left"/>
        <w:rPr>
          <w:rFonts w:ascii="Arial" w:hAnsi="Arial"/>
          <w:sz w:val="24"/>
          <w:szCs w:val="24"/>
          <w:lang w:val="en-US"/>
        </w:rPr>
      </w:pPr>
      <w:r>
        <w:rPr>
          <w:rFonts w:ascii="Arial" w:hAnsi="Arial"/>
          <w:b w:val="1"/>
          <w:bCs w:val="1"/>
          <w:sz w:val="24"/>
          <w:szCs w:val="24"/>
          <w:rtl w:val="0"/>
          <w:lang w:val="en-US"/>
        </w:rPr>
        <w:t>Visualize actin dynamics in any of the situations above</w:t>
      </w:r>
      <w:r>
        <w:rPr>
          <w:rFonts w:ascii="Arial" w:hAnsi="Arial"/>
          <w:sz w:val="24"/>
          <w:szCs w:val="24"/>
          <w:rtl w:val="0"/>
          <w:lang w:val="en-US"/>
        </w:rPr>
        <w:t>- Cells can be transfected with the Lifeact-GFP or RFP DNA constructs which allow you to visualize F-actin dynamics in live cells?  For any of the above conditions you can examine if there are differences in actin dynamics that relate to motility differences you find.</w:t>
      </w:r>
    </w:p>
    <w:p>
      <w:pPr>
        <w:pStyle w:val="Body"/>
        <w:numPr>
          <w:ilvl w:val="0"/>
          <w:numId w:val="2"/>
        </w:numPr>
        <w:jc w:val="left"/>
        <w:rPr>
          <w:rFonts w:ascii="Arial" w:hAnsi="Arial"/>
          <w:sz w:val="24"/>
          <w:szCs w:val="24"/>
          <w:lang w:val="en-US"/>
        </w:rPr>
      </w:pPr>
      <w:r>
        <w:rPr>
          <w:rFonts w:ascii="Arial" w:hAnsi="Arial"/>
          <w:b w:val="1"/>
          <w:bCs w:val="1"/>
          <w:sz w:val="24"/>
          <w:szCs w:val="24"/>
          <w:rtl w:val="0"/>
          <w:lang w:val="en-US"/>
        </w:rPr>
        <w:t>Chemotactic Motility</w:t>
      </w:r>
      <w:r>
        <w:rPr>
          <w:rFonts w:ascii="Arial" w:hAnsi="Arial"/>
          <w:sz w:val="24"/>
          <w:szCs w:val="24"/>
          <w:rtl w:val="0"/>
          <w:lang w:val="en-US"/>
        </w:rPr>
        <w:t>- cells are able to move up gradients of diffusible molecules (chemotaxis).  NC4 and Ax2 cells are able to move toward a source of folic acid.  That assay will be posted in Protocols</w:t>
      </w:r>
    </w:p>
    <w:p>
      <w:pPr>
        <w:pStyle w:val="Body"/>
        <w:numPr>
          <w:ilvl w:val="1"/>
          <w:numId w:val="3"/>
        </w:numPr>
        <w:jc w:val="left"/>
        <w:rPr>
          <w:rFonts w:ascii="Arial" w:hAnsi="Arial"/>
          <w:sz w:val="24"/>
          <w:szCs w:val="24"/>
          <w:lang w:val="en-US"/>
        </w:rPr>
      </w:pPr>
      <w:r>
        <w:rPr>
          <w:rFonts w:ascii="Arial" w:hAnsi="Arial"/>
          <w:sz w:val="24"/>
          <w:szCs w:val="24"/>
          <w:rtl w:val="0"/>
          <w:lang w:val="en-US"/>
        </w:rPr>
        <w:t>Do wild soil isolates chemotax toward folic acid?</w:t>
      </w:r>
    </w:p>
    <w:p>
      <w:pPr>
        <w:pStyle w:val="Body"/>
        <w:numPr>
          <w:ilvl w:val="1"/>
          <w:numId w:val="3"/>
        </w:numPr>
        <w:jc w:val="left"/>
        <w:rPr>
          <w:rFonts w:ascii="Arial" w:hAnsi="Arial"/>
          <w:sz w:val="24"/>
          <w:szCs w:val="24"/>
          <w:lang w:val="en-US"/>
        </w:rPr>
      </w:pPr>
      <w:r>
        <w:rPr>
          <w:rFonts w:ascii="Arial" w:hAnsi="Arial"/>
          <w:sz w:val="24"/>
          <w:szCs w:val="24"/>
          <w:rtl w:val="0"/>
          <w:lang w:val="en-US"/>
        </w:rPr>
        <w:t>Do NC4 or soil isolates chemotax toward bacteria (the normal source of folic acid in soil) or the molecules the secrete.</w:t>
      </w:r>
    </w:p>
    <w:p>
      <w:pPr>
        <w:pStyle w:val="Body"/>
        <w:numPr>
          <w:ilvl w:val="0"/>
          <w:numId w:val="2"/>
        </w:numPr>
        <w:jc w:val="left"/>
        <w:rPr>
          <w:rFonts w:ascii="Arial" w:hAnsi="Arial"/>
          <w:sz w:val="24"/>
          <w:szCs w:val="24"/>
          <w:lang w:val="en-US"/>
        </w:rPr>
      </w:pPr>
      <w:r>
        <w:rPr>
          <w:rFonts w:ascii="Arial" w:hAnsi="Arial"/>
          <w:b w:val="1"/>
          <w:bCs w:val="1"/>
          <w:sz w:val="24"/>
          <w:szCs w:val="24"/>
          <w:rtl w:val="0"/>
          <w:lang w:val="en-US"/>
        </w:rPr>
        <w:t>The interaction of Soil Bacteria and Amoebae:</w:t>
      </w:r>
      <w:r>
        <w:rPr>
          <w:rFonts w:ascii="Arial" w:hAnsi="Arial"/>
          <w:sz w:val="24"/>
          <w:szCs w:val="24"/>
          <w:rtl w:val="0"/>
          <w:lang w:val="en-US"/>
        </w:rPr>
        <w:t xml:space="preserve">  Do amoebae have a preference for one type of bacteria over another as a food source or for chemotaxis.  We have tested bacteria isolated from soil from the Small World Initiative course (MCB 2612) for their capability as a food source and as a source of chemotactic molecules.</w:t>
      </w:r>
    </w:p>
    <w:p>
      <w:pPr>
        <w:pStyle w:val="Body"/>
        <w:numPr>
          <w:ilvl w:val="0"/>
          <w:numId w:val="4"/>
        </w:numPr>
        <w:jc w:val="left"/>
        <w:rPr>
          <w:rFonts w:ascii="Arial" w:hAnsi="Arial"/>
          <w:b w:val="1"/>
          <w:bCs w:val="1"/>
          <w:sz w:val="24"/>
          <w:szCs w:val="24"/>
          <w:lang w:val="en-US"/>
        </w:rPr>
      </w:pPr>
      <w:r>
        <w:rPr>
          <w:rFonts w:ascii="Arial" w:hAnsi="Arial"/>
          <w:b w:val="1"/>
          <w:bCs w:val="1"/>
          <w:sz w:val="24"/>
          <w:szCs w:val="24"/>
          <w:rtl w:val="0"/>
          <w:lang w:val="en-US"/>
        </w:rPr>
        <w:t>Endocytosis and Phagocytosis</w:t>
      </w:r>
      <w:r>
        <w:rPr>
          <w:rFonts w:ascii="Arial" w:hAnsi="Arial"/>
          <w:b w:val="0"/>
          <w:bCs w:val="0"/>
          <w:sz w:val="24"/>
          <w:szCs w:val="24"/>
          <w:rtl w:val="0"/>
          <w:lang w:val="en-US"/>
        </w:rPr>
        <w:t>- Soil amoebae engulf bacteria (and yeast and artificial particles like silica) by phagocytosis and fluid by endocytosis.  You can explore what soil amoebae do and don</w:t>
      </w:r>
      <w:r>
        <w:rPr>
          <w:rFonts w:ascii="Arial" w:hAnsi="Arial" w:hint="default"/>
          <w:b w:val="0"/>
          <w:bCs w:val="0"/>
          <w:sz w:val="24"/>
          <w:szCs w:val="24"/>
          <w:rtl w:val="0"/>
          <w:lang w:val="en-US"/>
        </w:rPr>
        <w:t>’</w:t>
      </w:r>
      <w:r>
        <w:rPr>
          <w:rFonts w:ascii="Arial" w:hAnsi="Arial"/>
          <w:b w:val="0"/>
          <w:bCs w:val="0"/>
          <w:sz w:val="24"/>
          <w:szCs w:val="24"/>
          <w:rtl w:val="0"/>
          <w:lang w:val="en-US"/>
        </w:rPr>
        <w:t xml:space="preserve">t take up using a variety of types and sizes of molecules, use Lifeact to visualize the process, or fluorescent particles to track particles and study what happens to material taken up.  To my knowledge, no one has asked whether amoebae in soil can distinguish soil and debris in soil from </w:t>
      </w:r>
      <w:r>
        <w:rPr>
          <w:rFonts w:ascii="Arial" w:hAnsi="Arial" w:hint="default"/>
          <w:b w:val="0"/>
          <w:bCs w:val="0"/>
          <w:sz w:val="24"/>
          <w:szCs w:val="24"/>
          <w:rtl w:val="0"/>
          <w:lang w:val="en-US"/>
        </w:rPr>
        <w:t>“</w:t>
      </w:r>
      <w:r>
        <w:rPr>
          <w:rFonts w:ascii="Arial" w:hAnsi="Arial"/>
          <w:b w:val="0"/>
          <w:bCs w:val="0"/>
          <w:sz w:val="24"/>
          <w:szCs w:val="24"/>
          <w:rtl w:val="0"/>
          <w:lang w:val="en-US"/>
        </w:rPr>
        <w:t>food</w:t>
      </w:r>
      <w:r>
        <w:rPr>
          <w:rFonts w:ascii="Arial" w:hAnsi="Arial" w:hint="default"/>
          <w:b w:val="0"/>
          <w:bCs w:val="0"/>
          <w:sz w:val="24"/>
          <w:szCs w:val="24"/>
          <w:rtl w:val="0"/>
          <w:lang w:val="en-US"/>
        </w:rPr>
        <w:t xml:space="preserve">” </w:t>
      </w:r>
      <w:r>
        <w:rPr>
          <w:rFonts w:ascii="Arial" w:hAnsi="Arial"/>
          <w:b w:val="0"/>
          <w:bCs w:val="0"/>
          <w:sz w:val="24"/>
          <w:szCs w:val="24"/>
          <w:rtl w:val="0"/>
          <w:lang w:val="en-US"/>
        </w:rPr>
        <w:t xml:space="preserve">or if they take up anything they encounter.  </w:t>
      </w:r>
    </w:p>
    <w:p>
      <w:pPr>
        <w:pStyle w:val="Body"/>
        <w:numPr>
          <w:ilvl w:val="0"/>
          <w:numId w:val="4"/>
        </w:numPr>
        <w:jc w:val="left"/>
        <w:rPr>
          <w:rFonts w:ascii="Arial" w:hAnsi="Arial"/>
          <w:b w:val="1"/>
          <w:bCs w:val="1"/>
          <w:sz w:val="24"/>
          <w:szCs w:val="24"/>
          <w:lang w:val="en-US"/>
        </w:rPr>
      </w:pPr>
      <w:r>
        <w:rPr>
          <w:rFonts w:ascii="Arial" w:hAnsi="Arial"/>
          <w:b w:val="1"/>
          <w:bCs w:val="1"/>
          <w:sz w:val="24"/>
          <w:szCs w:val="24"/>
          <w:rtl w:val="0"/>
          <w:lang w:val="en-US"/>
        </w:rPr>
        <w:t xml:space="preserve">Development- </w:t>
      </w:r>
      <w:r>
        <w:rPr>
          <w:rFonts w:ascii="Arial" w:hAnsi="Arial"/>
          <w:b w:val="0"/>
          <w:bCs w:val="0"/>
          <w:sz w:val="24"/>
          <w:szCs w:val="24"/>
          <w:rtl w:val="0"/>
          <w:lang w:val="en-US"/>
        </w:rPr>
        <w:t>Do your soil isolates do multi-cellular development?  If so, do they use the same signaling system as NC4 (cAMP)?  You can also study MC4 development without working with the soil isolates at all if they don</w:t>
      </w:r>
      <w:r>
        <w:rPr>
          <w:rFonts w:ascii="Arial" w:hAnsi="Arial" w:hint="default"/>
          <w:b w:val="0"/>
          <w:bCs w:val="0"/>
          <w:sz w:val="24"/>
          <w:szCs w:val="24"/>
          <w:rtl w:val="0"/>
          <w:lang w:val="en-US"/>
        </w:rPr>
        <w:t>’</w:t>
      </w:r>
      <w:r>
        <w:rPr>
          <w:rFonts w:ascii="Arial" w:hAnsi="Arial"/>
          <w:b w:val="0"/>
          <w:bCs w:val="0"/>
          <w:sz w:val="24"/>
          <w:szCs w:val="24"/>
          <w:rtl w:val="0"/>
          <w:lang w:val="en-US"/>
        </w:rPr>
        <w:t>t develop. Peter is already working on a project not involving soil isolates but rather studying how the tip acts to control the rest of the aggregate during development.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tab"/>
        <w:lvlText w:val="%1."/>
        <w:lvlJc w:val="left"/>
        <w:pPr>
          <w:ind w:left="3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