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sz w:val="24"/>
        </w:rPr>
      </w:pPr>
      <w:bookmarkStart w:id="0" w:name="_GoBack"/>
      <w:bookmarkEnd w:id="0"/>
      <w:r>
        <w:rPr>
          <w:b/>
          <w:sz w:val="24"/>
        </w:rPr>
        <w:t>PROJECT CHARTER</w:t>
      </w:r>
    </w:p>
    <w:p>
      <w:pPr>
        <w:pStyle w:val="Normal"/>
        <w:rPr>
          <w:b/>
          <w:b/>
        </w:rPr>
      </w:pPr>
      <w:r>
        <w:rPr>
          <w:b/>
        </w:rPr>
      </w:r>
    </w:p>
    <w:tbl>
      <w:tblPr>
        <w:tblStyle w:val="TableGrid"/>
        <w:tblpPr w:bottomFromText="0" w:horzAnchor="margin" w:leftFromText="180" w:rightFromText="180" w:tblpX="0" w:tblpY="2677" w:topFromText="0" w:vertAnchor="page"/>
        <w:tblW w:w="9016"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2404"/>
        <w:gridCol w:w="6611"/>
      </w:tblGrid>
      <w:tr>
        <w:trPr/>
        <w:tc>
          <w:tcPr>
            <w:tcW w:w="2404" w:type="dxa"/>
            <w:tcBorders/>
          </w:tcPr>
          <w:p>
            <w:pPr>
              <w:pStyle w:val="Normal"/>
              <w:widowControl w:val="false"/>
              <w:suppressAutoHyphens w:val="true"/>
              <w:spacing w:lineRule="auto" w:line="240" w:before="0" w:after="0"/>
              <w:jc w:val="left"/>
              <w:rPr>
                <w:b/>
                <w:b/>
              </w:rPr>
            </w:pPr>
            <w:r>
              <w:rPr>
                <w:rFonts w:eastAsia="Calibri" w:cs=""/>
                <w:b/>
                <w:kern w:val="0"/>
                <w:sz w:val="22"/>
                <w:szCs w:val="22"/>
                <w:lang w:val="en-GB" w:eastAsia="en-US" w:bidi="ar-SA"/>
              </w:rPr>
              <w:t>Project ID</w:t>
            </w:r>
          </w:p>
        </w:tc>
        <w:tc>
          <w:tcPr>
            <w:tcW w:w="661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Not Applicable</w:t>
            </w:r>
          </w:p>
        </w:tc>
      </w:tr>
      <w:tr>
        <w:trPr/>
        <w:tc>
          <w:tcPr>
            <w:tcW w:w="2404" w:type="dxa"/>
            <w:tcBorders/>
          </w:tcPr>
          <w:p>
            <w:pPr>
              <w:pStyle w:val="Normal"/>
              <w:widowControl w:val="false"/>
              <w:suppressAutoHyphens w:val="true"/>
              <w:spacing w:lineRule="auto" w:line="240" w:before="0" w:after="0"/>
              <w:jc w:val="left"/>
              <w:rPr>
                <w:b/>
                <w:b/>
              </w:rPr>
            </w:pPr>
            <w:r>
              <w:rPr>
                <w:rFonts w:eastAsia="Calibri" w:cs=""/>
                <w:b/>
                <w:kern w:val="0"/>
                <w:sz w:val="22"/>
                <w:szCs w:val="22"/>
                <w:lang w:val="en-GB" w:eastAsia="en-US" w:bidi="ar-SA"/>
              </w:rPr>
              <w:t>Project Name</w:t>
            </w:r>
          </w:p>
        </w:tc>
        <w:tc>
          <w:tcPr>
            <w:tcW w:w="661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Formulating a New Real Denial Rate</w:t>
            </w:r>
          </w:p>
        </w:tc>
      </w:tr>
      <w:tr>
        <w:trPr/>
        <w:tc>
          <w:tcPr>
            <w:tcW w:w="2404" w:type="dxa"/>
            <w:tcBorders/>
          </w:tcPr>
          <w:p>
            <w:pPr>
              <w:pStyle w:val="Normal"/>
              <w:widowControl w:val="false"/>
              <w:suppressAutoHyphens w:val="true"/>
              <w:spacing w:lineRule="auto" w:line="240" w:before="0" w:after="0"/>
              <w:jc w:val="left"/>
              <w:rPr>
                <w:b/>
                <w:b/>
              </w:rPr>
            </w:pPr>
            <w:r>
              <w:rPr>
                <w:rFonts w:eastAsia="Calibri" w:cs=""/>
                <w:b/>
                <w:kern w:val="0"/>
                <w:sz w:val="22"/>
                <w:szCs w:val="22"/>
                <w:lang w:val="en-GB" w:eastAsia="en-US" w:bidi="ar-SA"/>
              </w:rPr>
              <w:t>Project Manager</w:t>
            </w:r>
          </w:p>
        </w:tc>
        <w:tc>
          <w:tcPr>
            <w:tcW w:w="661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Khawm L Mung</w:t>
            </w:r>
          </w:p>
        </w:tc>
      </w:tr>
      <w:tr>
        <w:trPr/>
        <w:tc>
          <w:tcPr>
            <w:tcW w:w="2404" w:type="dxa"/>
            <w:tcBorders/>
          </w:tcPr>
          <w:p>
            <w:pPr>
              <w:pStyle w:val="Normal"/>
              <w:widowControl w:val="false"/>
              <w:suppressAutoHyphens w:val="true"/>
              <w:spacing w:lineRule="auto" w:line="240" w:before="0" w:after="0"/>
              <w:jc w:val="left"/>
              <w:rPr>
                <w:b/>
                <w:b/>
              </w:rPr>
            </w:pPr>
            <w:r>
              <w:rPr>
                <w:rFonts w:eastAsia="Calibri" w:cs=""/>
                <w:b/>
                <w:kern w:val="0"/>
                <w:sz w:val="22"/>
                <w:szCs w:val="22"/>
                <w:lang w:val="en-GB" w:eastAsia="en-US" w:bidi="ar-SA"/>
              </w:rPr>
              <w:t>Project Sponsor</w:t>
            </w:r>
          </w:p>
        </w:tc>
        <w:tc>
          <w:tcPr>
            <w:tcW w:w="661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Dr. Stephen Wheat</w:t>
            </w:r>
          </w:p>
        </w:tc>
      </w:tr>
    </w:tbl>
    <w:p>
      <w:pPr>
        <w:pStyle w:val="Normal"/>
        <w:rPr>
          <w:b/>
          <w:b/>
          <w:color w:val="002060"/>
        </w:rPr>
      </w:pPr>
      <w:r>
        <w:rPr>
          <w:b/>
          <w:color w:val="002060"/>
        </w:rPr>
        <w:t>Project Information</w:t>
      </w:r>
    </w:p>
    <w:p>
      <w:pPr>
        <w:pStyle w:val="Normal"/>
        <w:rPr/>
      </w:pPr>
      <w:r>
        <w:rPr/>
      </w:r>
    </w:p>
    <w:p>
      <w:pPr>
        <w:pStyle w:val="Normal"/>
        <w:rPr>
          <w:b/>
          <w:b/>
          <w:color w:val="002060"/>
        </w:rPr>
      </w:pPr>
      <w:r>
        <w:rPr>
          <w:b/>
          <w:color w:val="002060"/>
        </w:rPr>
        <w:t>Historic of Versions</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11"/>
        <w:gridCol w:w="2270"/>
        <w:gridCol w:w="4110"/>
        <w:gridCol w:w="1224"/>
      </w:tblGrid>
      <w:tr>
        <w:trPr/>
        <w:tc>
          <w:tcPr>
            <w:tcW w:w="1411" w:type="dxa"/>
            <w:tcBorders/>
          </w:tcPr>
          <w:p>
            <w:pPr>
              <w:pStyle w:val="Normal"/>
              <w:widowControl w:val="false"/>
              <w:suppressAutoHyphens w:val="true"/>
              <w:spacing w:lineRule="auto" w:line="240" w:before="0" w:after="0"/>
              <w:jc w:val="left"/>
              <w:rPr>
                <w:b/>
                <w:b/>
              </w:rPr>
            </w:pPr>
            <w:r>
              <w:rPr>
                <w:rFonts w:eastAsia="Calibri" w:cs=""/>
                <w:b/>
                <w:kern w:val="0"/>
                <w:sz w:val="22"/>
                <w:szCs w:val="22"/>
                <w:lang w:val="en-GB" w:eastAsia="en-US" w:bidi="ar-SA"/>
              </w:rPr>
              <w:t>Date</w:t>
            </w:r>
          </w:p>
        </w:tc>
        <w:tc>
          <w:tcPr>
            <w:tcW w:w="2270" w:type="dxa"/>
            <w:tcBorders/>
          </w:tcPr>
          <w:p>
            <w:pPr>
              <w:pStyle w:val="Normal"/>
              <w:widowControl w:val="false"/>
              <w:suppressAutoHyphens w:val="true"/>
              <w:spacing w:lineRule="auto" w:line="240" w:before="0" w:after="0"/>
              <w:jc w:val="left"/>
              <w:rPr>
                <w:b/>
                <w:b/>
              </w:rPr>
            </w:pPr>
            <w:r>
              <w:rPr>
                <w:rFonts w:eastAsia="Calibri" w:cs=""/>
                <w:b/>
                <w:kern w:val="0"/>
                <w:sz w:val="22"/>
                <w:szCs w:val="22"/>
                <w:lang w:val="en-GB" w:eastAsia="en-US" w:bidi="ar-SA"/>
              </w:rPr>
              <w:t>Author</w:t>
            </w:r>
          </w:p>
        </w:tc>
        <w:tc>
          <w:tcPr>
            <w:tcW w:w="4110" w:type="dxa"/>
            <w:tcBorders/>
          </w:tcPr>
          <w:p>
            <w:pPr>
              <w:pStyle w:val="Normal"/>
              <w:widowControl w:val="false"/>
              <w:suppressAutoHyphens w:val="true"/>
              <w:spacing w:lineRule="auto" w:line="240" w:before="0" w:after="0"/>
              <w:jc w:val="left"/>
              <w:rPr>
                <w:b/>
                <w:b/>
              </w:rPr>
            </w:pPr>
            <w:r>
              <w:rPr>
                <w:rFonts w:eastAsia="Calibri" w:cs=""/>
                <w:b/>
                <w:kern w:val="0"/>
                <w:sz w:val="22"/>
                <w:szCs w:val="22"/>
                <w:lang w:val="en-GB" w:eastAsia="en-US" w:bidi="ar-SA"/>
              </w:rPr>
              <w:t>Reason for new version</w:t>
            </w:r>
          </w:p>
        </w:tc>
        <w:tc>
          <w:tcPr>
            <w:tcW w:w="1224" w:type="dxa"/>
            <w:tcBorders/>
          </w:tcPr>
          <w:p>
            <w:pPr>
              <w:pStyle w:val="Normal"/>
              <w:widowControl w:val="false"/>
              <w:suppressAutoHyphens w:val="true"/>
              <w:spacing w:lineRule="auto" w:line="240" w:before="0" w:after="0"/>
              <w:jc w:val="left"/>
              <w:rPr>
                <w:b/>
                <w:b/>
              </w:rPr>
            </w:pPr>
            <w:r>
              <w:rPr>
                <w:rFonts w:eastAsia="Calibri" w:cs=""/>
                <w:b/>
                <w:kern w:val="0"/>
                <w:sz w:val="22"/>
                <w:szCs w:val="22"/>
                <w:lang w:val="en-GB" w:eastAsia="en-US" w:bidi="ar-SA"/>
              </w:rPr>
              <w:t>Version</w:t>
            </w:r>
          </w:p>
        </w:tc>
      </w:tr>
      <w:tr>
        <w:trPr/>
        <w:tc>
          <w:tcPr>
            <w:tcW w:w="141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04/10/2023</w:t>
            </w:r>
          </w:p>
        </w:tc>
        <w:tc>
          <w:tcPr>
            <w:tcW w:w="2270"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Khawm L Mung</w:t>
            </w:r>
          </w:p>
        </w:tc>
        <w:tc>
          <w:tcPr>
            <w:tcW w:w="4110"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Initial commit</w:t>
            </w:r>
          </w:p>
        </w:tc>
        <w:tc>
          <w:tcPr>
            <w:tcW w:w="122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1</w:t>
            </w:r>
          </w:p>
        </w:tc>
      </w:tr>
      <w:tr>
        <w:trPr/>
        <w:tc>
          <w:tcPr>
            <w:tcW w:w="141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tc>
        <w:tc>
          <w:tcPr>
            <w:tcW w:w="2270"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tc>
        <w:tc>
          <w:tcPr>
            <w:tcW w:w="4110"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tc>
        <w:tc>
          <w:tcPr>
            <w:tcW w:w="122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tc>
      </w:tr>
    </w:tbl>
    <w:p>
      <w:pPr>
        <w:pStyle w:val="Normal"/>
        <w:rPr/>
      </w:pPr>
      <w:r>
        <w:rPr/>
      </w:r>
    </w:p>
    <w:p>
      <w:pPr>
        <w:pStyle w:val="Normal"/>
        <w:rPr>
          <w:b/>
          <w:b/>
          <w:color w:val="002060"/>
        </w:rPr>
      </w:pPr>
      <w:r>
        <mc:AlternateContent>
          <mc:Choice Requires="wps">
            <w:drawing>
              <wp:anchor behindDoc="0" distT="40005" distB="60960" distL="0" distR="131445" simplePos="0" locked="0" layoutInCell="0" allowOverlap="1" relativeHeight="2" wp14:anchorId="6ED1097E">
                <wp:simplePos x="0" y="0"/>
                <wp:positionH relativeFrom="margin">
                  <wp:align>left</wp:align>
                </wp:positionH>
                <wp:positionV relativeFrom="paragraph">
                  <wp:posOffset>243840</wp:posOffset>
                </wp:positionV>
                <wp:extent cx="5768340" cy="1550035"/>
                <wp:effectExtent l="0" t="5715" r="5080" b="4445"/>
                <wp:wrapSquare wrapText="bothSides"/>
                <wp:docPr id="1" name="Text Box 2"/>
                <a:graphic xmlns:a="http://schemas.openxmlformats.org/drawingml/2006/main">
                  <a:graphicData uri="http://schemas.microsoft.com/office/word/2010/wordprocessingShape">
                    <wps:wsp>
                      <wps:cNvSpPr/>
                      <wps:spPr>
                        <a:xfrm>
                          <a:off x="0" y="0"/>
                          <a:ext cx="5768280" cy="155016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before="0" w:after="160"/>
                              <w:rPr>
                                <w:color w:val="000000"/>
                              </w:rPr>
                            </w:pPr>
                            <w:r>
                              <w:rPr>
                                <w:color w:val="000000"/>
                              </w:rPr>
                              <w:t>The financial crisis of 2008 sent a shockwave throughout the economy and it primarily resulted from the poor handing of loans in the housing market by lenders to debtors. By analyzing of the key components in a housing market, the denial rate of mortgage applications, researchers can try and better understand trends in the housing market leading up to, during, and after the crisis. However, the conventional denial rate of mortgage applications were found to be ineffective. A group of researchers at Urban Institute has developed their own method of calculating a real denial rate for the years of 1999 up to 2014. This research project aims to devise a new real denial rate for the year of 2014 to 2021.</w:t>
                            </w:r>
                          </w:p>
                        </w:txbxContent>
                      </wps:txbx>
                      <wps:bodyPr anchor="t">
                        <a:spAutoFit/>
                      </wps:bodyPr>
                    </wps:wsp>
                  </a:graphicData>
                </a:graphic>
                <wp14:sizeRelV relativeFrom="margin">
                  <wp14:pctHeight>20000</wp14:pctHeight>
                </wp14:sizeRelV>
              </wp:anchor>
            </w:drawing>
          </mc:Choice>
          <mc:Fallback>
            <w:pict>
              <v:rect id="shape_0" ID="Text Box 2" path="m0,0l-2147483645,0l-2147483645,-2147483646l0,-2147483646xe" fillcolor="white" stroked="t" o:allowincell="f" style="position:absolute;margin-left:-0.4pt;margin-top:19.2pt;width:454.15pt;height:122pt;mso-wrap-style:square;v-text-anchor:top;mso-position-horizontal:left;mso-position-horizontal-relative:margin" wp14:anchorId="6ED1097E">
                <v:fill o:detectmouseclick="t" type="solid" color2="black"/>
                <v:stroke color="black" weight="9360" joinstyle="miter" endcap="flat"/>
                <v:textbox>
                  <w:txbxContent>
                    <w:p>
                      <w:pPr>
                        <w:pStyle w:val="FrameContents"/>
                        <w:spacing w:before="0" w:after="160"/>
                        <w:rPr>
                          <w:color w:val="000000"/>
                        </w:rPr>
                      </w:pPr>
                      <w:r>
                        <w:rPr>
                          <w:color w:val="000000"/>
                        </w:rPr>
                        <w:t>The financial crisis of 2008 sent a shockwave throughout the economy and it primarily resulted from the poor handing of loans in the housing market by lenders to debtors. By analyzing of the key components in a housing market, the denial rate of mortgage applications, researchers can try and better understand trends in the housing market leading up to, during, and after the crisis. However, the conventional denial rate of mortgage applications were found to be ineffective. A group of researchers at Urban Institute has developed their own method of calculating a real denial rate for the years of 1999 up to 2014. This research project aims to devise a new real denial rate for the year of 2014 to 2021.</w:t>
                      </w:r>
                    </w:p>
                  </w:txbxContent>
                </v:textbox>
                <w10:wrap type="square"/>
              </v:rect>
            </w:pict>
          </mc:Fallback>
        </mc:AlternateContent>
      </w:r>
      <w:r>
        <w:rPr>
          <w:b/>
          <w:color w:val="002060"/>
        </w:rPr>
        <w:t>Business Need, Problem or Opportunity</w:t>
      </w:r>
    </w:p>
    <w:p>
      <w:pPr>
        <w:pStyle w:val="Normal"/>
        <w:rPr>
          <w:b/>
          <w:b/>
        </w:rPr>
      </w:pPr>
      <w:r>
        <w:rPr>
          <w:b/>
        </w:rPr>
      </w:r>
    </w:p>
    <w:p>
      <w:pPr>
        <w:pStyle w:val="Normal"/>
        <w:rPr>
          <w:b/>
          <w:b/>
        </w:rPr>
      </w:pPr>
      <w:r>
        <mc:AlternateContent>
          <mc:Choice Requires="wps">
            <w:drawing>
              <wp:anchor behindDoc="0" distT="40005" distB="60325" distL="0" distR="120650" simplePos="0" locked="0" layoutInCell="0" allowOverlap="1" relativeHeight="15" wp14:anchorId="5907379C">
                <wp:simplePos x="0" y="0"/>
                <wp:positionH relativeFrom="margin">
                  <wp:align>left</wp:align>
                </wp:positionH>
                <wp:positionV relativeFrom="paragraph">
                  <wp:posOffset>293370</wp:posOffset>
                </wp:positionV>
                <wp:extent cx="5722620" cy="813435"/>
                <wp:effectExtent l="0" t="5715" r="5080" b="4445"/>
                <wp:wrapSquare wrapText="bothSides"/>
                <wp:docPr id="3" name="Text Box 2"/>
                <a:graphic xmlns:a="http://schemas.openxmlformats.org/drawingml/2006/main">
                  <a:graphicData uri="http://schemas.microsoft.com/office/word/2010/wordprocessingShape">
                    <wps:wsp>
                      <wps:cNvSpPr/>
                      <wps:spPr>
                        <a:xfrm>
                          <a:off x="0" y="0"/>
                          <a:ext cx="5722560" cy="81360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before="0" w:after="160"/>
                              <w:rPr>
                                <w:color w:val="000000"/>
                              </w:rPr>
                            </w:pPr>
                            <w:r>
                              <w:rPr>
                                <w:color w:val="000000"/>
                              </w:rPr>
                              <w:t xml:space="preserve">A real denial rate for mortgage applications can be used to better understand the trends in the housing market. These trends can then be compared with trends of the past to try and see if the new real denial rate can be used as a predictor for a potential housing bubble. A new real denial rate will also help answer research questions that can be formulated from hard data. </w:t>
                            </w:r>
                          </w:p>
                        </w:txbxContent>
                      </wps:txbx>
                      <wps:bodyPr anchor="t">
                        <a:spAutoFit/>
                      </wps:bodyPr>
                    </wps:wsp>
                  </a:graphicData>
                </a:graphic>
                <wp14:sizeRelV relativeFrom="margin">
                  <wp14:pctHeight>20000</wp14:pctHeight>
                </wp14:sizeRelV>
              </wp:anchor>
            </w:drawing>
          </mc:Choice>
          <mc:Fallback>
            <w:pict>
              <v:rect id="shape_0" ID="Text Box 2" path="m0,0l-2147483645,0l-2147483645,-2147483646l0,-2147483646xe" fillcolor="white" stroked="t" o:allowincell="f" style="position:absolute;margin-left:-0.4pt;margin-top:23.1pt;width:450.55pt;height:64pt;mso-wrap-style:square;v-text-anchor:top;mso-position-horizontal:left;mso-position-horizontal-relative:margin" wp14:anchorId="5907379C">
                <v:fill o:detectmouseclick="t" type="solid" color2="black"/>
                <v:stroke color="black" weight="9360" joinstyle="miter" endcap="flat"/>
                <v:textbox>
                  <w:txbxContent>
                    <w:p>
                      <w:pPr>
                        <w:pStyle w:val="FrameContents"/>
                        <w:spacing w:before="0" w:after="160"/>
                        <w:rPr>
                          <w:color w:val="000000"/>
                        </w:rPr>
                      </w:pPr>
                      <w:r>
                        <w:rPr>
                          <w:color w:val="000000"/>
                        </w:rPr>
                        <w:t xml:space="preserve">A real denial rate for mortgage applications can be used to better understand the trends in the housing market. These trends can then be compared with trends of the past to try and see if the new real denial rate can be used as a predictor for a potential housing bubble. A new real denial rate will also help answer research questions that can be formulated from hard data. </w:t>
                      </w:r>
                    </w:p>
                  </w:txbxContent>
                </v:textbox>
                <w10:wrap type="square"/>
              </v:rect>
            </w:pict>
          </mc:Fallback>
        </mc:AlternateContent>
      </w:r>
      <w:r>
        <w:rPr>
          <w:b/>
          <w:color w:val="002060"/>
        </w:rPr>
        <w:t>Project Objectives</w:t>
      </w:r>
    </w:p>
    <w:p>
      <w:pPr>
        <w:pStyle w:val="Normal"/>
        <w:rPr>
          <w:b/>
          <w:b/>
        </w:rPr>
      </w:pPr>
      <w:r>
        <w:rPr>
          <w:b/>
        </w:rPr>
      </w:r>
    </w:p>
    <w:p>
      <w:pPr>
        <w:pStyle w:val="Normal"/>
        <w:rPr>
          <w:b/>
          <w:b/>
        </w:rPr>
      </w:pPr>
      <w:r>
        <mc:AlternateContent>
          <mc:Choice Requires="wps">
            <w:drawing>
              <wp:anchor behindDoc="0" distT="40005" distB="61595" distL="0" distR="131445" simplePos="0" locked="0" layoutInCell="0" allowOverlap="1" relativeHeight="11" wp14:anchorId="7DBCA5C6">
                <wp:simplePos x="0" y="0"/>
                <wp:positionH relativeFrom="margin">
                  <wp:align>left</wp:align>
                </wp:positionH>
                <wp:positionV relativeFrom="paragraph">
                  <wp:posOffset>330835</wp:posOffset>
                </wp:positionV>
                <wp:extent cx="5768340" cy="1181735"/>
                <wp:effectExtent l="0" t="5715" r="5080" b="4445"/>
                <wp:wrapSquare wrapText="bothSides"/>
                <wp:docPr id="5" name="Text Box 2"/>
                <a:graphic xmlns:a="http://schemas.openxmlformats.org/drawingml/2006/main">
                  <a:graphicData uri="http://schemas.microsoft.com/office/word/2010/wordprocessingShape">
                    <wps:wsp>
                      <wps:cNvSpPr/>
                      <wps:spPr>
                        <a:xfrm>
                          <a:off x="0" y="0"/>
                          <a:ext cx="5768280" cy="118188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before="0" w:after="160"/>
                              <w:rPr>
                                <w:color w:val="000000"/>
                              </w:rPr>
                            </w:pPr>
                            <w:r>
                              <w:rPr>
                                <w:color w:val="000000"/>
                              </w:rPr>
                              <w:t>The key benefit of this project is the ability to devise a new method, or algorithm, for calculating a real denial rate on just data obtained from HMDA dataset. This new method of calculating a real denial rate will be achieved without use of any propreitary data. Then, the real denial rate can be used to answer research trends and questions related to the ho</w:t>
                            </w:r>
                            <w:r>
                              <w:rPr>
                                <w:color w:val="000000"/>
                              </w:rPr>
                              <w:t>u</w:t>
                            </w:r>
                            <w:r>
                              <w:rPr>
                                <w:color w:val="000000"/>
                              </w:rPr>
                              <w:t>sing market and mortgage applications. These findings will help decsion-making entities such as banks and the government form better educated decisions on housing policies.</w:t>
                            </w:r>
                          </w:p>
                        </w:txbxContent>
                      </wps:txbx>
                      <wps:bodyPr anchor="t">
                        <a:spAutoFit/>
                      </wps:bodyPr>
                    </wps:wsp>
                  </a:graphicData>
                </a:graphic>
                <wp14:sizeRelV relativeFrom="margin">
                  <wp14:pctHeight>20000</wp14:pctHeight>
                </wp14:sizeRelV>
              </wp:anchor>
            </w:drawing>
          </mc:Choice>
          <mc:Fallback>
            <w:pict>
              <v:rect id="shape_0" ID="Text Box 2" path="m0,0l-2147483645,0l-2147483645,-2147483646l0,-2147483646xe" fillcolor="white" stroked="t" o:allowincell="f" style="position:absolute;margin-left:-0.4pt;margin-top:26.05pt;width:454.15pt;height:93pt;mso-wrap-style:square;v-text-anchor:top;mso-position-horizontal:left;mso-position-horizontal-relative:margin" wp14:anchorId="7DBCA5C6">
                <v:fill o:detectmouseclick="t" type="solid" color2="black"/>
                <v:stroke color="black" weight="9360" joinstyle="miter" endcap="flat"/>
                <v:textbox>
                  <w:txbxContent>
                    <w:p>
                      <w:pPr>
                        <w:pStyle w:val="FrameContents"/>
                        <w:spacing w:before="0" w:after="160"/>
                        <w:rPr>
                          <w:color w:val="000000"/>
                        </w:rPr>
                      </w:pPr>
                      <w:r>
                        <w:rPr>
                          <w:color w:val="000000"/>
                        </w:rPr>
                        <w:t>The key benefit of this project is the ability to devise a new method, or algorithm, for calculating a real denial rate on just data obtained from HMDA dataset. This new method of calculating a real denial rate will be achieved without use of any propreitary data. Then, the real denial rate can be used to answer research trends and questions related to the ho</w:t>
                      </w:r>
                      <w:r>
                        <w:rPr>
                          <w:color w:val="000000"/>
                        </w:rPr>
                        <w:t>u</w:t>
                      </w:r>
                      <w:r>
                        <w:rPr>
                          <w:color w:val="000000"/>
                        </w:rPr>
                        <w:t>sing market and mortgage applications. These findings will help decsion-making entities such as banks and the government form better educated decisions on housing policies.</w:t>
                      </w:r>
                    </w:p>
                  </w:txbxContent>
                </v:textbox>
                <w10:wrap type="square"/>
              </v:rect>
            </w:pict>
          </mc:Fallback>
        </mc:AlternateContent>
      </w:r>
      <w:r>
        <w:rPr>
          <w:b/>
          <w:color w:val="002060"/>
        </w:rPr>
        <w:t>Expected Benefits</w:t>
      </w:r>
    </w:p>
    <w:p>
      <w:pPr>
        <w:pStyle w:val="Normal"/>
        <w:rPr>
          <w:b/>
          <w:b/>
        </w:rPr>
      </w:pPr>
      <w:r>
        <w:rPr>
          <w:b/>
        </w:rPr>
      </w:r>
    </w:p>
    <w:p>
      <w:pPr>
        <w:pStyle w:val="Normal"/>
        <w:rPr>
          <w:b/>
          <w:b/>
          <w:color w:val="002060"/>
        </w:rPr>
      </w:pPr>
      <w:r>
        <w:rPr>
          <w:b/>
          <w:color w:val="002060"/>
        </w:rPr>
      </w:r>
    </w:p>
    <w:p>
      <w:pPr>
        <w:pStyle w:val="Normal"/>
        <w:rPr>
          <w:b/>
          <w:b/>
          <w:color w:val="002060"/>
        </w:rPr>
      </w:pPr>
      <w:r>
        <w:rPr>
          <w:b/>
          <w:color w:val="002060"/>
        </w:rPr>
      </w:r>
    </w:p>
    <w:p>
      <w:pPr>
        <w:pStyle w:val="Normal"/>
        <w:rPr>
          <w:b/>
          <w:b/>
          <w:color w:val="002060"/>
        </w:rPr>
      </w:pPr>
      <w:r>
        <w:rPr>
          <w:b/>
          <w:color w:val="002060"/>
        </w:rPr>
        <w:t>Project Organization</w:t>
      </w:r>
    </w:p>
    <w:p>
      <w:pPr>
        <w:pStyle w:val="Normal"/>
        <w:rPr/>
      </w:pPr>
      <w:r>
        <w:rPr/>
        <w:t xml:space="preserve">In this project, I will be the sole researcher and participant. Dr. Stephen Wheat will be my project advisor to guide me through with this project to complete it satisfacorially. </w:t>
      </w:r>
    </w:p>
    <w:p>
      <w:pPr>
        <w:pStyle w:val="Normal"/>
        <w:rPr>
          <w:b/>
          <w:b/>
          <w:color w:val="002060"/>
        </w:rPr>
      </w:pPr>
      <w:r>
        <w:rPr>
          <w:b/>
          <w:color w:val="002060"/>
        </w:rPr>
      </w:r>
    </w:p>
    <w:p>
      <w:pPr>
        <w:pStyle w:val="Normal"/>
        <w:rPr>
          <w:b/>
          <w:b/>
          <w:color w:val="002060"/>
        </w:rPr>
      </w:pPr>
      <w:r>
        <w:rPr>
          <w:b/>
          <w:color w:val="002060"/>
        </w:rPr>
      </w:r>
    </w:p>
    <w:p>
      <w:pPr>
        <w:pStyle w:val="Normal"/>
        <w:rPr>
          <w:b/>
          <w:b/>
        </w:rPr>
      </w:pPr>
      <w:r>
        <mc:AlternateContent>
          <mc:Choice Requires="wps">
            <w:drawing>
              <wp:anchor behindDoc="0" distT="38100" distB="64135" distL="0" distR="135890" simplePos="0" locked="0" layoutInCell="0" allowOverlap="1" relativeHeight="4" wp14:anchorId="4C285F50">
                <wp:simplePos x="0" y="0"/>
                <wp:positionH relativeFrom="margin">
                  <wp:posOffset>-5080</wp:posOffset>
                </wp:positionH>
                <wp:positionV relativeFrom="paragraph">
                  <wp:posOffset>264795</wp:posOffset>
                </wp:positionV>
                <wp:extent cx="2735580" cy="1691640"/>
                <wp:effectExtent l="0" t="5080" r="5080" b="5080"/>
                <wp:wrapSquare wrapText="bothSides"/>
                <wp:docPr id="7" name="Text Box 2"/>
                <a:graphic xmlns:a="http://schemas.openxmlformats.org/drawingml/2006/main">
                  <a:graphicData uri="http://schemas.microsoft.com/office/word/2010/wordprocessingShape">
                    <wps:wsp>
                      <wps:cNvSpPr/>
                      <wps:spPr>
                        <a:xfrm>
                          <a:off x="0" y="0"/>
                          <a:ext cx="2735640" cy="169164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color w:val="000000"/>
                              </w:rPr>
                            </w:pPr>
                            <w:r>
                              <w:rPr>
                                <w:color w:val="000000"/>
                              </w:rPr>
                            </w:r>
                          </w:p>
                          <w:p>
                            <w:pPr>
                              <w:pStyle w:val="FrameContents"/>
                              <w:numPr>
                                <w:ilvl w:val="0"/>
                                <w:numId w:val="2"/>
                              </w:numPr>
                              <w:spacing w:before="0" w:after="160"/>
                              <w:rPr>
                                <w:color w:val="000000"/>
                              </w:rPr>
                            </w:pPr>
                            <w:r>
                              <w:rPr>
                                <w:color w:val="000000"/>
                              </w:rPr>
                              <w:t>Housing Market Data Acts dataset</w:t>
                            </w:r>
                          </w:p>
                          <w:p>
                            <w:pPr>
                              <w:pStyle w:val="FrameContents"/>
                              <w:numPr>
                                <w:ilvl w:val="0"/>
                                <w:numId w:val="2"/>
                              </w:numPr>
                              <w:spacing w:before="0" w:after="160"/>
                              <w:rPr>
                                <w:color w:val="000000"/>
                              </w:rPr>
                            </w:pPr>
                            <w:r>
                              <w:rPr>
                                <w:color w:val="000000"/>
                              </w:rPr>
                              <w:t>Analysis of large data using Python and packages such as Numpy and Pandas</w:t>
                            </w:r>
                          </w:p>
                          <w:p>
                            <w:pPr>
                              <w:pStyle w:val="FrameContents"/>
                              <w:numPr>
                                <w:ilvl w:val="0"/>
                                <w:numId w:val="2"/>
                              </w:numPr>
                              <w:spacing w:before="0" w:after="160"/>
                              <w:rPr>
                                <w:color w:val="000000"/>
                              </w:rPr>
                            </w:pPr>
                            <w:r>
                              <w:rPr>
                                <w:color w:val="000000"/>
                              </w:rPr>
                              <w:t>Formulating a new algorithm with only HMDA data</w:t>
                            </w:r>
                          </w:p>
                          <w:p>
                            <w:pPr>
                              <w:pStyle w:val="FrameContents"/>
                              <w:spacing w:before="0" w:after="160"/>
                              <w:rPr>
                                <w:color w:val="000000"/>
                              </w:rPr>
                            </w:pPr>
                            <w:r>
                              <w:rPr>
                                <w:color w:val="000000"/>
                              </w:rPr>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0.4pt;margin-top:20.85pt;width:215.35pt;height:133.15pt;mso-wrap-style:square;v-text-anchor:top;mso-position-horizontal-relative:margin" wp14:anchorId="4C285F50">
                <v:fill o:detectmouseclick="t" type="solid" color2="black"/>
                <v:stroke color="black" weight="9360" joinstyle="miter" endcap="flat"/>
                <v:textbox>
                  <w:txbxContent>
                    <w:p>
                      <w:pPr>
                        <w:pStyle w:val="FrameContents"/>
                        <w:rPr>
                          <w:color w:val="000000"/>
                        </w:rPr>
                      </w:pPr>
                      <w:r>
                        <w:rPr>
                          <w:color w:val="000000"/>
                        </w:rPr>
                      </w:r>
                    </w:p>
                    <w:p>
                      <w:pPr>
                        <w:pStyle w:val="FrameContents"/>
                        <w:numPr>
                          <w:ilvl w:val="0"/>
                          <w:numId w:val="2"/>
                        </w:numPr>
                        <w:spacing w:before="0" w:after="160"/>
                        <w:rPr>
                          <w:color w:val="000000"/>
                        </w:rPr>
                      </w:pPr>
                      <w:r>
                        <w:rPr>
                          <w:color w:val="000000"/>
                        </w:rPr>
                        <w:t>Housing Market Data Acts dataset</w:t>
                      </w:r>
                    </w:p>
                    <w:p>
                      <w:pPr>
                        <w:pStyle w:val="FrameContents"/>
                        <w:numPr>
                          <w:ilvl w:val="0"/>
                          <w:numId w:val="2"/>
                        </w:numPr>
                        <w:spacing w:before="0" w:after="160"/>
                        <w:rPr>
                          <w:color w:val="000000"/>
                        </w:rPr>
                      </w:pPr>
                      <w:r>
                        <w:rPr>
                          <w:color w:val="000000"/>
                        </w:rPr>
                        <w:t>Analysis of large data using Python and packages such as Numpy and Pandas</w:t>
                      </w:r>
                    </w:p>
                    <w:p>
                      <w:pPr>
                        <w:pStyle w:val="FrameContents"/>
                        <w:numPr>
                          <w:ilvl w:val="0"/>
                          <w:numId w:val="2"/>
                        </w:numPr>
                        <w:spacing w:before="0" w:after="160"/>
                        <w:rPr>
                          <w:color w:val="000000"/>
                        </w:rPr>
                      </w:pPr>
                      <w:r>
                        <w:rPr>
                          <w:color w:val="000000"/>
                        </w:rPr>
                        <w:t>Formulating a new algorithm with only HMDA data</w:t>
                      </w:r>
                    </w:p>
                    <w:p>
                      <w:pPr>
                        <w:pStyle w:val="FrameContents"/>
                        <w:spacing w:before="0" w:after="160"/>
                        <w:rPr>
                          <w:color w:val="000000"/>
                        </w:rPr>
                      </w:pPr>
                      <w:r>
                        <w:rPr>
                          <w:color w:val="000000"/>
                        </w:rPr>
                      </w:r>
                    </w:p>
                  </w:txbxContent>
                </v:textbox>
                <w10:wrap type="square"/>
              </v:rect>
            </w:pict>
          </mc:Fallback>
        </mc:AlternateContent>
        <mc:AlternateContent>
          <mc:Choice Requires="wps">
            <w:drawing>
              <wp:anchor behindDoc="0" distT="40005" distB="63500" distL="109220" distR="131445" simplePos="0" locked="0" layoutInCell="0" allowOverlap="1" relativeHeight="6" wp14:anchorId="2FE8B310">
                <wp:simplePos x="0" y="0"/>
                <wp:positionH relativeFrom="margin">
                  <wp:posOffset>3154680</wp:posOffset>
                </wp:positionH>
                <wp:positionV relativeFrom="paragraph">
                  <wp:posOffset>287655</wp:posOffset>
                </wp:positionV>
                <wp:extent cx="2606040" cy="1653540"/>
                <wp:effectExtent l="5080" t="5080" r="5080" b="5080"/>
                <wp:wrapSquare wrapText="bothSides"/>
                <wp:docPr id="9" name="Text Box 2"/>
                <a:graphic xmlns:a="http://schemas.openxmlformats.org/drawingml/2006/main">
                  <a:graphicData uri="http://schemas.microsoft.com/office/word/2010/wordprocessingShape">
                    <wps:wsp>
                      <wps:cNvSpPr/>
                      <wps:spPr>
                        <a:xfrm>
                          <a:off x="0" y="0"/>
                          <a:ext cx="2606040" cy="165348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before="0" w:after="160"/>
                              <w:rPr>
                                <w:color w:val="000000"/>
                              </w:rPr>
                            </w:pPr>
                            <w:r>
                              <w:rPr>
                                <w:color w:val="000000"/>
                              </w:rPr>
                            </w:r>
                          </w:p>
                          <w:p>
                            <w:pPr>
                              <w:pStyle w:val="FrameContents"/>
                              <w:numPr>
                                <w:ilvl w:val="0"/>
                                <w:numId w:val="3"/>
                              </w:numPr>
                              <w:spacing w:before="0" w:after="160"/>
                              <w:rPr>
                                <w:color w:val="000000"/>
                              </w:rPr>
                            </w:pPr>
                            <w:r>
                              <w:rPr>
                                <w:color w:val="000000"/>
                              </w:rPr>
                              <w:t>Proprietary data</w:t>
                            </w:r>
                          </w:p>
                          <w:p>
                            <w:pPr>
                              <w:pStyle w:val="FrameContents"/>
                              <w:numPr>
                                <w:ilvl w:val="0"/>
                                <w:numId w:val="3"/>
                              </w:numPr>
                              <w:spacing w:before="0" w:after="160"/>
                              <w:rPr>
                                <w:color w:val="000000"/>
                              </w:rPr>
                            </w:pPr>
                            <w:r>
                              <w:rPr>
                                <w:color w:val="000000"/>
                              </w:rPr>
                              <w:t>Creating an interactive web-based data visualizer</w:t>
                            </w:r>
                          </w:p>
                          <w:p>
                            <w:pPr>
                              <w:pStyle w:val="FrameContents"/>
                              <w:numPr>
                                <w:ilvl w:val="0"/>
                                <w:numId w:val="3"/>
                              </w:numPr>
                              <w:spacing w:before="0" w:after="160"/>
                              <w:rPr>
                                <w:color w:val="000000"/>
                              </w:rPr>
                            </w:pPr>
                            <w:r>
                              <w:rPr>
                                <w:color w:val="000000"/>
                              </w:rPr>
                              <w:t>Training a Machine Learning model that can understand trends produced by research</w:t>
                            </w:r>
                          </w:p>
                          <w:p>
                            <w:pPr>
                              <w:pStyle w:val="FrameContents"/>
                              <w:numPr>
                                <w:ilvl w:val="0"/>
                                <w:numId w:val="3"/>
                              </w:numPr>
                              <w:spacing w:before="0" w:after="160"/>
                              <w:rPr>
                                <w:color w:val="000000"/>
                              </w:rPr>
                            </w:pPr>
                            <w:r>
                              <w:rPr>
                                <w:color w:val="000000"/>
                              </w:rPr>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248.4pt;margin-top:22.65pt;width:205.15pt;height:130.15pt;mso-wrap-style:square;v-text-anchor:top;mso-position-horizontal-relative:margin" wp14:anchorId="2FE8B310">
                <v:fill o:detectmouseclick="t" type="solid" color2="black"/>
                <v:stroke color="black" weight="9360" joinstyle="miter" endcap="flat"/>
                <v:textbox>
                  <w:txbxContent>
                    <w:p>
                      <w:pPr>
                        <w:pStyle w:val="FrameContents"/>
                        <w:spacing w:before="0" w:after="160"/>
                        <w:rPr>
                          <w:color w:val="000000"/>
                        </w:rPr>
                      </w:pPr>
                      <w:r>
                        <w:rPr>
                          <w:color w:val="000000"/>
                        </w:rPr>
                      </w:r>
                    </w:p>
                    <w:p>
                      <w:pPr>
                        <w:pStyle w:val="FrameContents"/>
                        <w:numPr>
                          <w:ilvl w:val="0"/>
                          <w:numId w:val="3"/>
                        </w:numPr>
                        <w:spacing w:before="0" w:after="160"/>
                        <w:rPr>
                          <w:color w:val="000000"/>
                        </w:rPr>
                      </w:pPr>
                      <w:r>
                        <w:rPr>
                          <w:color w:val="000000"/>
                        </w:rPr>
                        <w:t>Proprietary data</w:t>
                      </w:r>
                    </w:p>
                    <w:p>
                      <w:pPr>
                        <w:pStyle w:val="FrameContents"/>
                        <w:numPr>
                          <w:ilvl w:val="0"/>
                          <w:numId w:val="3"/>
                        </w:numPr>
                        <w:spacing w:before="0" w:after="160"/>
                        <w:rPr>
                          <w:color w:val="000000"/>
                        </w:rPr>
                      </w:pPr>
                      <w:r>
                        <w:rPr>
                          <w:color w:val="000000"/>
                        </w:rPr>
                        <w:t>Creating an interactive web-based data visualizer</w:t>
                      </w:r>
                    </w:p>
                    <w:p>
                      <w:pPr>
                        <w:pStyle w:val="FrameContents"/>
                        <w:numPr>
                          <w:ilvl w:val="0"/>
                          <w:numId w:val="3"/>
                        </w:numPr>
                        <w:spacing w:before="0" w:after="160"/>
                        <w:rPr>
                          <w:color w:val="000000"/>
                        </w:rPr>
                      </w:pPr>
                      <w:r>
                        <w:rPr>
                          <w:color w:val="000000"/>
                        </w:rPr>
                        <w:t>Training a Machine Learning model that can understand trends produced by research</w:t>
                      </w:r>
                    </w:p>
                    <w:p>
                      <w:pPr>
                        <w:pStyle w:val="FrameContents"/>
                        <w:numPr>
                          <w:ilvl w:val="0"/>
                          <w:numId w:val="3"/>
                        </w:numPr>
                        <w:spacing w:before="0" w:after="160"/>
                        <w:rPr>
                          <w:color w:val="000000"/>
                        </w:rPr>
                      </w:pPr>
                      <w:r>
                        <w:rPr>
                          <w:color w:val="000000"/>
                        </w:rPr>
                      </w:r>
                    </w:p>
                  </w:txbxContent>
                </v:textbox>
                <w10:wrap type="square"/>
              </v:rect>
            </w:pict>
          </mc:Fallback>
        </mc:AlternateContent>
      </w:r>
      <w:r>
        <w:rPr>
          <w:b/>
          <w:color w:val="002060"/>
        </w:rPr>
        <w:t>In Scope</w:t>
      </w:r>
      <w:r>
        <w:rPr>
          <w:b/>
        </w:rPr>
        <w:tab/>
        <w:tab/>
        <w:tab/>
        <w:tab/>
        <w:tab/>
        <w:tab/>
      </w:r>
      <w:r>
        <w:rPr>
          <w:b/>
          <w:color w:val="002060"/>
        </w:rPr>
        <w:t>Out of Scope</w:t>
      </w:r>
    </w:p>
    <w:p>
      <w:pPr>
        <w:pStyle w:val="Normal"/>
        <w:rPr>
          <w:b/>
          <w:b/>
        </w:rPr>
      </w:pPr>
      <w:r>
        <w:rPr>
          <w:b/>
        </w:rPr>
      </w:r>
    </w:p>
    <w:p>
      <w:pPr>
        <w:pStyle w:val="Normal"/>
        <w:rPr>
          <w:b/>
          <w:b/>
          <w:color w:val="002060"/>
        </w:rPr>
      </w:pPr>
      <w:r>
        <mc:AlternateContent>
          <mc:Choice Requires="wps">
            <w:drawing>
              <wp:anchor behindDoc="0" distT="40005" distB="60325" distL="0" distR="120650" simplePos="0" locked="0" layoutInCell="0" allowOverlap="1" relativeHeight="8" wp14:anchorId="600B1037">
                <wp:simplePos x="0" y="0"/>
                <wp:positionH relativeFrom="margin">
                  <wp:posOffset>0</wp:posOffset>
                </wp:positionH>
                <wp:positionV relativeFrom="paragraph">
                  <wp:posOffset>1789430</wp:posOffset>
                </wp:positionV>
                <wp:extent cx="5760720" cy="1403985"/>
                <wp:effectExtent l="0" t="5715" r="5080" b="4445"/>
                <wp:wrapSquare wrapText="bothSides"/>
                <wp:docPr id="11" name="Text Box 2"/>
                <a:graphic xmlns:a="http://schemas.openxmlformats.org/drawingml/2006/main">
                  <a:graphicData uri="http://schemas.microsoft.com/office/word/2010/wordprocessingShape">
                    <wps:wsp>
                      <wps:cNvSpPr/>
                      <wps:spPr>
                        <a:xfrm>
                          <a:off x="0" y="0"/>
                          <a:ext cx="5760720" cy="140400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numPr>
                                <w:ilvl w:val="0"/>
                                <w:numId w:val="3"/>
                              </w:numPr>
                              <w:rPr>
                                <w:color w:val="000000"/>
                              </w:rPr>
                            </w:pPr>
                            <w:r>
                              <w:rPr>
                                <w:color w:val="000000"/>
                              </w:rPr>
                              <w:t>Cleaned and formatted HMDA data for the years 2018-2021</w:t>
                            </w:r>
                          </w:p>
                          <w:p>
                            <w:pPr>
                              <w:pStyle w:val="FrameContents"/>
                              <w:numPr>
                                <w:ilvl w:val="0"/>
                                <w:numId w:val="3"/>
                              </w:numPr>
                              <w:rPr>
                                <w:color w:val="000000"/>
                              </w:rPr>
                            </w:pPr>
                            <w:r>
                              <w:rPr>
                                <w:color w:val="000000"/>
                              </w:rPr>
                              <w:t>A new method, algorithm, for calculating a real denial rate using only HMDA data</w:t>
                            </w:r>
                          </w:p>
                          <w:p>
                            <w:pPr>
                              <w:pStyle w:val="FrameContents"/>
                              <w:numPr>
                                <w:ilvl w:val="0"/>
                                <w:numId w:val="3"/>
                              </w:numPr>
                              <w:rPr>
                                <w:color w:val="000000"/>
                              </w:rPr>
                            </w:pPr>
                            <w:r>
                              <w:rPr>
                                <w:color w:val="000000"/>
                              </w:rPr>
                              <w:t>Report on trends using the new real denial rate</w:t>
                            </w:r>
                          </w:p>
                          <w:p>
                            <w:pPr>
                              <w:pStyle w:val="FrameContents"/>
                              <w:spacing w:before="0" w:after="160"/>
                              <w:rPr>
                                <w:color w:val="000000"/>
                              </w:rPr>
                            </w:pPr>
                            <w:r>
                              <w:rPr>
                                <w:color w:val="000000"/>
                              </w:rPr>
                            </w:r>
                          </w:p>
                          <w:p>
                            <w:pPr>
                              <w:pStyle w:val="FrameContents"/>
                              <w:spacing w:before="0" w:after="160"/>
                              <w:rPr>
                                <w:color w:val="000000"/>
                              </w:rPr>
                            </w:pPr>
                            <w:r>
                              <w:rPr>
                                <w:color w:val="000000"/>
                              </w:rPr>
                            </w:r>
                          </w:p>
                        </w:txbxContent>
                      </wps:txbx>
                      <wps:bodyPr anchor="t">
                        <a:spAutoFit/>
                      </wps:bodyPr>
                    </wps:wsp>
                  </a:graphicData>
                </a:graphic>
                <wp14:sizeRelV relativeFrom="margin">
                  <wp14:pctHeight>20000</wp14:pctHeight>
                </wp14:sizeRelV>
              </wp:anchor>
            </w:drawing>
          </mc:Choice>
          <mc:Fallback>
            <w:pict>
              <v:rect id="shape_0" ID="Text Box 2" path="m0,0l-2147483645,0l-2147483645,-2147483646l0,-2147483646xe" fillcolor="white" stroked="t" o:allowincell="f" style="position:absolute;margin-left:0pt;margin-top:140.9pt;width:453.55pt;height:110.5pt;mso-wrap-style:square;v-text-anchor:top;mso-position-horizontal-relative:margin" wp14:anchorId="600B1037">
                <v:fill o:detectmouseclick="t" type="solid" color2="black"/>
                <v:stroke color="black" weight="9360" joinstyle="miter" endcap="flat"/>
                <v:textbox>
                  <w:txbxContent>
                    <w:p>
                      <w:pPr>
                        <w:pStyle w:val="FrameContents"/>
                        <w:numPr>
                          <w:ilvl w:val="0"/>
                          <w:numId w:val="3"/>
                        </w:numPr>
                        <w:rPr>
                          <w:color w:val="000000"/>
                        </w:rPr>
                      </w:pPr>
                      <w:r>
                        <w:rPr>
                          <w:color w:val="000000"/>
                        </w:rPr>
                        <w:t>Cleaned and formatted HMDA data for the years 2018-2021</w:t>
                      </w:r>
                    </w:p>
                    <w:p>
                      <w:pPr>
                        <w:pStyle w:val="FrameContents"/>
                        <w:numPr>
                          <w:ilvl w:val="0"/>
                          <w:numId w:val="3"/>
                        </w:numPr>
                        <w:rPr>
                          <w:color w:val="000000"/>
                        </w:rPr>
                      </w:pPr>
                      <w:r>
                        <w:rPr>
                          <w:color w:val="000000"/>
                        </w:rPr>
                        <w:t>A new method, algorithm, for calculating a real denial rate using only HMDA data</w:t>
                      </w:r>
                    </w:p>
                    <w:p>
                      <w:pPr>
                        <w:pStyle w:val="FrameContents"/>
                        <w:numPr>
                          <w:ilvl w:val="0"/>
                          <w:numId w:val="3"/>
                        </w:numPr>
                        <w:rPr>
                          <w:color w:val="000000"/>
                        </w:rPr>
                      </w:pPr>
                      <w:r>
                        <w:rPr>
                          <w:color w:val="000000"/>
                        </w:rPr>
                        <w:t>Report on trends using the new real denial rate</w:t>
                      </w:r>
                    </w:p>
                    <w:p>
                      <w:pPr>
                        <w:pStyle w:val="FrameContents"/>
                        <w:spacing w:before="0" w:after="160"/>
                        <w:rPr>
                          <w:color w:val="000000"/>
                        </w:rPr>
                      </w:pPr>
                      <w:r>
                        <w:rPr>
                          <w:color w:val="000000"/>
                        </w:rPr>
                      </w:r>
                    </w:p>
                    <w:p>
                      <w:pPr>
                        <w:pStyle w:val="FrameContents"/>
                        <w:spacing w:before="0" w:after="160"/>
                        <w:rPr>
                          <w:color w:val="000000"/>
                        </w:rPr>
                      </w:pPr>
                      <w:r>
                        <w:rPr>
                          <w:color w:val="000000"/>
                        </w:rPr>
                      </w:r>
                    </w:p>
                  </w:txbxContent>
                </v:textbox>
                <w10:wrap type="square"/>
              </v:rect>
            </w:pict>
          </mc:Fallback>
        </mc:AlternateContent>
      </w:r>
      <w:r>
        <w:rPr>
          <w:b/>
          <w:color w:val="002060"/>
        </w:rPr>
        <w:t>Key Deliverables</w:t>
      </w:r>
    </w:p>
    <w:p>
      <w:pPr>
        <w:pStyle w:val="Normal"/>
        <w:rPr>
          <w:b/>
          <w:b/>
        </w:rPr>
      </w:pPr>
      <w:r>
        <w:rPr>
          <w:b/>
        </w:rPr>
      </w:r>
    </w:p>
    <w:p>
      <w:pPr>
        <w:pStyle w:val="Normal"/>
        <w:rPr>
          <w:b/>
          <w:b/>
          <w:color w:val="002060"/>
        </w:rPr>
      </w:pPr>
      <w:r>
        <w:rPr>
          <w:b/>
          <w:color w:val="002060"/>
        </w:rPr>
        <w:t>High</w:t>
      </w:r>
      <w:r>
        <w:rPr>
          <w:b/>
        </w:rPr>
        <w:t>-</w:t>
      </w:r>
      <w:r>
        <w:rPr>
          <w:b/>
          <w:color w:val="002060"/>
        </w:rPr>
        <w:t>Level Timescale</w:t>
      </w:r>
    </w:p>
    <w:p>
      <w:pPr>
        <w:pStyle w:val="Normal"/>
        <w:rPr/>
      </w:pPr>
      <w:r>
        <mc:AlternateContent>
          <mc:Choice Requires="wpg">
            <w:drawing>
              <wp:anchor behindDoc="0" distT="0" distB="0" distL="114300" distR="114300" simplePos="0" locked="0" layoutInCell="0" allowOverlap="1" relativeHeight="10">
                <wp:simplePos x="0" y="0"/>
                <wp:positionH relativeFrom="margin">
                  <wp:align>right</wp:align>
                </wp:positionH>
                <wp:positionV relativeFrom="paragraph">
                  <wp:posOffset>325120</wp:posOffset>
                </wp:positionV>
                <wp:extent cx="5724525" cy="998220"/>
                <wp:effectExtent l="0" t="0" r="0" b="0"/>
                <wp:wrapTopAndBottom/>
                <wp:docPr id="13" name="Diagram13"/>
                <a:graphic xmlns:a="http://schemas.openxmlformats.org/drawingml/2006/main">
                  <a:graphicData uri="http://schemas.microsoft.com/office/word/2010/wordprocessingGroup">
                    <wpg:wgp>
                      <wpg:cNvGrpSpPr/>
                      <wpg:grpSpPr>
                        <a:xfrm>
                          <a:off x="0" y="0"/>
                          <a:ext cx="5724360" cy="998280"/>
                          <a:chOff x="0" y="0"/>
                          <a:chExt cx="5724360" cy="998280"/>
                        </a:xfrm>
                      </wpg:grpSpPr>
                      <pic:pic xmlns:pic="http://schemas.openxmlformats.org/drawingml/2006/picture">
                        <pic:nvPicPr>
                          <pic:cNvPr id="0" name="RenderedShapes" descr=""/>
                          <pic:cNvPicPr/>
                        </pic:nvPicPr>
                        <pic:blipFill>
                          <a:blip r:embed="rId2"/>
                          <a:stretch/>
                        </pic:blipFill>
                        <pic:spPr>
                          <a:xfrm>
                            <a:off x="0" y="0"/>
                            <a:ext cx="5724360" cy="998280"/>
                          </a:xfrm>
                          <a:prstGeom prst="rect">
                            <a:avLst/>
                          </a:prstGeom>
                          <a:ln w="0">
                            <a:noFill/>
                          </a:ln>
                        </pic:spPr>
                      </pic:pic>
                    </wpg:wgp>
                  </a:graphicData>
                </a:graphic>
              </wp:anchor>
            </w:drawing>
          </mc:Choice>
          <mc:Fallback>
            <w:pict>
              <v:group id="shape_0" alt="Diagram13" style="position:absolute;margin-left:-8.5pt;margin-top:25.6pt;width:450.75pt;height:78.6pt" coordorigin="-170,512" coordsize="9015,15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RenderedShapes" stroked="f" o:allowincell="f" style="position:absolute;left:-170;top:512;width:9014;height:1571;mso-wrap-style:none;v-text-anchor:middle;mso-position-horizontal:right;mso-position-horizontal-relative:margin" type="_x0000_t75">
                  <v:imagedata r:id="rId3" o:detectmouseclick="t"/>
                  <v:stroke color="#3465a4" joinstyle="round" endcap="flat"/>
                  <w10:wrap type="topAndBottom"/>
                </v:shape>
              </v:group>
            </w:pict>
          </mc:Fallback>
        </mc:AlternateContent>
      </w:r>
      <w:r>
        <w:rPr/>
        <w:t>&lt;Use the diagram below to identify your key milestones.&gt;</w:t>
      </w:r>
    </w:p>
    <w:p>
      <w:pPr>
        <w:pStyle w:val="Normal"/>
        <w:rPr/>
      </w:pPr>
      <w:r>
        <w:rPr/>
        <w:t>Milestone 1: Raw data from 2018-2021 is cleaned and formatted properly for better data analysis.</w:t>
      </w:r>
    </w:p>
    <w:p>
      <w:pPr>
        <w:pStyle w:val="Normal"/>
        <w:rPr/>
      </w:pPr>
      <w:r>
        <w:rPr/>
        <w:t>Milestone 2: A new real denial rate algorithm is formulated.</w:t>
      </w:r>
    </w:p>
    <w:p>
      <w:pPr>
        <w:pStyle w:val="Normal"/>
        <w:rPr/>
      </w:pPr>
      <w:r>
        <w:rPr/>
        <w:t>Milestone 3: Furthere analysis on HMDA data is done over the period of 2014-2021 using the new real denial rate to look for trends in the data and answer proposed research questions.</w:t>
      </w:r>
    </w:p>
    <w:p>
      <w:pPr>
        <w:pStyle w:val="Normal"/>
        <w:rPr/>
      </w:pPr>
      <w:r>
        <w:rPr/>
        <w:t>Milestone 4: Compile research findings in a paper and present.</w:t>
      </w:r>
    </w:p>
    <w:p>
      <w:pPr>
        <w:pStyle w:val="Normal"/>
        <w:rPr>
          <w:b/>
          <w:b/>
          <w:color w:val="002060"/>
        </w:rPr>
      </w:pPr>
      <w:r>
        <w:rPr>
          <w:b/>
          <w:color w:val="002060"/>
        </w:rPr>
      </w:r>
    </w:p>
    <w:p>
      <w:pPr>
        <w:pStyle w:val="Normal"/>
        <w:rPr>
          <w:b/>
          <w:b/>
          <w:color w:val="002060"/>
        </w:rPr>
      </w:pPr>
      <w:r>
        <w:rPr>
          <w:b/>
          <w:color w:val="002060"/>
        </w:rPr>
        <mc:AlternateContent>
          <mc:Choice Requires="wps">
            <w:drawing>
              <wp:anchor behindDoc="0" distT="40640" distB="52705" distL="0" distR="131445" simplePos="0" locked="0" layoutInCell="0" allowOverlap="1" relativeHeight="13" wp14:anchorId="67BC82ED">
                <wp:simplePos x="0" y="0"/>
                <wp:positionH relativeFrom="margin">
                  <wp:align>left</wp:align>
                </wp:positionH>
                <wp:positionV relativeFrom="paragraph">
                  <wp:posOffset>66040</wp:posOffset>
                </wp:positionV>
                <wp:extent cx="5768340" cy="260985"/>
                <wp:effectExtent l="0" t="5715" r="5080" b="4445"/>
                <wp:wrapSquare wrapText="bothSides"/>
                <wp:docPr id="14" name="Text Box 2"/>
                <a:graphic xmlns:a="http://schemas.openxmlformats.org/drawingml/2006/main">
                  <a:graphicData uri="http://schemas.microsoft.com/office/word/2010/wordprocessingShape">
                    <wps:wsp>
                      <wps:cNvSpPr/>
                      <wps:spPr>
                        <a:xfrm>
                          <a:off x="0" y="0"/>
                          <a:ext cx="5768280" cy="26100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before="0" w:after="160"/>
                              <w:rPr>
                                <w:color w:val="000000"/>
                              </w:rPr>
                            </w:pPr>
                            <w:r>
                              <w:rPr>
                                <w:color w:val="000000"/>
                              </w:rPr>
                              <w:t>There will not be any constraints to this project.</w:t>
                            </w:r>
                          </w:p>
                        </w:txbxContent>
                      </wps:txbx>
                      <wps:bodyPr anchor="t">
                        <a:spAutoFit/>
                      </wps:bodyPr>
                    </wps:wsp>
                  </a:graphicData>
                </a:graphic>
                <wp14:sizeRelV relativeFrom="margin">
                  <wp14:pctHeight>20000</wp14:pctHeight>
                </wp14:sizeRelV>
              </wp:anchor>
            </w:drawing>
          </mc:Choice>
          <mc:Fallback>
            <w:pict>
              <v:rect id="shape_0" ID="Text Box 2" path="m0,0l-2147483645,0l-2147483645,-2147483646l0,-2147483646xe" fillcolor="white" stroked="t" o:allowincell="f" style="position:absolute;margin-left:-0.4pt;margin-top:5.2pt;width:454.15pt;height:20.5pt;mso-wrap-style:square;v-text-anchor:top;mso-position-horizontal:left;mso-position-horizontal-relative:margin" wp14:anchorId="67BC82ED">
                <v:fill o:detectmouseclick="t" type="solid" color2="black"/>
                <v:stroke color="black" weight="9360" joinstyle="miter" endcap="flat"/>
                <v:textbox>
                  <w:txbxContent>
                    <w:p>
                      <w:pPr>
                        <w:pStyle w:val="FrameContents"/>
                        <w:spacing w:before="0" w:after="160"/>
                        <w:rPr>
                          <w:color w:val="000000"/>
                        </w:rPr>
                      </w:pPr>
                      <w:r>
                        <w:rPr>
                          <w:color w:val="000000"/>
                        </w:rPr>
                        <w:t>There will not be any constraints to this project.</w:t>
                      </w:r>
                    </w:p>
                  </w:txbxContent>
                </v:textbox>
                <w10:wrap type="square"/>
              </v:rect>
            </w:pict>
          </mc:Fallback>
        </mc:AlternateContent>
      </w:r>
    </w:p>
    <w:p>
      <w:pPr>
        <w:pStyle w:val="Normal"/>
        <w:rPr>
          <w:b/>
          <w:b/>
          <w:color w:val="002060"/>
        </w:rPr>
      </w:pPr>
      <w:r>
        <w:rPr>
          <w:b/>
          <w:color w:val="002060"/>
        </w:rPr>
        <w:t>High-Level Budget</w:t>
      </w:r>
    </w:p>
    <w:p>
      <w:pPr>
        <w:pStyle w:val="Normal"/>
        <w:rPr/>
      </w:pPr>
      <w:r>
        <w:rPr/>
        <w:t>There is no need for budget for this research project. Much of the work will be done on campus and on the Titan computer for large data analysis.</w:t>
      </w:r>
    </w:p>
    <w:p>
      <w:pPr>
        <w:pStyle w:val="Normal"/>
        <w:rPr>
          <w:b/>
          <w:b/>
          <w:color w:val="002060"/>
        </w:rPr>
      </w:pPr>
      <w:r>
        <w:rPr>
          <w:b/>
          <w:color w:val="002060"/>
        </w:rPr>
        <w:t>Key Project Assumptions</w:t>
      </w:r>
    </w:p>
    <w:p>
      <w:pPr>
        <w:pStyle w:val="Normal"/>
        <w:rPr/>
      </w:pPr>
      <w:r>
        <w:rPr/>
        <w:t>&lt;Outline key project assumptions which can impact the project if proven false.&gt;</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04"/>
        <w:gridCol w:w="3804"/>
        <w:gridCol w:w="2254"/>
        <w:gridCol w:w="2253"/>
      </w:tblGrid>
      <w:tr>
        <w:trPr/>
        <w:tc>
          <w:tcPr>
            <w:tcW w:w="704" w:type="dxa"/>
            <w:tcBorders/>
          </w:tcPr>
          <w:p>
            <w:pPr>
              <w:pStyle w:val="Normal"/>
              <w:widowControl w:val="false"/>
              <w:suppressAutoHyphens w:val="true"/>
              <w:spacing w:lineRule="auto" w:line="240" w:before="0" w:after="0"/>
              <w:jc w:val="left"/>
              <w:rPr>
                <w:b/>
                <w:b/>
              </w:rPr>
            </w:pPr>
            <w:r>
              <w:rPr>
                <w:rFonts w:eastAsia="Calibri" w:cs=""/>
                <w:b/>
                <w:kern w:val="0"/>
                <w:sz w:val="22"/>
                <w:szCs w:val="22"/>
                <w:lang w:val="en-GB" w:eastAsia="en-US" w:bidi="ar-SA"/>
              </w:rPr>
              <w:t>ID</w:t>
            </w:r>
          </w:p>
        </w:tc>
        <w:tc>
          <w:tcPr>
            <w:tcW w:w="3804" w:type="dxa"/>
            <w:tcBorders/>
          </w:tcPr>
          <w:p>
            <w:pPr>
              <w:pStyle w:val="Normal"/>
              <w:widowControl w:val="false"/>
              <w:suppressAutoHyphens w:val="true"/>
              <w:spacing w:lineRule="auto" w:line="240" w:before="0" w:after="0"/>
              <w:jc w:val="left"/>
              <w:rPr>
                <w:b/>
                <w:b/>
              </w:rPr>
            </w:pPr>
            <w:r>
              <w:rPr>
                <w:rFonts w:eastAsia="Calibri" w:cs=""/>
                <w:b/>
                <w:kern w:val="0"/>
                <w:sz w:val="22"/>
                <w:szCs w:val="22"/>
                <w:lang w:val="en-GB" w:eastAsia="en-US" w:bidi="ar-SA"/>
              </w:rPr>
              <w:t>Assumption</w:t>
            </w:r>
          </w:p>
        </w:tc>
        <w:tc>
          <w:tcPr>
            <w:tcW w:w="2254" w:type="dxa"/>
            <w:tcBorders/>
          </w:tcPr>
          <w:p>
            <w:pPr>
              <w:pStyle w:val="Normal"/>
              <w:widowControl w:val="false"/>
              <w:suppressAutoHyphens w:val="true"/>
              <w:spacing w:lineRule="auto" w:line="240" w:before="0" w:after="0"/>
              <w:jc w:val="left"/>
              <w:rPr>
                <w:b/>
                <w:b/>
              </w:rPr>
            </w:pPr>
            <w:r>
              <w:rPr>
                <w:rFonts w:eastAsia="Calibri" w:cs=""/>
                <w:b/>
                <w:kern w:val="0"/>
                <w:sz w:val="22"/>
                <w:szCs w:val="22"/>
                <w:lang w:val="en-GB" w:eastAsia="en-US" w:bidi="ar-SA"/>
              </w:rPr>
              <w:t>Importance</w:t>
            </w:r>
          </w:p>
        </w:tc>
        <w:tc>
          <w:tcPr>
            <w:tcW w:w="2253" w:type="dxa"/>
            <w:tcBorders/>
          </w:tcPr>
          <w:p>
            <w:pPr>
              <w:pStyle w:val="Normal"/>
              <w:widowControl w:val="false"/>
              <w:suppressAutoHyphens w:val="true"/>
              <w:spacing w:lineRule="auto" w:line="240" w:before="0" w:after="0"/>
              <w:jc w:val="left"/>
              <w:rPr>
                <w:b/>
                <w:b/>
              </w:rPr>
            </w:pPr>
            <w:r>
              <w:rPr>
                <w:rFonts w:eastAsia="Calibri" w:cs=""/>
                <w:b/>
                <w:kern w:val="0"/>
                <w:sz w:val="22"/>
                <w:szCs w:val="22"/>
                <w:lang w:val="en-GB" w:eastAsia="en-US" w:bidi="ar-SA"/>
              </w:rPr>
              <w:t>Impact if false</w:t>
            </w:r>
          </w:p>
        </w:tc>
      </w:tr>
      <w:tr>
        <w:trPr/>
        <w:tc>
          <w:tcPr>
            <w:tcW w:w="70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1</w:t>
            </w:r>
          </w:p>
        </w:tc>
        <w:tc>
          <w:tcPr>
            <w:tcW w:w="380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Publicly available HMDA dataset is sufficient in formulating a new denial rate</w:t>
            </w:r>
          </w:p>
        </w:tc>
        <w:tc>
          <w:tcPr>
            <w:tcW w:w="225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High</w:t>
            </w:r>
          </w:p>
        </w:tc>
        <w:tc>
          <w:tcPr>
            <w:tcW w:w="2253"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High impact</w:t>
            </w:r>
          </w:p>
        </w:tc>
      </w:tr>
      <w:tr>
        <w:trPr/>
        <w:tc>
          <w:tcPr>
            <w:tcW w:w="70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tc>
        <w:tc>
          <w:tcPr>
            <w:tcW w:w="380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tc>
        <w:tc>
          <w:tcPr>
            <w:tcW w:w="225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tc>
        <w:tc>
          <w:tcPr>
            <w:tcW w:w="2253"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tc>
      </w:tr>
      <w:tr>
        <w:trPr/>
        <w:tc>
          <w:tcPr>
            <w:tcW w:w="70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tc>
        <w:tc>
          <w:tcPr>
            <w:tcW w:w="380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tc>
        <w:tc>
          <w:tcPr>
            <w:tcW w:w="225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tc>
        <w:tc>
          <w:tcPr>
            <w:tcW w:w="2253"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tc>
      </w:tr>
    </w:tbl>
    <w:p>
      <w:pPr>
        <w:pStyle w:val="Normal"/>
        <w:rPr/>
      </w:pPr>
      <w:r>
        <w:rPr/>
      </w:r>
    </w:p>
    <w:p>
      <w:pPr>
        <w:pStyle w:val="Normal"/>
        <w:rPr>
          <w:b/>
          <w:b/>
          <w:color w:val="002060"/>
        </w:rPr>
      </w:pPr>
      <w:r>
        <w:rPr>
          <w:b/>
          <w:color w:val="002060"/>
        </w:rPr>
        <w:t>Key Project Risks</w:t>
      </w:r>
    </w:p>
    <w:p>
      <w:pPr>
        <w:pStyle w:val="Normal"/>
        <w:rPr/>
      </w:pPr>
      <w:r>
        <w:rPr/>
        <w:t>&lt;Outline key project risks which can impact the project if they materialize.&gt;</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04"/>
        <w:gridCol w:w="3116"/>
        <w:gridCol w:w="1274"/>
        <w:gridCol w:w="1136"/>
        <w:gridCol w:w="2786"/>
      </w:tblGrid>
      <w:tr>
        <w:trPr/>
        <w:tc>
          <w:tcPr>
            <w:tcW w:w="704" w:type="dxa"/>
            <w:tcBorders/>
          </w:tcPr>
          <w:p>
            <w:pPr>
              <w:pStyle w:val="Normal"/>
              <w:widowControl w:val="false"/>
              <w:suppressAutoHyphens w:val="true"/>
              <w:spacing w:lineRule="auto" w:line="240" w:before="0" w:after="0"/>
              <w:jc w:val="left"/>
              <w:rPr>
                <w:b/>
                <w:b/>
              </w:rPr>
            </w:pPr>
            <w:r>
              <w:rPr>
                <w:rFonts w:eastAsia="Calibri" w:cs=""/>
                <w:b/>
                <w:kern w:val="0"/>
                <w:sz w:val="22"/>
                <w:szCs w:val="22"/>
                <w:lang w:val="en-GB" w:eastAsia="en-US" w:bidi="ar-SA"/>
              </w:rPr>
              <w:t>ID</w:t>
            </w:r>
          </w:p>
        </w:tc>
        <w:tc>
          <w:tcPr>
            <w:tcW w:w="3116" w:type="dxa"/>
            <w:tcBorders/>
          </w:tcPr>
          <w:p>
            <w:pPr>
              <w:pStyle w:val="Normal"/>
              <w:widowControl w:val="false"/>
              <w:suppressAutoHyphens w:val="true"/>
              <w:spacing w:lineRule="auto" w:line="240" w:before="0" w:after="0"/>
              <w:jc w:val="left"/>
              <w:rPr>
                <w:b/>
                <w:b/>
              </w:rPr>
            </w:pPr>
            <w:r>
              <w:rPr>
                <w:rFonts w:eastAsia="Calibri" w:cs=""/>
                <w:b/>
                <w:kern w:val="0"/>
                <w:sz w:val="22"/>
                <w:szCs w:val="22"/>
                <w:lang w:val="en-GB" w:eastAsia="en-US" w:bidi="ar-SA"/>
              </w:rPr>
              <w:t>Risk</w:t>
            </w:r>
          </w:p>
        </w:tc>
        <w:tc>
          <w:tcPr>
            <w:tcW w:w="1274" w:type="dxa"/>
            <w:tcBorders/>
          </w:tcPr>
          <w:p>
            <w:pPr>
              <w:pStyle w:val="Normal"/>
              <w:widowControl w:val="false"/>
              <w:suppressAutoHyphens w:val="true"/>
              <w:spacing w:lineRule="auto" w:line="240" w:before="0" w:after="0"/>
              <w:jc w:val="left"/>
              <w:rPr>
                <w:b/>
                <w:b/>
              </w:rPr>
            </w:pPr>
            <w:r>
              <w:rPr>
                <w:rFonts w:eastAsia="Calibri" w:cs=""/>
                <w:b/>
                <w:kern w:val="0"/>
                <w:sz w:val="22"/>
                <w:szCs w:val="22"/>
                <w:lang w:val="en-GB" w:eastAsia="en-US" w:bidi="ar-SA"/>
              </w:rPr>
              <w:t>Probability</w:t>
            </w:r>
          </w:p>
        </w:tc>
        <w:tc>
          <w:tcPr>
            <w:tcW w:w="1136" w:type="dxa"/>
            <w:tcBorders/>
          </w:tcPr>
          <w:p>
            <w:pPr>
              <w:pStyle w:val="Normal"/>
              <w:widowControl w:val="false"/>
              <w:suppressAutoHyphens w:val="true"/>
              <w:spacing w:lineRule="auto" w:line="240" w:before="0" w:after="0"/>
              <w:jc w:val="left"/>
              <w:rPr>
                <w:b/>
                <w:b/>
              </w:rPr>
            </w:pPr>
            <w:r>
              <w:rPr>
                <w:rFonts w:eastAsia="Calibri" w:cs=""/>
                <w:b/>
                <w:kern w:val="0"/>
                <w:sz w:val="22"/>
                <w:szCs w:val="22"/>
                <w:lang w:val="en-GB" w:eastAsia="en-US" w:bidi="ar-SA"/>
              </w:rPr>
              <w:t>Impact</w:t>
            </w:r>
          </w:p>
        </w:tc>
        <w:tc>
          <w:tcPr>
            <w:tcW w:w="2786" w:type="dxa"/>
            <w:tcBorders/>
          </w:tcPr>
          <w:p>
            <w:pPr>
              <w:pStyle w:val="Normal"/>
              <w:widowControl w:val="false"/>
              <w:suppressAutoHyphens w:val="true"/>
              <w:spacing w:lineRule="auto" w:line="240" w:before="0" w:after="0"/>
              <w:jc w:val="left"/>
              <w:rPr>
                <w:b/>
                <w:b/>
              </w:rPr>
            </w:pPr>
            <w:r>
              <w:rPr>
                <w:rFonts w:eastAsia="Calibri" w:cs=""/>
                <w:b/>
                <w:kern w:val="0"/>
                <w:sz w:val="22"/>
                <w:szCs w:val="22"/>
                <w:lang w:val="en-GB" w:eastAsia="en-US" w:bidi="ar-SA"/>
              </w:rPr>
              <w:t>Mitigation</w:t>
            </w:r>
          </w:p>
        </w:tc>
      </w:tr>
      <w:tr>
        <w:trPr/>
        <w:tc>
          <w:tcPr>
            <w:tcW w:w="704" w:type="dxa"/>
            <w:tcBorders/>
          </w:tcPr>
          <w:p>
            <w:pPr>
              <w:pStyle w:val="Normal"/>
              <w:widowControl w:val="false"/>
              <w:suppressAutoHyphens w:val="true"/>
              <w:spacing w:lineRule="auto" w:line="240" w:before="0" w:after="0"/>
              <w:jc w:val="left"/>
              <w:rPr>
                <w:color w:val="002060"/>
              </w:rPr>
            </w:pPr>
            <w:r>
              <w:rPr>
                <w:color w:val="002060"/>
              </w:rPr>
              <w:t>1</w:t>
            </w:r>
          </w:p>
        </w:tc>
        <w:tc>
          <w:tcPr>
            <w:tcW w:w="3116" w:type="dxa"/>
            <w:tcBorders/>
          </w:tcPr>
          <w:p>
            <w:pPr>
              <w:pStyle w:val="Normal"/>
              <w:widowControl w:val="false"/>
              <w:suppressAutoHyphens w:val="true"/>
              <w:spacing w:lineRule="auto" w:line="240" w:before="0" w:after="0"/>
              <w:jc w:val="left"/>
              <w:rPr>
                <w:color w:val="002060"/>
              </w:rPr>
            </w:pPr>
            <w:r>
              <w:rPr>
                <w:color w:val="002060"/>
              </w:rPr>
              <w:t>Dataset is large and could get corrupted due to poor handling</w:t>
            </w:r>
          </w:p>
        </w:tc>
        <w:tc>
          <w:tcPr>
            <w:tcW w:w="1274" w:type="dxa"/>
            <w:tcBorders/>
          </w:tcPr>
          <w:p>
            <w:pPr>
              <w:pStyle w:val="Normal"/>
              <w:widowControl w:val="false"/>
              <w:suppressAutoHyphens w:val="true"/>
              <w:spacing w:lineRule="auto" w:line="240" w:before="0" w:after="0"/>
              <w:jc w:val="left"/>
              <w:rPr>
                <w:color w:val="002060"/>
              </w:rPr>
            </w:pPr>
            <w:r>
              <w:rPr>
                <w:color w:val="002060"/>
              </w:rPr>
              <w:t>Low</w:t>
            </w:r>
          </w:p>
        </w:tc>
        <w:tc>
          <w:tcPr>
            <w:tcW w:w="1136" w:type="dxa"/>
            <w:tcBorders/>
          </w:tcPr>
          <w:p>
            <w:pPr>
              <w:pStyle w:val="Normal"/>
              <w:widowControl w:val="false"/>
              <w:suppressAutoHyphens w:val="true"/>
              <w:spacing w:lineRule="auto" w:line="240" w:before="0" w:after="0"/>
              <w:jc w:val="left"/>
              <w:rPr>
                <w:color w:val="002060"/>
              </w:rPr>
            </w:pPr>
            <w:r>
              <w:rPr>
                <w:color w:val="002060"/>
              </w:rPr>
              <w:t>Medium</w:t>
            </w:r>
          </w:p>
        </w:tc>
        <w:tc>
          <w:tcPr>
            <w:tcW w:w="2786" w:type="dxa"/>
            <w:tcBorders/>
          </w:tcPr>
          <w:p>
            <w:pPr>
              <w:pStyle w:val="Normal"/>
              <w:widowControl w:val="false"/>
              <w:suppressAutoHyphens w:val="true"/>
              <w:spacing w:lineRule="auto" w:line="240" w:before="0" w:after="0"/>
              <w:jc w:val="left"/>
              <w:rPr>
                <w:color w:val="002060"/>
              </w:rPr>
            </w:pPr>
            <w:r>
              <w:rPr>
                <w:color w:val="002060"/>
              </w:rPr>
              <w:t>Can always obtain same dataset as it is publicly available</w:t>
            </w:r>
          </w:p>
        </w:tc>
      </w:tr>
      <w:tr>
        <w:trPr/>
        <w:tc>
          <w:tcPr>
            <w:tcW w:w="704" w:type="dxa"/>
            <w:tcBorders/>
          </w:tcPr>
          <w:p>
            <w:pPr>
              <w:pStyle w:val="Normal"/>
              <w:widowControl w:val="false"/>
              <w:suppressAutoHyphens w:val="true"/>
              <w:spacing w:lineRule="auto" w:line="240" w:before="0" w:after="0"/>
              <w:jc w:val="left"/>
              <w:rPr>
                <w:color w:val="002060"/>
              </w:rPr>
            </w:pPr>
            <w:r>
              <w:rPr>
                <w:color w:val="002060"/>
              </w:rPr>
            </w:r>
          </w:p>
        </w:tc>
        <w:tc>
          <w:tcPr>
            <w:tcW w:w="3116" w:type="dxa"/>
            <w:tcBorders/>
          </w:tcPr>
          <w:p>
            <w:pPr>
              <w:pStyle w:val="Normal"/>
              <w:widowControl w:val="false"/>
              <w:suppressAutoHyphens w:val="true"/>
              <w:spacing w:lineRule="auto" w:line="240" w:before="0" w:after="0"/>
              <w:jc w:val="left"/>
              <w:rPr>
                <w:color w:val="002060"/>
              </w:rPr>
            </w:pPr>
            <w:r>
              <w:rPr>
                <w:color w:val="002060"/>
              </w:rPr>
            </w:r>
          </w:p>
        </w:tc>
        <w:tc>
          <w:tcPr>
            <w:tcW w:w="1274" w:type="dxa"/>
            <w:tcBorders/>
          </w:tcPr>
          <w:p>
            <w:pPr>
              <w:pStyle w:val="Normal"/>
              <w:widowControl w:val="false"/>
              <w:suppressAutoHyphens w:val="true"/>
              <w:spacing w:lineRule="auto" w:line="240" w:before="0" w:after="0"/>
              <w:jc w:val="left"/>
              <w:rPr>
                <w:color w:val="002060"/>
              </w:rPr>
            </w:pPr>
            <w:r>
              <w:rPr>
                <w:color w:val="002060"/>
              </w:rPr>
            </w:r>
          </w:p>
        </w:tc>
        <w:tc>
          <w:tcPr>
            <w:tcW w:w="1136" w:type="dxa"/>
            <w:tcBorders/>
          </w:tcPr>
          <w:p>
            <w:pPr>
              <w:pStyle w:val="Normal"/>
              <w:widowControl w:val="false"/>
              <w:suppressAutoHyphens w:val="true"/>
              <w:spacing w:lineRule="auto" w:line="240" w:before="0" w:after="0"/>
              <w:jc w:val="left"/>
              <w:rPr>
                <w:color w:val="002060"/>
              </w:rPr>
            </w:pPr>
            <w:r>
              <w:rPr>
                <w:color w:val="002060"/>
              </w:rPr>
            </w:r>
          </w:p>
        </w:tc>
        <w:tc>
          <w:tcPr>
            <w:tcW w:w="2786" w:type="dxa"/>
            <w:tcBorders/>
          </w:tcPr>
          <w:p>
            <w:pPr>
              <w:pStyle w:val="Normal"/>
              <w:widowControl w:val="false"/>
              <w:suppressAutoHyphens w:val="true"/>
              <w:spacing w:lineRule="auto" w:line="240" w:before="0" w:after="0"/>
              <w:jc w:val="left"/>
              <w:rPr>
                <w:color w:val="002060"/>
              </w:rPr>
            </w:pPr>
            <w:r>
              <w:rPr>
                <w:color w:val="002060"/>
              </w:rPr>
            </w:r>
          </w:p>
        </w:tc>
      </w:tr>
      <w:tr>
        <w:trPr/>
        <w:tc>
          <w:tcPr>
            <w:tcW w:w="704" w:type="dxa"/>
            <w:tcBorders/>
          </w:tcPr>
          <w:p>
            <w:pPr>
              <w:pStyle w:val="Normal"/>
              <w:widowControl w:val="false"/>
              <w:suppressAutoHyphens w:val="true"/>
              <w:spacing w:lineRule="auto" w:line="240" w:before="0" w:after="0"/>
              <w:jc w:val="left"/>
              <w:rPr>
                <w:color w:val="002060"/>
              </w:rPr>
            </w:pPr>
            <w:r>
              <w:rPr>
                <w:color w:val="002060"/>
              </w:rPr>
            </w:r>
          </w:p>
        </w:tc>
        <w:tc>
          <w:tcPr>
            <w:tcW w:w="3116" w:type="dxa"/>
            <w:tcBorders/>
          </w:tcPr>
          <w:p>
            <w:pPr>
              <w:pStyle w:val="Normal"/>
              <w:widowControl w:val="false"/>
              <w:suppressAutoHyphens w:val="true"/>
              <w:spacing w:lineRule="auto" w:line="240" w:before="0" w:after="0"/>
              <w:jc w:val="left"/>
              <w:rPr>
                <w:color w:val="002060"/>
              </w:rPr>
            </w:pPr>
            <w:r>
              <w:rPr>
                <w:color w:val="002060"/>
              </w:rPr>
            </w:r>
          </w:p>
        </w:tc>
        <w:tc>
          <w:tcPr>
            <w:tcW w:w="1274" w:type="dxa"/>
            <w:tcBorders/>
          </w:tcPr>
          <w:p>
            <w:pPr>
              <w:pStyle w:val="Normal"/>
              <w:widowControl w:val="false"/>
              <w:suppressAutoHyphens w:val="true"/>
              <w:spacing w:lineRule="auto" w:line="240" w:before="0" w:after="0"/>
              <w:jc w:val="left"/>
              <w:rPr>
                <w:color w:val="002060"/>
              </w:rPr>
            </w:pPr>
            <w:r>
              <w:rPr>
                <w:color w:val="002060"/>
              </w:rPr>
            </w:r>
          </w:p>
        </w:tc>
        <w:tc>
          <w:tcPr>
            <w:tcW w:w="1136" w:type="dxa"/>
            <w:tcBorders/>
          </w:tcPr>
          <w:p>
            <w:pPr>
              <w:pStyle w:val="Normal"/>
              <w:widowControl w:val="false"/>
              <w:suppressAutoHyphens w:val="true"/>
              <w:spacing w:lineRule="auto" w:line="240" w:before="0" w:after="0"/>
              <w:jc w:val="left"/>
              <w:rPr>
                <w:color w:val="002060"/>
              </w:rPr>
            </w:pPr>
            <w:r>
              <w:rPr>
                <w:color w:val="002060"/>
              </w:rPr>
            </w:r>
          </w:p>
        </w:tc>
        <w:tc>
          <w:tcPr>
            <w:tcW w:w="2786" w:type="dxa"/>
            <w:tcBorders/>
          </w:tcPr>
          <w:p>
            <w:pPr>
              <w:pStyle w:val="Normal"/>
              <w:widowControl w:val="false"/>
              <w:suppressAutoHyphens w:val="true"/>
              <w:spacing w:lineRule="auto" w:line="240" w:before="0" w:after="0"/>
              <w:jc w:val="left"/>
              <w:rPr>
                <w:color w:val="002060"/>
              </w:rPr>
            </w:pPr>
            <w:r>
              <w:rPr>
                <w:color w:val="002060"/>
              </w:rPr>
            </w:r>
          </w:p>
        </w:tc>
      </w:tr>
    </w:tbl>
    <w:p>
      <w:pPr>
        <w:pStyle w:val="Normal"/>
        <w:rPr>
          <w:b/>
          <w:b/>
          <w:color w:val="002060"/>
        </w:rPr>
      </w:pPr>
      <w:r>
        <w:rPr>
          <w:b/>
          <w:color w:val="002060"/>
        </w:rPr>
      </w:r>
    </w:p>
    <w:p>
      <w:pPr>
        <w:pStyle w:val="Normal"/>
        <w:rPr>
          <w:b/>
          <w:b/>
          <w:color w:val="002060"/>
        </w:rPr>
      </w:pPr>
      <w:r>
        <w:rPr>
          <w:b/>
          <w:color w:val="002060"/>
        </w:rPr>
        <w:t>Success Criteria</w:t>
      </w:r>
    </w:p>
    <w:p>
      <w:pPr>
        <w:pStyle w:val="Normal"/>
        <w:rPr/>
      </w:pPr>
      <w:r>
        <w:rPr/>
        <w:t>&lt;List the criteria on which the success of the project will be measured.&gt;</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04"/>
        <w:gridCol w:w="8311"/>
      </w:tblGrid>
      <w:tr>
        <w:trPr/>
        <w:tc>
          <w:tcPr>
            <w:tcW w:w="704" w:type="dxa"/>
            <w:tcBorders/>
          </w:tcPr>
          <w:p>
            <w:pPr>
              <w:pStyle w:val="Normal"/>
              <w:widowControl w:val="false"/>
              <w:suppressAutoHyphens w:val="true"/>
              <w:spacing w:lineRule="auto" w:line="240" w:before="0" w:after="0"/>
              <w:jc w:val="left"/>
              <w:rPr>
                <w:b/>
                <w:b/>
              </w:rPr>
            </w:pPr>
            <w:r>
              <w:rPr>
                <w:rFonts w:eastAsia="Calibri" w:cs=""/>
                <w:b/>
                <w:kern w:val="0"/>
                <w:sz w:val="22"/>
                <w:szCs w:val="22"/>
                <w:lang w:val="en-GB" w:eastAsia="en-US" w:bidi="ar-SA"/>
              </w:rPr>
              <w:t>ID</w:t>
            </w:r>
          </w:p>
        </w:tc>
        <w:tc>
          <w:tcPr>
            <w:tcW w:w="8311" w:type="dxa"/>
            <w:tcBorders/>
          </w:tcPr>
          <w:p>
            <w:pPr>
              <w:pStyle w:val="Normal"/>
              <w:widowControl w:val="false"/>
              <w:suppressAutoHyphens w:val="true"/>
              <w:spacing w:lineRule="auto" w:line="240" w:before="0" w:after="0"/>
              <w:jc w:val="left"/>
              <w:rPr>
                <w:b/>
                <w:b/>
              </w:rPr>
            </w:pPr>
            <w:r>
              <w:rPr>
                <w:rFonts w:eastAsia="Calibri" w:cs=""/>
                <w:b/>
                <w:kern w:val="0"/>
                <w:sz w:val="22"/>
                <w:szCs w:val="22"/>
                <w:lang w:val="en-GB" w:eastAsia="en-US" w:bidi="ar-SA"/>
              </w:rPr>
              <w:t>Success Criteria</w:t>
            </w:r>
          </w:p>
        </w:tc>
      </w:tr>
      <w:tr>
        <w:trPr/>
        <w:tc>
          <w:tcPr>
            <w:tcW w:w="704" w:type="dxa"/>
            <w:tcBorders/>
          </w:tcPr>
          <w:p>
            <w:pPr>
              <w:pStyle w:val="Normal"/>
              <w:widowControl w:val="false"/>
              <w:suppressAutoHyphens w:val="true"/>
              <w:spacing w:lineRule="auto" w:line="240" w:before="0" w:after="0"/>
              <w:jc w:val="left"/>
              <w:rPr>
                <w:b/>
                <w:b/>
                <w:color w:val="002060"/>
              </w:rPr>
            </w:pPr>
            <w:r>
              <w:rPr>
                <w:b/>
                <w:color w:val="002060"/>
              </w:rPr>
              <w:t>1</w:t>
            </w:r>
          </w:p>
        </w:tc>
        <w:tc>
          <w:tcPr>
            <w:tcW w:w="8311" w:type="dxa"/>
            <w:tcBorders/>
          </w:tcPr>
          <w:p>
            <w:pPr>
              <w:pStyle w:val="Normal"/>
              <w:widowControl w:val="false"/>
              <w:suppressAutoHyphens w:val="true"/>
              <w:spacing w:lineRule="auto" w:line="240" w:before="0" w:after="0"/>
              <w:jc w:val="left"/>
              <w:rPr>
                <w:b/>
                <w:b/>
                <w:color w:val="002060"/>
              </w:rPr>
            </w:pPr>
            <w:r>
              <w:rPr>
                <w:b/>
                <w:color w:val="002060"/>
              </w:rPr>
              <w:t>A new real denial rate using only HMDA data is created</w:t>
            </w:r>
          </w:p>
        </w:tc>
      </w:tr>
      <w:tr>
        <w:trPr/>
        <w:tc>
          <w:tcPr>
            <w:tcW w:w="704" w:type="dxa"/>
            <w:tcBorders/>
          </w:tcPr>
          <w:p>
            <w:pPr>
              <w:pStyle w:val="Normal"/>
              <w:widowControl w:val="false"/>
              <w:suppressAutoHyphens w:val="true"/>
              <w:spacing w:lineRule="auto" w:line="240" w:before="0" w:after="0"/>
              <w:jc w:val="left"/>
              <w:rPr>
                <w:b/>
                <w:b/>
                <w:color w:val="002060"/>
              </w:rPr>
            </w:pPr>
            <w:r>
              <w:rPr>
                <w:b/>
                <w:color w:val="002060"/>
              </w:rPr>
              <w:t>2</w:t>
            </w:r>
          </w:p>
        </w:tc>
        <w:tc>
          <w:tcPr>
            <w:tcW w:w="8311" w:type="dxa"/>
            <w:tcBorders/>
          </w:tcPr>
          <w:p>
            <w:pPr>
              <w:pStyle w:val="Normal"/>
              <w:widowControl w:val="false"/>
              <w:suppressAutoHyphens w:val="true"/>
              <w:spacing w:lineRule="auto" w:line="240" w:before="0" w:after="0"/>
              <w:jc w:val="left"/>
              <w:rPr>
                <w:b/>
                <w:b/>
                <w:color w:val="002060"/>
              </w:rPr>
            </w:pPr>
            <w:r>
              <w:rPr>
                <w:b/>
                <w:color w:val="002060"/>
              </w:rPr>
              <w:t>Research trends are explored and answered using the new denial rate</w:t>
            </w:r>
          </w:p>
        </w:tc>
      </w:tr>
      <w:tr>
        <w:trPr/>
        <w:tc>
          <w:tcPr>
            <w:tcW w:w="704" w:type="dxa"/>
            <w:tcBorders/>
          </w:tcPr>
          <w:p>
            <w:pPr>
              <w:pStyle w:val="Normal"/>
              <w:widowControl w:val="false"/>
              <w:suppressAutoHyphens w:val="true"/>
              <w:spacing w:lineRule="auto" w:line="240" w:before="0" w:after="0"/>
              <w:jc w:val="left"/>
              <w:rPr>
                <w:b/>
                <w:b/>
                <w:color w:val="002060"/>
              </w:rPr>
            </w:pPr>
            <w:r>
              <w:rPr>
                <w:b/>
                <w:color w:val="002060"/>
              </w:rPr>
            </w:r>
          </w:p>
        </w:tc>
        <w:tc>
          <w:tcPr>
            <w:tcW w:w="8311" w:type="dxa"/>
            <w:tcBorders/>
          </w:tcPr>
          <w:p>
            <w:pPr>
              <w:pStyle w:val="Normal"/>
              <w:widowControl w:val="false"/>
              <w:suppressAutoHyphens w:val="true"/>
              <w:spacing w:lineRule="auto" w:line="240" w:before="0" w:after="0"/>
              <w:jc w:val="left"/>
              <w:rPr>
                <w:b/>
                <w:b/>
                <w:color w:val="002060"/>
              </w:rPr>
            </w:pPr>
            <w:r>
              <w:rPr>
                <w:b/>
                <w:color w:val="002060"/>
              </w:rPr>
            </w:r>
          </w:p>
        </w:tc>
      </w:tr>
    </w:tbl>
    <w:p>
      <w:pPr>
        <w:pStyle w:val="Normal"/>
        <w:rPr>
          <w:b/>
          <w:b/>
          <w:color w:val="002060"/>
        </w:rPr>
      </w:pPr>
      <w:r>
        <w:rPr>
          <w:b/>
          <w:color w:val="002060"/>
        </w:rPr>
      </w:r>
    </w:p>
    <w:p>
      <w:pPr>
        <w:pStyle w:val="Normal"/>
        <w:rPr>
          <w:b/>
          <w:b/>
          <w:color w:val="002060"/>
        </w:rPr>
      </w:pPr>
      <w:r>
        <w:rPr>
          <w:b/>
          <w:color w:val="002060"/>
        </w:rPr>
        <w:t>Project Charter Sign-off</w:t>
      </w:r>
    </w:p>
    <w:p>
      <w:pPr>
        <w:pStyle w:val="Normal"/>
        <w:rPr/>
      </w:pPr>
      <w:r>
        <w:rPr/>
        <w:t>&lt;List the names of the approvers of this Project Charter.&gt;</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54"/>
        <w:gridCol w:w="2254"/>
        <w:gridCol w:w="2254"/>
        <w:gridCol w:w="2253"/>
      </w:tblGrid>
      <w:tr>
        <w:trPr/>
        <w:tc>
          <w:tcPr>
            <w:tcW w:w="2254" w:type="dxa"/>
            <w:tcBorders/>
          </w:tcPr>
          <w:p>
            <w:pPr>
              <w:pStyle w:val="Normal"/>
              <w:widowControl w:val="false"/>
              <w:suppressAutoHyphens w:val="true"/>
              <w:spacing w:lineRule="auto" w:line="240" w:before="0" w:after="0"/>
              <w:jc w:val="left"/>
              <w:rPr>
                <w:b/>
                <w:b/>
              </w:rPr>
            </w:pPr>
            <w:r>
              <w:rPr>
                <w:rFonts w:eastAsia="Calibri" w:cs=""/>
                <w:b/>
                <w:kern w:val="0"/>
                <w:sz w:val="22"/>
                <w:szCs w:val="22"/>
                <w:lang w:val="en-GB" w:eastAsia="en-US" w:bidi="ar-SA"/>
              </w:rPr>
              <w:t>Name</w:t>
            </w:r>
          </w:p>
        </w:tc>
        <w:tc>
          <w:tcPr>
            <w:tcW w:w="2254" w:type="dxa"/>
            <w:tcBorders/>
          </w:tcPr>
          <w:p>
            <w:pPr>
              <w:pStyle w:val="Normal"/>
              <w:widowControl w:val="false"/>
              <w:suppressAutoHyphens w:val="true"/>
              <w:spacing w:lineRule="auto" w:line="240" w:before="0" w:after="0"/>
              <w:jc w:val="left"/>
              <w:rPr>
                <w:b/>
                <w:b/>
              </w:rPr>
            </w:pPr>
            <w:r>
              <w:rPr>
                <w:rFonts w:eastAsia="Calibri" w:cs=""/>
                <w:b/>
                <w:kern w:val="0"/>
                <w:sz w:val="22"/>
                <w:szCs w:val="22"/>
                <w:lang w:val="en-GB" w:eastAsia="en-US" w:bidi="ar-SA"/>
              </w:rPr>
              <w:t>Role</w:t>
            </w:r>
          </w:p>
        </w:tc>
        <w:tc>
          <w:tcPr>
            <w:tcW w:w="2254" w:type="dxa"/>
            <w:tcBorders/>
          </w:tcPr>
          <w:p>
            <w:pPr>
              <w:pStyle w:val="Normal"/>
              <w:widowControl w:val="false"/>
              <w:suppressAutoHyphens w:val="true"/>
              <w:spacing w:lineRule="auto" w:line="240" w:before="0" w:after="0"/>
              <w:jc w:val="left"/>
              <w:rPr>
                <w:b/>
                <w:b/>
              </w:rPr>
            </w:pPr>
            <w:r>
              <w:rPr>
                <w:rFonts w:eastAsia="Calibri" w:cs=""/>
                <w:b/>
                <w:kern w:val="0"/>
                <w:sz w:val="22"/>
                <w:szCs w:val="22"/>
                <w:lang w:val="en-GB" w:eastAsia="en-US" w:bidi="ar-SA"/>
              </w:rPr>
              <w:t>Approved on</w:t>
            </w:r>
          </w:p>
        </w:tc>
        <w:tc>
          <w:tcPr>
            <w:tcW w:w="2253" w:type="dxa"/>
            <w:tcBorders/>
          </w:tcPr>
          <w:p>
            <w:pPr>
              <w:pStyle w:val="Normal"/>
              <w:widowControl w:val="false"/>
              <w:suppressAutoHyphens w:val="true"/>
              <w:spacing w:lineRule="auto" w:line="240" w:before="0" w:after="0"/>
              <w:jc w:val="left"/>
              <w:rPr>
                <w:b/>
                <w:b/>
              </w:rPr>
            </w:pPr>
            <w:r>
              <w:rPr>
                <w:rFonts w:eastAsia="Calibri" w:cs=""/>
                <w:b/>
                <w:kern w:val="0"/>
                <w:sz w:val="22"/>
                <w:szCs w:val="22"/>
                <w:lang w:val="en-GB" w:eastAsia="en-US" w:bidi="ar-SA"/>
              </w:rPr>
              <w:t>Signature</w:t>
            </w:r>
          </w:p>
        </w:tc>
      </w:tr>
      <w:tr>
        <w:trPr/>
        <w:tc>
          <w:tcPr>
            <w:tcW w:w="2254" w:type="dxa"/>
            <w:tcBorders/>
          </w:tcPr>
          <w:p>
            <w:pPr>
              <w:pStyle w:val="Normal"/>
              <w:widowControl w:val="false"/>
              <w:suppressAutoHyphens w:val="true"/>
              <w:spacing w:lineRule="auto" w:line="240" w:before="0" w:after="0"/>
              <w:jc w:val="left"/>
              <w:rPr>
                <w:color w:val="002060"/>
              </w:rPr>
            </w:pPr>
            <w:r>
              <w:rPr>
                <w:color w:val="002060"/>
              </w:rPr>
            </w:r>
          </w:p>
        </w:tc>
        <w:tc>
          <w:tcPr>
            <w:tcW w:w="2254" w:type="dxa"/>
            <w:tcBorders/>
          </w:tcPr>
          <w:p>
            <w:pPr>
              <w:pStyle w:val="Normal"/>
              <w:widowControl w:val="false"/>
              <w:suppressAutoHyphens w:val="true"/>
              <w:spacing w:lineRule="auto" w:line="240" w:before="0" w:after="0"/>
              <w:jc w:val="left"/>
              <w:rPr>
                <w:color w:val="002060"/>
              </w:rPr>
            </w:pPr>
            <w:r>
              <w:rPr>
                <w:color w:val="002060"/>
              </w:rPr>
            </w:r>
          </w:p>
        </w:tc>
        <w:tc>
          <w:tcPr>
            <w:tcW w:w="2254" w:type="dxa"/>
            <w:tcBorders/>
          </w:tcPr>
          <w:p>
            <w:pPr>
              <w:pStyle w:val="Normal"/>
              <w:widowControl w:val="false"/>
              <w:suppressAutoHyphens w:val="true"/>
              <w:spacing w:lineRule="auto" w:line="240" w:before="0" w:after="0"/>
              <w:jc w:val="left"/>
              <w:rPr>
                <w:color w:val="002060"/>
              </w:rPr>
            </w:pPr>
            <w:r>
              <w:rPr>
                <w:color w:val="002060"/>
              </w:rPr>
            </w:r>
          </w:p>
        </w:tc>
        <w:tc>
          <w:tcPr>
            <w:tcW w:w="2253" w:type="dxa"/>
            <w:tcBorders/>
          </w:tcPr>
          <w:p>
            <w:pPr>
              <w:pStyle w:val="Normal"/>
              <w:widowControl w:val="false"/>
              <w:suppressAutoHyphens w:val="true"/>
              <w:spacing w:lineRule="auto" w:line="240" w:before="0" w:after="0"/>
              <w:jc w:val="left"/>
              <w:rPr>
                <w:color w:val="002060"/>
              </w:rPr>
            </w:pPr>
            <w:r>
              <w:rPr>
                <w:color w:val="002060"/>
              </w:rPr>
            </w:r>
          </w:p>
        </w:tc>
      </w:tr>
      <w:tr>
        <w:trPr/>
        <w:tc>
          <w:tcPr>
            <w:tcW w:w="2254" w:type="dxa"/>
            <w:tcBorders/>
          </w:tcPr>
          <w:p>
            <w:pPr>
              <w:pStyle w:val="Normal"/>
              <w:widowControl w:val="false"/>
              <w:suppressAutoHyphens w:val="true"/>
              <w:spacing w:lineRule="auto" w:line="240" w:before="0" w:after="0"/>
              <w:jc w:val="left"/>
              <w:rPr>
                <w:color w:val="002060"/>
              </w:rPr>
            </w:pPr>
            <w:r>
              <w:rPr>
                <w:color w:val="002060"/>
              </w:rPr>
            </w:r>
          </w:p>
        </w:tc>
        <w:tc>
          <w:tcPr>
            <w:tcW w:w="2254" w:type="dxa"/>
            <w:tcBorders/>
          </w:tcPr>
          <w:p>
            <w:pPr>
              <w:pStyle w:val="Normal"/>
              <w:widowControl w:val="false"/>
              <w:suppressAutoHyphens w:val="true"/>
              <w:spacing w:lineRule="auto" w:line="240" w:before="0" w:after="0"/>
              <w:jc w:val="left"/>
              <w:rPr>
                <w:color w:val="002060"/>
              </w:rPr>
            </w:pPr>
            <w:r>
              <w:rPr>
                <w:color w:val="002060"/>
              </w:rPr>
            </w:r>
          </w:p>
        </w:tc>
        <w:tc>
          <w:tcPr>
            <w:tcW w:w="2254" w:type="dxa"/>
            <w:tcBorders/>
          </w:tcPr>
          <w:p>
            <w:pPr>
              <w:pStyle w:val="Normal"/>
              <w:widowControl w:val="false"/>
              <w:suppressAutoHyphens w:val="true"/>
              <w:spacing w:lineRule="auto" w:line="240" w:before="0" w:after="0"/>
              <w:jc w:val="left"/>
              <w:rPr>
                <w:color w:val="002060"/>
              </w:rPr>
            </w:pPr>
            <w:r>
              <w:rPr>
                <w:color w:val="002060"/>
              </w:rPr>
            </w:r>
          </w:p>
        </w:tc>
        <w:tc>
          <w:tcPr>
            <w:tcW w:w="2253" w:type="dxa"/>
            <w:tcBorders/>
          </w:tcPr>
          <w:p>
            <w:pPr>
              <w:pStyle w:val="Normal"/>
              <w:widowControl w:val="false"/>
              <w:suppressAutoHyphens w:val="true"/>
              <w:spacing w:lineRule="auto" w:line="240" w:before="0" w:after="0"/>
              <w:jc w:val="left"/>
              <w:rPr>
                <w:color w:val="002060"/>
              </w:rPr>
            </w:pPr>
            <w:r>
              <w:rPr>
                <w:color w:val="002060"/>
              </w:rPr>
            </w:r>
          </w:p>
        </w:tc>
      </w:tr>
      <w:tr>
        <w:trPr/>
        <w:tc>
          <w:tcPr>
            <w:tcW w:w="2254" w:type="dxa"/>
            <w:tcBorders/>
          </w:tcPr>
          <w:p>
            <w:pPr>
              <w:pStyle w:val="Normal"/>
              <w:widowControl w:val="false"/>
              <w:suppressAutoHyphens w:val="true"/>
              <w:spacing w:lineRule="auto" w:line="240" w:before="0" w:after="0"/>
              <w:jc w:val="left"/>
              <w:rPr>
                <w:color w:val="002060"/>
              </w:rPr>
            </w:pPr>
            <w:r>
              <w:rPr>
                <w:color w:val="002060"/>
              </w:rPr>
            </w:r>
          </w:p>
        </w:tc>
        <w:tc>
          <w:tcPr>
            <w:tcW w:w="2254" w:type="dxa"/>
            <w:tcBorders/>
          </w:tcPr>
          <w:p>
            <w:pPr>
              <w:pStyle w:val="Normal"/>
              <w:widowControl w:val="false"/>
              <w:suppressAutoHyphens w:val="true"/>
              <w:spacing w:lineRule="auto" w:line="240" w:before="0" w:after="0"/>
              <w:jc w:val="left"/>
              <w:rPr>
                <w:color w:val="002060"/>
              </w:rPr>
            </w:pPr>
            <w:r>
              <w:rPr>
                <w:color w:val="002060"/>
              </w:rPr>
            </w:r>
          </w:p>
        </w:tc>
        <w:tc>
          <w:tcPr>
            <w:tcW w:w="2254" w:type="dxa"/>
            <w:tcBorders/>
          </w:tcPr>
          <w:p>
            <w:pPr>
              <w:pStyle w:val="Normal"/>
              <w:widowControl w:val="false"/>
              <w:suppressAutoHyphens w:val="true"/>
              <w:spacing w:lineRule="auto" w:line="240" w:before="0" w:after="0"/>
              <w:jc w:val="left"/>
              <w:rPr>
                <w:color w:val="002060"/>
              </w:rPr>
            </w:pPr>
            <w:r>
              <w:rPr>
                <w:color w:val="002060"/>
              </w:rPr>
            </w:r>
          </w:p>
        </w:tc>
        <w:tc>
          <w:tcPr>
            <w:tcW w:w="2253" w:type="dxa"/>
            <w:tcBorders/>
          </w:tcPr>
          <w:p>
            <w:pPr>
              <w:pStyle w:val="Normal"/>
              <w:widowControl w:val="false"/>
              <w:suppressAutoHyphens w:val="true"/>
              <w:spacing w:lineRule="auto" w:line="240" w:before="0" w:after="0"/>
              <w:jc w:val="left"/>
              <w:rPr>
                <w:color w:val="002060"/>
              </w:rPr>
            </w:pPr>
            <w:r>
              <w:rPr>
                <w:color w:val="002060"/>
              </w:rPr>
            </w:r>
          </w:p>
        </w:tc>
      </w:tr>
    </w:tbl>
    <w:p>
      <w:pPr>
        <w:pStyle w:val="Normal"/>
        <w:spacing w:before="0" w:after="160"/>
        <w:rPr>
          <w:b/>
          <w:b/>
          <w:color w:val="002060"/>
        </w:rPr>
      </w:pPr>
      <w:r>
        <w:rPr/>
      </w:r>
    </w:p>
    <w:sectPr>
      <w:headerReference w:type="default" r:id="rId4"/>
      <w:footerReference w:type="default" r:id="rId5"/>
      <w:type w:val="nextPage"/>
      <w:pgSz w:w="11906" w:h="16838"/>
      <w:pgMar w:left="1440" w:right="1440" w:gutter="0" w:header="708" w:top="1440" w:footer="708"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Gallery w:val="Page Numbers (Top of Page)"/>
        <w:docPartUnique w:val="true"/>
      </w:docPartObj>
      <w:id w:val="1207200492"/>
    </w:sdtPr>
    <w:sdtContent>
      <w:p>
        <w:pPr>
          <w:pStyle w:val="Footer"/>
          <w:jc w:val="center"/>
          <w:rPr/>
        </w:pPr>
        <w:r>
          <w:rPr/>
          <w:t xml:space="preserve">Page </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4</w:t>
        </w:r>
        <w:r>
          <w:rPr>
            <w:sz w:val="24"/>
            <w:b/>
            <w:szCs w:val="24"/>
            <w:bCs/>
          </w:rPr>
          <w:fldChar w:fldCharType="end"/>
        </w:r>
        <w:r>
          <w:rPr/>
          <w:t xml:space="preserve"> of </w:t>
        </w:r>
        <w:r>
          <w:rPr>
            <w:b/>
            <w:bCs/>
            <w:sz w:val="24"/>
            <w:szCs w:val="24"/>
          </w:rPr>
          <w:fldChar w:fldCharType="begin"/>
        </w:r>
        <w:r>
          <w:rPr>
            <w:sz w:val="24"/>
            <w:b/>
            <w:szCs w:val="24"/>
            <w:bCs/>
          </w:rPr>
          <w:instrText xml:space="preserve"> NUMPAGES </w:instrText>
        </w:r>
        <w:r>
          <w:rPr>
            <w:sz w:val="24"/>
            <w:b/>
            <w:szCs w:val="24"/>
            <w:bCs/>
          </w:rPr>
          <w:fldChar w:fldCharType="separate"/>
        </w:r>
        <w:r>
          <w:rPr>
            <w:sz w:val="24"/>
            <w:b/>
            <w:szCs w:val="24"/>
            <w:bCs/>
          </w:rPr>
          <w:t>4</w:t>
        </w:r>
        <w:r>
          <w:rPr>
            <w:sz w:val="24"/>
            <w:b/>
            <w:szCs w:val="24"/>
            <w:bCs/>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Fonts w:eastAsia="Calibri" w:cs=""/>
        <w:kern w:val="0"/>
        <w:sz w:val="22"/>
        <w:szCs w:val="22"/>
        <w:lang w:val="en-GB" w:eastAsia="en-US" w:bidi="ar-SA"/>
      </w:rPr>
      <w:t>Formulating a New Real Denial Rate</w:t>
    </w:r>
    <w:r>
      <w:rPr/>
      <w:tab/>
      <w:tab/>
      <w:t>Project Charter</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3750b"/>
    <w:rPr/>
  </w:style>
  <w:style w:type="character" w:styleId="FooterChar" w:customStyle="1">
    <w:name w:val="Footer Char"/>
    <w:basedOn w:val="DefaultParagraphFont"/>
    <w:link w:val="Footer"/>
    <w:uiPriority w:val="99"/>
    <w:qFormat/>
    <w:rsid w:val="0083750b"/>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83750b"/>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83750b"/>
    <w:pPr>
      <w:tabs>
        <w:tab w:val="clear" w:pos="720"/>
        <w:tab w:val="center" w:pos="4513" w:leader="none"/>
        <w:tab w:val="right" w:pos="9026"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7a7f7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1.wmf"/><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0B5FC4-E712-483D-90E5-9367293F8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Application>LibreOffice/7.4.5.1$Linux_X86_64 LibreOffice_project/40$Build-1</Application>
  <AppVersion>15.0000</AppVersion>
  <Pages>4</Pages>
  <Words>727</Words>
  <Characters>3618</Characters>
  <CharactersWithSpaces>4258</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2019-03-15T17:14:00Z</dcterms:created>
  <dc:creator>Marisa Silva</dc:creator>
  <dc:description/>
  <dc:language>en-US</dc:language>
  <cp:lastModifiedBy/>
  <dcterms:modified xsi:type="dcterms:W3CDTF">2023-04-18T02:13:52Z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