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社内システムの管理に関する規定</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本規程はセキュリティマネジメントシステムの社内システムの管理おけるセキュリティ</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にかかわる事項を規定する。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本規程は情報資産を扱うすべての人を対象とする。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遵守事項</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3.1　装置の保守</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装置の継続的な可用性及び完全性の維持を可能とするために、</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装置を正しく保守すること。</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保守の中には、適切な手段による装置の代替、新規購入を含む。装置の代替、新規購入における前機種に保存されている情報についてのセキュリティには十分配慮する。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3.2　運用変更管理</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情報処理設備及びシステムの変更については、管理責任者の許可を得てから行うこととし、変更履歴を残すこととする。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3.3　運用の記録</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運用担当者は作業記録をとり、保管をし、</w:t>
      </w:r>
      <w:r w:rsidDel="00000000" w:rsidR="00000000" w:rsidRPr="00000000">
        <w:rPr>
          <w:sz w:val="21"/>
          <w:szCs w:val="21"/>
          <w:rtl w:val="0"/>
        </w:rPr>
        <w:t xml:space="preserve">部門</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責任者へ報告する。運用担当者の記録は、定期的に内部監査でチェックする。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3.4　障害記録</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障害については、障害内容と解決策の記録を行い、</w:t>
      </w:r>
      <w:r w:rsidDel="00000000" w:rsidR="00000000" w:rsidRPr="00000000">
        <w:rPr>
          <w:sz w:val="21"/>
          <w:szCs w:val="21"/>
          <w:rtl w:val="0"/>
        </w:rPr>
        <w:t xml:space="preserve">部門</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責任者へ報告する。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必要なら是正処置を行う。</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3.5　特権管理</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特権の割当て及び使用は管理責任者の判断により決定し運用する。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3.6　ネットワークサービスのセキュリティ</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ネットワークサービスを使用する場合、使用するすべてのサービスの特質について、</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明確な説明をし、各要員の意識を高めること。</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3.7　証拠の収集</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人又は組織に対する処置が、民事であれ、刑事であれ、訴訟への提出を要求される可能性</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を考慮し、完全性を確保した以下の条件を満たす証拠を取り出せる状態にしておくこと。</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紙文書の場合：</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原本を完全に保管し、原本に手が加えられていないことが証明できること。</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電子媒体上の情報の場合：</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取り外し可能な媒体、ハードディスク又は記憶装置内の情報はすべて複製をとる。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媒体の複製一組及びその作成記録を安全に保管する。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3.8　技術適合の検査</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情報システムがセキュリティ実行標準と適合していることを、定期的に確認すること。</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これには、アカウント・パスワード管理、各種サーバ(Web、メール、DNS)、ルータ、</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ファイアーウォールなどの各種設定やログの管理なども対象とし、内部監査で実行して</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もよい。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widowControl w:val="0"/>
        <w:jc w:val="both"/>
        <w:rPr>
          <w:b w:val="1"/>
          <w:bCs w:val="1"/>
          <w:sz w:val="21"/>
          <w:szCs w:val="21"/>
        </w:rPr>
      </w:pPr>
      <w:r w:rsidDel="00000000" w:rsidR="00000000" w:rsidRPr="00000000">
        <w:rPr>
          <w:b w:val="1"/>
          <w:bCs w:val="1"/>
          <w:sz w:val="21"/>
          <w:szCs w:val="21"/>
          <w:rtl w:val="0"/>
        </w:rPr>
        <w:t xml:space="preserve">4.　罰則事項</w:t>
      </w:r>
    </w:p>
    <w:p w:rsidR="00000000" w:rsidDel="00000000" w:rsidP="00000000" w:rsidRDefault="00000000" w:rsidRPr="00000000" w14:paraId="00000036">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7">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8">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9">
      <w:pPr>
        <w:widowControl w:val="0"/>
        <w:ind w:firstLine="210"/>
        <w:jc w:val="both"/>
        <w:rPr>
          <w:b w:val="1"/>
          <w:bCs w:val="1"/>
          <w:sz w:val="21"/>
          <w:szCs w:val="21"/>
        </w:rPr>
      </w:pPr>
      <w:bookmarkStart w:colFirst="0" w:colLast="0" w:name="_gjdgxs" w:id="0"/>
      <w:bookmarkEnd w:id="0"/>
      <w:r w:rsidDel="00000000" w:rsidR="00000000" w:rsidRPr="00000000">
        <w:rPr>
          <w:sz w:val="21"/>
          <w:szCs w:val="21"/>
          <w:rtl w:val="0"/>
        </w:rPr>
        <w:t xml:space="preserve">罰則の適用については『</w:t>
      </w:r>
      <w:hyperlink r:id="rId6">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公開事項</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widowControl w:val="0"/>
        <w:jc w:val="both"/>
        <w:rPr>
          <w:sz w:val="21"/>
          <w:szCs w:val="21"/>
        </w:rPr>
      </w:pPr>
      <w:r w:rsidDel="00000000" w:rsidR="00000000" w:rsidRPr="00000000">
        <w:rPr>
          <w:b w:val="1"/>
          <w:bCs w:val="1"/>
          <w:sz w:val="21"/>
          <w:szCs w:val="21"/>
          <w:rtl w:val="0"/>
        </w:rPr>
        <w:t xml:space="preserve">6.　改　訂</w:t>
      </w:r>
      <w:r w:rsidDel="00000000" w:rsidR="00000000" w:rsidRPr="00000000">
        <w:rPr>
          <w:rtl w:val="0"/>
        </w:rPr>
      </w:r>
    </w:p>
    <w:p w:rsidR="00000000" w:rsidDel="00000000" w:rsidP="00000000" w:rsidRDefault="00000000" w:rsidRPr="00000000" w14:paraId="00000040">
      <w:pPr>
        <w:widowControl w:val="0"/>
        <w:jc w:val="both"/>
        <w:rPr>
          <w:sz w:val="21"/>
          <w:szCs w:val="21"/>
        </w:rPr>
      </w:pPr>
      <w:r w:rsidDel="00000000" w:rsidR="00000000" w:rsidRPr="00000000">
        <w:rPr>
          <w:rtl w:val="0"/>
        </w:rPr>
      </w:r>
    </w:p>
    <w:p w:rsidR="00000000" w:rsidDel="00000000" w:rsidP="00000000" w:rsidRDefault="00000000" w:rsidRPr="00000000" w14:paraId="00000041">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42">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3">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4">
      <w:pPr>
        <w:widowControl w:val="0"/>
        <w:jc w:val="both"/>
        <w:rPr>
          <w:b w:val="1"/>
          <w:bCs w:val="1"/>
          <w:sz w:val="21"/>
          <w:szCs w:val="21"/>
        </w:rPr>
        <w:sectPr>
          <w:headerReference r:id="rId7" w:type="default"/>
          <w:headerReference r:id="rId8" w:type="first"/>
          <w:footerReference r:id="rId9" w:type="default"/>
          <w:footerReference r:id="rId10" w:type="first"/>
          <w:footerReference r:id="rId11" w:type="even"/>
          <w:pgSz w:h="16838" w:w="11906" w:orient="portrait"/>
          <w:pgMar w:bottom="1700.7874015748032" w:top="1984.2519685039372" w:left="1700.7874015748032" w:right="1700.7874015748032" w:header="850.3937007874016" w:footer="992.1259842519686"/>
          <w:pgNumType w:start="1"/>
        </w:sect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type w:val="continuous"/>
      <w:pgSz w:h="16838" w:w="11906" w:orient="portrait"/>
      <w:pgMar w:bottom="1700.7874015748032" w:top="1984.2519685039372" w:left="1700.7874015748032" w:right="1700.7874015748032" w:header="850.3937007874016"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widowControl w:val="0"/>
      <w:tabs>
        <w:tab w:val="center" w:leader="none" w:pos="4252"/>
        <w:tab w:val="right" w:leader="none" w:pos="8504"/>
      </w:tabs>
      <w:jc w:val="both"/>
      <w:rPr/>
    </w:pPr>
    <w:r w:rsidDel="00000000" w:rsidR="00000000" w:rsidRPr="00000000">
      <w:rPr>
        <w:sz w:val="21"/>
        <w:szCs w:val="21"/>
        <w:rtl w:val="0"/>
      </w:rPr>
      <w:t xml:space="preserve">改：2024/03/18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ISMS-100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docs.google.com/document/d/1yvS0uNdK-hZu88dheOnXmjX4WorTTEB-VnxEJk21h4A/edit"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