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罰則に関する規程</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本規程は、当社のセキュリティ違反に対する罰則の適用手順及びそれに関わる遵守事項を規定する。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本規程は、セキュリティ方針および標準が適用されるすべての人を対象とする。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罰則事項の執行は、セキュリティ違反に対する罰則の適用に関わる委員会のメンバー、</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部門長及び</w:t>
      </w:r>
      <w:r w:rsidDel="00000000" w:rsidR="00000000" w:rsidRPr="00000000">
        <w:rPr>
          <w:sz w:val="21"/>
          <w:szCs w:val="21"/>
          <w:rtl w:val="0"/>
        </w:rPr>
        <w:t xml:space="preserve">自由</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部の担当者を対象とする。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本規程は罰則に関するものであり、情報システムや情報機器を対象としない。</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罰則案件の届出</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部門長は罰則に相当すると思われる社員のセキュリティ違反を確認した場合、委員会に罰則の適用について審議を求める。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なお、部門長のセキュリティ違反に関する罰則案件の届け出は委員会のメンバーが行うものとする。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委員会での審議及び決定</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委員会は届出が行われた罰則案件について審議を行い、罰則の適用と再教育についてその要否と程度または内容を決定する。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w:t>
      </w:r>
      <w:r w:rsidDel="00000000" w:rsidR="00000000" w:rsidRPr="00000000">
        <w:rPr>
          <w:b w:val="1"/>
          <w:bCs w:val="1"/>
          <w:sz w:val="21"/>
          <w:szCs w:val="21"/>
          <w:rtl w:val="0"/>
        </w:rPr>
        <w:t xml:space="preserve">自由部</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での罰則手続き</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自由部</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の担当者は委員会での決定に基づき、該当者に対する就業規則に従った罰則の決定及び適用に関する手続きを実施する。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210"/>
        <w:jc w:val="both"/>
        <w:rPr>
          <w:sz w:val="21"/>
          <w:szCs w:val="21"/>
        </w:rPr>
      </w:pPr>
      <w:r w:rsidDel="00000000" w:rsidR="00000000" w:rsidRPr="00000000">
        <w:rPr>
          <w:color w:val="1155cc"/>
          <w:sz w:val="21"/>
          <w:szCs w:val="21"/>
          <w:u w:val="single"/>
          <w:rtl w:val="0"/>
        </w:rPr>
        <w:t xml:space="preserve">就業規則：</w:t>
      </w:r>
      <w:hyperlink r:id="rId6">
        <w:r w:rsidDel="00000000" w:rsidR="00000000" w:rsidRPr="00000000">
          <w:rPr>
            <w:color w:val="1155cc"/>
            <w:sz w:val="21"/>
            <w:szCs w:val="21"/>
            <w:u w:val="single"/>
            <w:rtl w:val="0"/>
          </w:rPr>
          <w:t xml:space="preserve">【労基提出用】MGS（Lifework編）.pdf</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再教育</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委員会は罰則案件の審議結果で再教育が必要と決定した該当者に対して再教育を実施する。</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例外の適用</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承認を受ける。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本規程は、罰則について規定したものであり、遵守事項に違反した者への対応は、情報セキュリティ運営委員会にゆだねる。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33">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4">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35">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36">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37">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ISMS-128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2yiFJxb6GhyFp9jGUUlu3MpXd3I2MxwC/view?usp=drive_link"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