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クリエイティブ費規程"/>
    <w:p>
      <w:pPr>
        <w:pStyle w:val="Heading1"/>
      </w:pPr>
      <w:r>
        <w:rPr>
          <w:rFonts w:hint="eastAsia"/>
        </w:rPr>
        <w:t xml:space="preserve">クリエイティブ費規程</w:t>
      </w:r>
    </w:p>
    <w:bookmarkStart w:id="9" w:name="第1条目的"/>
    <w:p>
      <w:pPr>
        <w:pStyle w:val="Heading2"/>
      </w:pPr>
      <w:r>
        <w:rPr>
          <w:rFonts w:hint="eastAsia"/>
        </w:rPr>
        <w:t xml:space="preserve">第1条（目的）</w:t>
      </w:r>
    </w:p>
    <w:p>
      <w:pPr>
        <w:pStyle w:val="FirstParagraph"/>
      </w:pPr>
      <w:r>
        <w:rPr>
          <w:rFonts w:hint="eastAsia"/>
        </w:rPr>
        <w:t xml:space="preserve">この規程は、従業員の知的・創造的活動の向上を支援し、自律的な活動・自己研鑽・余暇を通じた成長を促すため、クリエイティブ費の補助に関する基本的な取り扱いを定めるものです。</w:t>
      </w:r>
    </w:p>
    <w:p>
      <w:r>
        <w:pict>
          <v:rect style="width:0;height:1.5pt" o:hralign="center" o:hrstd="t" o:hr="t"/>
        </w:pict>
      </w:r>
    </w:p>
    <w:bookmarkEnd w:id="9"/>
    <w:bookmarkStart w:id="10" w:name="第2条補助対象者"/>
    <w:p>
      <w:pPr>
        <w:pStyle w:val="Heading2"/>
      </w:pPr>
      <w:r>
        <w:rPr>
          <w:rFonts w:hint="eastAsia"/>
        </w:rPr>
        <w:t xml:space="preserve">第2条（補助対象者）</w:t>
      </w:r>
    </w:p>
    <w:p>
      <w:pPr>
        <w:pStyle w:val="FirstParagraph"/>
      </w:pPr>
      <w:r>
        <w:rPr>
          <w:rFonts w:hint="eastAsia"/>
        </w:rPr>
        <w:t xml:space="preserve">正社員・契約社員・パートタイム従業員を問わず、在籍する全従業員を対象とします。</w:t>
      </w:r>
    </w:p>
    <w:p>
      <w:r>
        <w:pict>
          <v:rect style="width:0;height:1.5pt" o:hralign="center" o:hrstd="t" o:hr="t"/>
        </w:pict>
      </w:r>
    </w:p>
    <w:bookmarkEnd w:id="10"/>
    <w:bookmarkStart w:id="11" w:name="第3条補助額"/>
    <w:p>
      <w:pPr>
        <w:pStyle w:val="Heading2"/>
      </w:pPr>
      <w:r>
        <w:rPr>
          <w:rFonts w:hint="eastAsia"/>
        </w:rPr>
        <w:t xml:space="preserve">第3条（補助額）</w:t>
      </w:r>
    </w:p>
    <w:p>
      <w:pPr>
        <w:pStyle w:val="Compact"/>
        <w:numPr>
          <w:ilvl w:val="0"/>
          <w:numId w:val="1001"/>
        </w:numPr>
      </w:pPr>
      <w:r>
        <w:rPr>
          <w:rFonts w:hint="eastAsia"/>
        </w:rPr>
        <w:t xml:space="preserve">月額上限は</w:t>
      </w:r>
      <w:r>
        <w:t xml:space="preserve"> </w:t>
      </w:r>
      <w:r>
        <w:rPr>
          <w:rFonts w:hint="eastAsia"/>
          <w:b/>
          <w:bCs/>
        </w:rPr>
        <w:t xml:space="preserve">3,000円</w:t>
      </w:r>
      <w:r>
        <w:t xml:space="preserve"> </w:t>
      </w:r>
      <w:r>
        <w:t xml:space="preserve">とします。</w:t>
      </w:r>
    </w:p>
    <w:p>
      <w:pPr>
        <w:pStyle w:val="Compact"/>
        <w:numPr>
          <w:ilvl w:val="0"/>
          <w:numId w:val="1001"/>
        </w:numPr>
      </w:pPr>
      <w:r>
        <w:rPr>
          <w:rFonts w:hint="eastAsia"/>
        </w:rPr>
        <w:t xml:space="preserve">申請のあった月のみ補助します。申請がない月は補助されません。</w:t>
      </w:r>
    </w:p>
    <w:p>
      <w:pPr>
        <w:pStyle w:val="Compact"/>
        <w:numPr>
          <w:ilvl w:val="0"/>
          <w:numId w:val="1001"/>
        </w:numPr>
      </w:pPr>
      <w:r>
        <w:rPr>
          <w:rFonts w:hint="eastAsia"/>
        </w:rPr>
        <w:t xml:space="preserve">当月の未使用分は翌月へ繰り越しできません。</w:t>
      </w:r>
    </w:p>
    <w:p>
      <w:r>
        <w:pict>
          <v:rect style="width:0;height:1.5pt" o:hralign="center" o:hrstd="t" o:hr="t"/>
        </w:pict>
      </w:r>
    </w:p>
    <w:bookmarkEnd w:id="11"/>
    <w:bookmarkStart w:id="12" w:name="第4条経費の取り扱い"/>
    <w:p>
      <w:pPr>
        <w:pStyle w:val="Heading2"/>
      </w:pPr>
      <w:r>
        <w:rPr>
          <w:rFonts w:hint="eastAsia"/>
        </w:rPr>
        <w:t xml:space="preserve">第4条（経費の取り扱い）</w:t>
      </w:r>
    </w:p>
    <w:p>
      <w:pPr>
        <w:pStyle w:val="FirstParagraph"/>
      </w:pPr>
      <w:r>
        <w:rPr>
          <w:rFonts w:hint="eastAsia"/>
        </w:rPr>
        <w:t xml:space="preserve">クリエイティブ費は、会社の福利厚生費として処理します。</w:t>
      </w:r>
      <w:r>
        <w:t xml:space="preserve"> </w:t>
      </w:r>
      <w:r>
        <w:rPr>
          <w:rFonts w:hint="eastAsia"/>
        </w:rPr>
        <w:t xml:space="preserve">給与・賃金とは区別され、給与所得には含まれません。</w:t>
      </w:r>
    </w:p>
    <w:p>
      <w:r>
        <w:pict>
          <v:rect style="width:0;height:1.5pt" o:hralign="center" o:hrstd="t" o:hr="t"/>
        </w:pict>
      </w:r>
    </w:p>
    <w:bookmarkEnd w:id="12"/>
    <w:bookmarkStart w:id="13" w:name="第5条申請方法"/>
    <w:p>
      <w:pPr>
        <w:pStyle w:val="Heading2"/>
      </w:pPr>
      <w:r>
        <w:rPr>
          <w:rFonts w:hint="eastAsia"/>
        </w:rPr>
        <w:t xml:space="preserve">第5条（申請方法）</w:t>
      </w:r>
    </w:p>
    <w:p>
      <w:pPr>
        <w:pStyle w:val="FirstParagraph"/>
      </w:pPr>
      <w:r>
        <w:rPr>
          <w:rFonts w:hint="eastAsia"/>
        </w:rPr>
        <w:t xml:space="preserve">以下の3点をすべて完了した時点で、申請完了とみなします。</w:t>
      </w:r>
    </w:p>
    <w:p>
      <w:pPr>
        <w:pStyle w:val="Compact"/>
        <w:numPr>
          <w:ilvl w:val="0"/>
          <w:numId w:val="1002"/>
        </w:numPr>
      </w:pPr>
      <w:r>
        <w:rPr>
          <w:rFonts w:hint="eastAsia"/>
          <w:b/>
          <w:bCs/>
        </w:rPr>
        <w:t xml:space="preserve">出納への入力</w:t>
      </w:r>
      <w:r>
        <w:rPr>
          <w:rFonts w:hint="eastAsia"/>
        </w:rPr>
        <w:t xml:space="preserve">：利用日・利用内容・金額を出納に記録する</w:t>
      </w:r>
    </w:p>
    <w:p>
      <w:pPr>
        <w:pStyle w:val="Compact"/>
        <w:numPr>
          <w:ilvl w:val="0"/>
          <w:numId w:val="1002"/>
        </w:numPr>
      </w:pPr>
      <w:r>
        <w:rPr>
          <w:rFonts w:hint="eastAsia"/>
          <w:b/>
          <w:bCs/>
        </w:rPr>
        <w:t xml:space="preserve">領収書の提出</w:t>
      </w:r>
      <w:r>
        <w:rPr>
          <w:rFonts w:hint="eastAsia"/>
        </w:rPr>
        <w:t xml:space="preserve">：経理担当へ原本を提出する</w:t>
      </w:r>
    </w:p>
    <w:p>
      <w:pPr>
        <w:pStyle w:val="Compact"/>
        <w:numPr>
          <w:ilvl w:val="0"/>
          <w:numId w:val="1002"/>
        </w:numPr>
      </w:pPr>
      <w:r>
        <w:rPr>
          <w:rFonts w:hint="eastAsia"/>
          <w:b/>
          <w:bCs/>
        </w:rPr>
        <w:t xml:space="preserve">定例会議での報告</w:t>
      </w:r>
      <w:r>
        <w:rPr>
          <w:rFonts w:hint="eastAsia"/>
        </w:rPr>
        <w:t xml:space="preserve">：該当の会議において利用内容を報告する</w:t>
      </w:r>
    </w:p>
    <w:p>
      <w:pPr>
        <w:pStyle w:val="FirstParagraph"/>
      </w:pPr>
      <w:r>
        <w:rPr>
          <w:rFonts w:hint="eastAsia"/>
        </w:rPr>
        <w:t xml:space="preserve">申請期限は、毎月自由部から別途連絡します。</w:t>
      </w:r>
    </w:p>
    <w:p>
      <w:r>
        <w:pict>
          <v:rect style="width:0;height:1.5pt" o:hralign="center" o:hrstd="t" o:hr="t"/>
        </w:pict>
      </w:r>
    </w:p>
    <w:bookmarkEnd w:id="13"/>
    <w:bookmarkStart w:id="14" w:name="第6条承認フロー"/>
    <w:p>
      <w:pPr>
        <w:pStyle w:val="Heading2"/>
      </w:pPr>
      <w:r>
        <w:rPr>
          <w:rFonts w:hint="eastAsia"/>
        </w:rPr>
        <w:t xml:space="preserve">第6条（承認フロー）</w:t>
      </w:r>
    </w:p>
    <w:p>
      <w:pPr>
        <w:pStyle w:val="FirstParagraph"/>
      </w:pPr>
      <w:r>
        <w:rPr>
          <w:rFonts w:hint="eastAsia"/>
        </w:rPr>
        <w:t xml:space="preserve">第5条の3点が揃った時点で申請完了とし、経理担当が精算処理を行います。</w:t>
      </w:r>
      <w:r>
        <w:t xml:space="preserve"> </w:t>
      </w:r>
      <w:r>
        <w:rPr>
          <w:rFonts w:hint="eastAsia"/>
        </w:rPr>
        <w:t xml:space="preserve">個別の上長承認は要しません。</w:t>
      </w:r>
    </w:p>
    <w:p>
      <w:r>
        <w:pict>
          <v:rect style="width:0;height:1.5pt" o:hralign="center" o:hrstd="t" o:hr="t"/>
        </w:pict>
      </w:r>
    </w:p>
    <w:bookmarkEnd w:id="14"/>
    <w:bookmarkStart w:id="15" w:name="第7条使用できない費用"/>
    <w:p>
      <w:pPr>
        <w:pStyle w:val="Heading2"/>
      </w:pPr>
      <w:r>
        <w:rPr>
          <w:rFonts w:hint="eastAsia"/>
        </w:rPr>
        <w:t xml:space="preserve">第7条（使用できない費用）</w:t>
      </w:r>
    </w:p>
    <w:p>
      <w:pPr>
        <w:pStyle w:val="FirstParagraph"/>
      </w:pPr>
      <w:r>
        <w:rPr>
          <w:rFonts w:hint="eastAsia"/>
        </w:rPr>
        <w:t xml:space="preserve">以下の費用はクリエイティブ費の対象外とします。該当する場合は経費として認められず、申請できません。</w:t>
      </w:r>
    </w:p>
    <w:p>
      <w:pPr>
        <w:pStyle w:val="Compact"/>
        <w:numPr>
          <w:ilvl w:val="0"/>
          <w:numId w:val="1003"/>
        </w:numPr>
      </w:pPr>
      <w:r>
        <w:rPr>
          <w:rFonts w:hint="eastAsia"/>
        </w:rPr>
        <w:t xml:space="preserve">風俗店・性風俗関連特殊営業にあたる店舗での利用</w:t>
      </w:r>
    </w:p>
    <w:p>
      <w:pPr>
        <w:pStyle w:val="Compact"/>
        <w:numPr>
          <w:ilvl w:val="0"/>
          <w:numId w:val="1003"/>
        </w:numPr>
      </w:pPr>
      <w:r>
        <w:rPr>
          <w:rFonts w:hint="eastAsia"/>
        </w:rPr>
        <w:t xml:space="preserve">ガールズバー・キャバクラ・ホストクラブ等、接待を主とする飲食店での利用</w:t>
      </w:r>
    </w:p>
    <w:p>
      <w:pPr>
        <w:pStyle w:val="Compact"/>
        <w:numPr>
          <w:ilvl w:val="0"/>
          <w:numId w:val="1003"/>
        </w:numPr>
      </w:pPr>
      <w:r>
        <w:rPr>
          <w:rFonts w:hint="eastAsia"/>
        </w:rPr>
        <w:t xml:space="preserve">家族・交際相手等、社外の第三者との飲食費</w:t>
      </w:r>
    </w:p>
    <w:p>
      <w:pPr>
        <w:pStyle w:val="Compact"/>
        <w:numPr>
          <w:ilvl w:val="0"/>
          <w:numId w:val="1003"/>
        </w:numPr>
      </w:pPr>
      <w:r>
        <w:rPr>
          <w:rFonts w:hint="eastAsia"/>
        </w:rPr>
        <w:t xml:space="preserve">個人の食費代</w:t>
      </w:r>
    </w:p>
    <w:p>
      <w:pPr>
        <w:pStyle w:val="Compact"/>
        <w:numPr>
          <w:ilvl w:val="0"/>
          <w:numId w:val="1003"/>
        </w:numPr>
      </w:pPr>
      <w:r>
        <w:rPr>
          <w:rFonts w:hint="eastAsia"/>
        </w:rPr>
        <w:t xml:space="preserve">複数人での飲食で一人あたり6,000円未満となる食事代</w:t>
      </w:r>
    </w:p>
    <w:p>
      <w:pPr>
        <w:pStyle w:val="Compact"/>
        <w:numPr>
          <w:ilvl w:val="0"/>
          <w:numId w:val="1003"/>
        </w:numPr>
      </w:pPr>
      <w:r>
        <w:rPr>
          <w:rFonts w:hint="eastAsia"/>
        </w:rPr>
        <w:t xml:space="preserve">明らかに私的利用のみを目的とした高額物品の購入</w:t>
      </w:r>
    </w:p>
    <w:p>
      <w:pPr>
        <w:pStyle w:val="Compact"/>
        <w:numPr>
          <w:ilvl w:val="0"/>
          <w:numId w:val="1003"/>
        </w:numPr>
      </w:pPr>
      <w:r>
        <w:rPr>
          <w:rFonts w:hint="eastAsia"/>
        </w:rPr>
        <w:t xml:space="preserve">現金・商品券・電子マネー・ポイントへの換金</w:t>
      </w:r>
    </w:p>
    <w:p>
      <w:pPr>
        <w:pStyle w:val="Compact"/>
        <w:numPr>
          <w:ilvl w:val="0"/>
          <w:numId w:val="1003"/>
        </w:numPr>
      </w:pPr>
      <w:r>
        <w:rPr>
          <w:rFonts w:hint="eastAsia"/>
        </w:rPr>
        <w:t xml:space="preserve">競馬・競輪・パチンコ・スロット等のギャンブルへの利用</w:t>
      </w:r>
    </w:p>
    <w:p>
      <w:pPr>
        <w:pStyle w:val="Compact"/>
        <w:numPr>
          <w:ilvl w:val="0"/>
          <w:numId w:val="1003"/>
        </w:numPr>
      </w:pPr>
      <w:r>
        <w:rPr>
          <w:rFonts w:hint="eastAsia"/>
        </w:rPr>
        <w:t xml:space="preserve">その他、会社が不適切と判断する用途</w:t>
      </w:r>
    </w:p>
    <w:p>
      <w:r>
        <w:pict>
          <v:rect style="width:0;height:1.5pt" o:hralign="center" o:hrstd="t" o:hr="t"/>
        </w:pict>
      </w:r>
    </w:p>
    <w:bookmarkEnd w:id="15"/>
    <w:bookmarkStart w:id="16" w:name="第8条不正利用"/>
    <w:p>
      <w:pPr>
        <w:pStyle w:val="Heading2"/>
      </w:pPr>
      <w:r>
        <w:rPr>
          <w:rFonts w:hint="eastAsia"/>
        </w:rPr>
        <w:t xml:space="preserve">第8条（不正利用）</w:t>
      </w:r>
    </w:p>
    <w:p>
      <w:pPr>
        <w:pStyle w:val="FirstParagraph"/>
      </w:pPr>
      <w:r>
        <w:rPr>
          <w:rFonts w:hint="eastAsia"/>
        </w:rPr>
        <w:t xml:space="preserve">虚偽の申請・不正な領収書の使用が判明した場合は、補助額の返還を求めるとともに、就業規則に基づき懲戒処分の対象とします。</w:t>
      </w:r>
    </w:p>
    <w:p>
      <w:r>
        <w:pict>
          <v:rect style="width:0;height:1.5pt" o:hralign="center" o:hrstd="t" o:hr="t"/>
        </w:pict>
      </w:r>
    </w:p>
    <w:bookmarkEnd w:id="16"/>
    <w:bookmarkStart w:id="17" w:name="第9条改廃"/>
    <w:p>
      <w:pPr>
        <w:pStyle w:val="Heading2"/>
      </w:pPr>
      <w:r>
        <w:rPr>
          <w:rFonts w:hint="eastAsia"/>
        </w:rPr>
        <w:t xml:space="preserve">第9条（改廃）</w:t>
      </w:r>
    </w:p>
    <w:p>
      <w:pPr>
        <w:pStyle w:val="FirstParagraph"/>
      </w:pPr>
      <w:r>
        <w:rPr>
          <w:rFonts w:hint="eastAsia"/>
        </w:rPr>
        <w:t xml:space="preserve">この規程の改廃は、会社が行います。</w:t>
      </w:r>
    </w:p>
    <w:p>
      <w:r>
        <w:pict>
          <v:rect style="width:0;height:1.5pt" o:hralign="center" o:hrstd="t" o:hr="t"/>
        </w:pict>
      </w:r>
    </w:p>
    <w:bookmarkEnd w:id="17"/>
    <w:bookmarkStart w:id="19" w:name="付記"/>
    <w:p>
      <w:pPr>
        <w:pStyle w:val="Heading2"/>
      </w:pPr>
      <w:r>
        <w:rPr>
          <w:rFonts w:hint="eastAsia"/>
        </w:rPr>
        <w:t xml:space="preserve">付記</w:t>
      </w:r>
    </w:p>
    <w:bookmarkStart w:id="18" w:name="施行にあたって"/>
    <w:p>
      <w:pPr>
        <w:pStyle w:val="Heading3"/>
      </w:pPr>
      <w:r>
        <w:rPr>
          <w:rFonts w:hint="eastAsia"/>
        </w:rPr>
        <w:t xml:space="preserve">施行にあたって</w:t>
      </w:r>
    </w:p>
    <w:p>
      <w:pPr>
        <w:pStyle w:val="Compact"/>
        <w:numPr>
          <w:ilvl w:val="0"/>
          <w:numId w:val="1004"/>
        </w:numPr>
      </w:pPr>
      <w:r>
        <w:rPr>
          <w:rFonts w:hint="eastAsia"/>
        </w:rPr>
        <w:t xml:space="preserve">本規程の施行日以前の取り扱いは、本規程の遡及適用はしません。</w:t>
      </w:r>
    </w:p>
    <w:p>
      <w:pPr>
        <w:pStyle w:val="Compact"/>
        <w:numPr>
          <w:ilvl w:val="0"/>
          <w:numId w:val="1004"/>
        </w:numPr>
      </w:pPr>
      <w:r>
        <w:rPr>
          <w:rFonts w:hint="eastAsia"/>
        </w:rPr>
        <w:t xml:space="preserve">過去の支給分については、当時の取り扱いに基づき処理済みのものとします。</w:t>
      </w:r>
    </w:p>
    <w:p>
      <w:r>
        <w:pict>
          <v:rect style="width:0;height:1.5pt" o:hralign="center" o:hrstd="t" o:hr="t"/>
        </w:pict>
      </w:r>
    </w:p>
    <w:p>
      <w:pPr>
        <w:pStyle w:val="FirstParagraph"/>
      </w:pPr>
      <w:r>
        <w:rPr>
          <w:rFonts w:hint="eastAsia"/>
          <w:b/>
          <w:bCs/>
        </w:rPr>
        <w:t xml:space="preserve">制定日：2026年4月21日</w:t>
      </w:r>
      <w:r>
        <w:t xml:space="preserve"> </w:t>
      </w:r>
      <w:r>
        <w:rPr>
          <w:rFonts w:hint="eastAsia"/>
          <w:b/>
          <w:bCs/>
        </w:rPr>
        <w:t xml:space="preserve">施行日：2026年1月1日</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2026-04-21T07:33:12Z</dcterms:created>
  <dcterms:modified xsi:type="dcterms:W3CDTF">2026-04-21T07:33:12Z</dcterms:modified>
</cp:coreProperties>
</file>

<file path=docProps/custom.xml><?xml version="1.0" encoding="utf-8"?>
<Properties xmlns="http://schemas.openxmlformats.org/officeDocument/2006/custom-properties" xmlns:vt="http://schemas.openxmlformats.org/officeDocument/2006/docPropsVTypes"/>
</file>