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702D" w14:textId="77777777" w:rsidR="002A6909" w:rsidRDefault="00575CC0">
      <w:pPr>
        <w:pStyle w:val="Title"/>
      </w:pPr>
      <w:r>
        <w:t>RetailPulse Inc.</w:t>
      </w:r>
    </w:p>
    <w:p w14:paraId="139E702E" w14:textId="77777777" w:rsidR="002A6909" w:rsidRDefault="00575CC0">
      <w:pPr>
        <w:spacing w:after="400"/>
      </w:pPr>
      <w:r>
        <w:rPr>
          <w:i/>
          <w:iCs/>
          <w:color w:val="1F4E78"/>
          <w:sz w:val="26"/>
          <w:szCs w:val="26"/>
        </w:rPr>
        <w:t>Regional Profitability &amp; Demand Analysis — Project Documentation</w:t>
      </w:r>
    </w:p>
    <w:p w14:paraId="139E702F" w14:textId="77777777" w:rsidR="002A6909" w:rsidRDefault="00575CC0">
      <w:pPr>
        <w:pStyle w:val="Heading1"/>
        <w:spacing w:before="300" w:after="150"/>
      </w:pPr>
      <w:r>
        <w:t>1. Executive Summary</w:t>
      </w:r>
    </w:p>
    <w:p w14:paraId="139E7030" w14:textId="77777777" w:rsidR="002A6909" w:rsidRDefault="00575CC0">
      <w:pPr>
        <w:spacing w:after="120"/>
      </w:pPr>
      <w:r>
        <w:rPr>
          <w:sz w:val="22"/>
          <w:szCs w:val="22"/>
        </w:rPr>
        <w:t>RetailPulse Inc.'s net profit margin declined from 8.2% to 6.5% over eight quarters despite stable revenue. This analysis of 6,500 cleaned transaction records identifies the primary driver: a small but concentrated segment — Electronics sold in the South region — accounts for 86% of all loss-making transactions, caused by discounting nearly double the company average. The recommended fix is a targeted discount ceiling for this segment, paired with a root-cause investigation into why South's discounting prac</w:t>
      </w:r>
      <w:r>
        <w:rPr>
          <w:sz w:val="22"/>
          <w:szCs w:val="22"/>
        </w:rPr>
        <w:t>tice diverges so sharply from other regions, and a data validation control to prevent a related cost-entry error from recurring.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A6909" w14:paraId="139E7033" w14:textId="77777777">
        <w:tblPrEx>
          <w:tblCellMar>
            <w:top w:w="0" w:type="dxa"/>
            <w:bottom w:w="0" w:type="dxa"/>
          </w:tblCellMar>
        </w:tblPrEx>
        <w:trPr>
          <w:tblHeader/>
        </w:trPr>
        <w:tc>
          <w:tcPr>
            <w:tcW w:w="4500" w:type="dxa"/>
            <w:shd w:val="clear" w:color="auto" w:fill="1F4E78"/>
          </w:tcPr>
          <w:p w14:paraId="139E7031" w14:textId="77777777" w:rsidR="002A6909" w:rsidRDefault="00575CC0">
            <w:r>
              <w:rPr>
                <w:b/>
                <w:bCs/>
                <w:color w:val="FFFFFF"/>
                <w:sz w:val="22"/>
                <w:szCs w:val="22"/>
              </w:rPr>
              <w:t>KPI</w:t>
            </w:r>
          </w:p>
        </w:tc>
        <w:tc>
          <w:tcPr>
            <w:tcW w:w="4500" w:type="dxa"/>
            <w:shd w:val="clear" w:color="auto" w:fill="1F4E78"/>
          </w:tcPr>
          <w:p w14:paraId="139E7032" w14:textId="77777777" w:rsidR="002A6909" w:rsidRDefault="00575CC0">
            <w:r>
              <w:rPr>
                <w:b/>
                <w:bCs/>
                <w:color w:val="FFFFFF"/>
                <w:sz w:val="22"/>
                <w:szCs w:val="22"/>
              </w:rPr>
              <w:t>Value</w:t>
            </w:r>
          </w:p>
        </w:tc>
      </w:tr>
      <w:tr w:rsidR="002A6909" w14:paraId="139E7036" w14:textId="77777777">
        <w:tblPrEx>
          <w:tblCellMar>
            <w:top w:w="0" w:type="dxa"/>
            <w:bottom w:w="0" w:type="dxa"/>
          </w:tblCellMar>
        </w:tblPrEx>
        <w:tc>
          <w:tcPr>
            <w:tcW w:w="4500" w:type="dxa"/>
          </w:tcPr>
          <w:p w14:paraId="139E7034" w14:textId="77777777" w:rsidR="002A6909" w:rsidRDefault="00575CC0">
            <w:r>
              <w:rPr>
                <w:sz w:val="22"/>
                <w:szCs w:val="22"/>
              </w:rPr>
              <w:t>Total Revenue</w:t>
            </w:r>
          </w:p>
        </w:tc>
        <w:tc>
          <w:tcPr>
            <w:tcW w:w="4500" w:type="dxa"/>
          </w:tcPr>
          <w:p w14:paraId="139E7035" w14:textId="77777777" w:rsidR="002A6909" w:rsidRDefault="00575CC0">
            <w:r>
              <w:rPr>
                <w:sz w:val="22"/>
                <w:szCs w:val="22"/>
              </w:rPr>
              <w:t>₹16,53,907.59</w:t>
            </w:r>
          </w:p>
        </w:tc>
      </w:tr>
      <w:tr w:rsidR="002A6909" w14:paraId="139E7039" w14:textId="77777777">
        <w:tblPrEx>
          <w:tblCellMar>
            <w:top w:w="0" w:type="dxa"/>
            <w:bottom w:w="0" w:type="dxa"/>
          </w:tblCellMar>
        </w:tblPrEx>
        <w:tc>
          <w:tcPr>
            <w:tcW w:w="4500" w:type="dxa"/>
            <w:shd w:val="clear" w:color="auto" w:fill="F2F2F2"/>
          </w:tcPr>
          <w:p w14:paraId="139E7037" w14:textId="77777777" w:rsidR="002A6909" w:rsidRDefault="00575CC0">
            <w:r>
              <w:rPr>
                <w:sz w:val="22"/>
                <w:szCs w:val="22"/>
              </w:rPr>
              <w:t>Net Margin %</w:t>
            </w:r>
          </w:p>
        </w:tc>
        <w:tc>
          <w:tcPr>
            <w:tcW w:w="4500" w:type="dxa"/>
            <w:shd w:val="clear" w:color="auto" w:fill="F2F2F2"/>
          </w:tcPr>
          <w:p w14:paraId="139E7038" w14:textId="77777777" w:rsidR="002A6909" w:rsidRDefault="00575CC0">
            <w:r>
              <w:rPr>
                <w:sz w:val="22"/>
                <w:szCs w:val="22"/>
              </w:rPr>
              <w:t>38.8%</w:t>
            </w:r>
          </w:p>
        </w:tc>
      </w:tr>
      <w:tr w:rsidR="002A6909" w14:paraId="139E703C" w14:textId="77777777">
        <w:tblPrEx>
          <w:tblCellMar>
            <w:top w:w="0" w:type="dxa"/>
            <w:bottom w:w="0" w:type="dxa"/>
          </w:tblCellMar>
        </w:tblPrEx>
        <w:tc>
          <w:tcPr>
            <w:tcW w:w="4500" w:type="dxa"/>
          </w:tcPr>
          <w:p w14:paraId="139E703A" w14:textId="77777777" w:rsidR="002A6909" w:rsidRDefault="00575CC0">
            <w:r>
              <w:rPr>
                <w:sz w:val="22"/>
                <w:szCs w:val="22"/>
              </w:rPr>
              <w:t>Loss-Making Transactions</w:t>
            </w:r>
          </w:p>
        </w:tc>
        <w:tc>
          <w:tcPr>
            <w:tcW w:w="4500" w:type="dxa"/>
          </w:tcPr>
          <w:p w14:paraId="139E703B" w14:textId="77777777" w:rsidR="002A6909" w:rsidRDefault="00575CC0">
            <w:r>
              <w:rPr>
                <w:sz w:val="22"/>
                <w:szCs w:val="22"/>
              </w:rPr>
              <w:t>1.8% (115 of 6,500)</w:t>
            </w:r>
          </w:p>
        </w:tc>
      </w:tr>
      <w:tr w:rsidR="002A6909" w14:paraId="139E703F" w14:textId="77777777">
        <w:tblPrEx>
          <w:tblCellMar>
            <w:top w:w="0" w:type="dxa"/>
            <w:bottom w:w="0" w:type="dxa"/>
          </w:tblCellMar>
        </w:tblPrEx>
        <w:tc>
          <w:tcPr>
            <w:tcW w:w="4500" w:type="dxa"/>
            <w:shd w:val="clear" w:color="auto" w:fill="F2F2F2"/>
          </w:tcPr>
          <w:p w14:paraId="139E703D" w14:textId="77777777" w:rsidR="002A6909" w:rsidRDefault="00575CC0">
            <w:r>
              <w:rPr>
                <w:sz w:val="22"/>
                <w:szCs w:val="22"/>
              </w:rPr>
              <w:t>Average Discount Rate</w:t>
            </w:r>
          </w:p>
        </w:tc>
        <w:tc>
          <w:tcPr>
            <w:tcW w:w="4500" w:type="dxa"/>
            <w:shd w:val="clear" w:color="auto" w:fill="F2F2F2"/>
          </w:tcPr>
          <w:p w14:paraId="139E703E" w14:textId="77777777" w:rsidR="002A6909" w:rsidRDefault="00575CC0">
            <w:r>
              <w:rPr>
                <w:sz w:val="22"/>
                <w:szCs w:val="22"/>
              </w:rPr>
              <w:t>11.2% company-wide (21.7% in South)</w:t>
            </w:r>
          </w:p>
        </w:tc>
      </w:tr>
    </w:tbl>
    <w:p w14:paraId="139E7040" w14:textId="77777777" w:rsidR="002A6909" w:rsidRDefault="00575CC0">
      <w:pPr>
        <w:pStyle w:val="Heading1"/>
        <w:spacing w:before="300" w:after="150"/>
      </w:pPr>
      <w:r>
        <w:t>2. Project Background</w:t>
      </w:r>
    </w:p>
    <w:p w14:paraId="139E7041" w14:textId="77777777" w:rsidR="002A6909" w:rsidRDefault="00575CC0">
      <w:pPr>
        <w:spacing w:after="100"/>
      </w:pPr>
      <w:r>
        <w:rPr>
          <w:b/>
          <w:bCs/>
          <w:sz w:val="22"/>
          <w:szCs w:val="22"/>
        </w:rPr>
        <w:t xml:space="preserve">Business Question: </w:t>
      </w:r>
      <w:r>
        <w:rPr>
          <w:sz w:val="22"/>
          <w:szCs w:val="22"/>
        </w:rPr>
        <w:t>Why has RetailPulse's net profit margin dropped from 8.2% to 6.5% over the last 8 quarters despite stable revenue, and what should we do about it?</w:t>
      </w:r>
    </w:p>
    <w:p w14:paraId="139E7042" w14:textId="77777777" w:rsidR="002A6909" w:rsidRDefault="00575CC0">
      <w:pPr>
        <w:spacing w:after="100"/>
      </w:pPr>
      <w:r>
        <w:rPr>
          <w:b/>
          <w:bCs/>
          <w:sz w:val="22"/>
          <w:szCs w:val="22"/>
        </w:rPr>
        <w:t xml:space="preserve">Stakeholder &amp; Decision: </w:t>
      </w:r>
      <w:r>
        <w:rPr>
          <w:sz w:val="22"/>
          <w:szCs w:val="22"/>
        </w:rPr>
        <w:t>VP of Merchandising — will use this analysis to decide which product category needs renegotiated supplier pricing or reduced discounting.</w:t>
      </w:r>
    </w:p>
    <w:p w14:paraId="139E7043" w14:textId="77777777" w:rsidR="002A6909" w:rsidRDefault="00575CC0">
      <w:pPr>
        <w:spacing w:after="120"/>
      </w:pPr>
      <w:r>
        <w:rPr>
          <w:b/>
          <w:bCs/>
          <w:sz w:val="22"/>
          <w:szCs w:val="22"/>
        </w:rPr>
        <w:t>Hypotheses tested:</w:t>
      </w:r>
    </w:p>
    <w:p w14:paraId="139E7044" w14:textId="77777777" w:rsidR="002A6909" w:rsidRDefault="00575CC0">
      <w:pPr>
        <w:pStyle w:val="ListParagraph"/>
        <w:numPr>
          <w:ilvl w:val="0"/>
          <w:numId w:val="1"/>
        </w:numPr>
        <w:spacing w:after="60"/>
      </w:pPr>
      <w:r>
        <w:rPr>
          <w:sz w:val="22"/>
          <w:szCs w:val="22"/>
        </w:rPr>
        <w:t>Discounting has increased in certain regions, cutting into margin.</w:t>
      </w:r>
    </w:p>
    <w:p w14:paraId="139E7045" w14:textId="77777777" w:rsidR="002A6909" w:rsidRDefault="00575CC0">
      <w:pPr>
        <w:pStyle w:val="ListParagraph"/>
        <w:numPr>
          <w:ilvl w:val="0"/>
          <w:numId w:val="1"/>
        </w:numPr>
        <w:spacing w:after="60"/>
      </w:pPr>
      <w:r>
        <w:rPr>
          <w:sz w:val="22"/>
          <w:szCs w:val="22"/>
        </w:rPr>
        <w:t>Electronics has thin margins and now makes up more of total sales.</w:t>
      </w:r>
    </w:p>
    <w:p w14:paraId="139E7046" w14:textId="77777777" w:rsidR="002A6909" w:rsidRDefault="00575CC0">
      <w:pPr>
        <w:pStyle w:val="ListParagraph"/>
        <w:numPr>
          <w:ilvl w:val="0"/>
          <w:numId w:val="1"/>
        </w:numPr>
        <w:spacing w:after="60"/>
      </w:pPr>
      <w:r>
        <w:rPr>
          <w:sz w:val="22"/>
          <w:szCs w:val="22"/>
        </w:rPr>
        <w:t>Returns are concentrated in one region, quietly eating profit.</w:t>
      </w:r>
    </w:p>
    <w:p w14:paraId="139E7047" w14:textId="77777777" w:rsidR="002A6909" w:rsidRDefault="00575CC0">
      <w:pPr>
        <w:pStyle w:val="ListParagraph"/>
        <w:numPr>
          <w:ilvl w:val="0"/>
          <w:numId w:val="1"/>
        </w:numPr>
        <w:spacing w:after="60"/>
      </w:pPr>
      <w:r>
        <w:rPr>
          <w:sz w:val="22"/>
          <w:szCs w:val="22"/>
        </w:rPr>
        <w:t>Costs rose in one region, but prices did not follow.</w:t>
      </w:r>
    </w:p>
    <w:p w14:paraId="139E7048" w14:textId="77777777" w:rsidR="002A6909" w:rsidRDefault="00575CC0">
      <w:pPr>
        <w:pStyle w:val="Heading1"/>
        <w:spacing w:before="300" w:after="150"/>
      </w:pPr>
      <w:r>
        <w:t>3. Data Overview</w:t>
      </w:r>
    </w:p>
    <w:p w14:paraId="139E7049" w14:textId="77777777" w:rsidR="002A6909" w:rsidRDefault="00575CC0">
      <w:pPr>
        <w:spacing w:after="120"/>
      </w:pPr>
      <w:r>
        <w:rPr>
          <w:sz w:val="22"/>
          <w:szCs w:val="22"/>
        </w:rPr>
        <w:t>Source: Simulated POS transactions export, FY2024–FY2025. Raw file contained 6,598 transaction records across 12 columns: TransactionID, Date, Region, Store, Category, Product, CustomerSegment, UnitsSold, UnitPrice, DiscountPct, UnitCost, and Returned.</w:t>
      </w:r>
    </w:p>
    <w:p w14:paraId="139E704A" w14:textId="77777777" w:rsidR="002A6909" w:rsidRDefault="00575CC0">
      <w:pPr>
        <w:spacing w:after="120"/>
      </w:pPr>
      <w:r>
        <w:rPr>
          <w:sz w:val="22"/>
          <w:szCs w:val="22"/>
        </w:rPr>
        <w:t>The raw export contained realistic data quality issues typical of a POS system pull, including inconsistent text casing and spacing, four different date formats, missing values scattered across seven columns, inconsistent boolean encoding in the Returned field, duplicate transaction rows, and entry errors in quantity and cost fields.</w:t>
      </w:r>
    </w:p>
    <w:p w14:paraId="139E704B" w14:textId="77777777" w:rsidR="002A6909" w:rsidRDefault="00575CC0">
      <w:pPr>
        <w:pStyle w:val="Heading1"/>
        <w:spacing w:before="300" w:after="150"/>
      </w:pPr>
      <w:r>
        <w:t>4. Methodology</w:t>
      </w:r>
    </w:p>
    <w:p w14:paraId="139E704C" w14:textId="77777777" w:rsidR="002A6909" w:rsidRDefault="00575CC0">
      <w:pPr>
        <w:spacing w:after="120"/>
      </w:pPr>
      <w:r>
        <w:rPr>
          <w:sz w:val="22"/>
          <w:szCs w:val="22"/>
        </w:rPr>
        <w:t>Data cleaning and preparation followed a structured, auditable process — every transformation was built as a traceable formula (see Formula_Log.docx for the complete reference) rather than manual edits, so every change is reproducible and explainable.</w:t>
      </w:r>
    </w:p>
    <w:p w14:paraId="139E704D" w14:textId="77777777" w:rsidR="002A6909" w:rsidRDefault="00575CC0">
      <w:pPr>
        <w:pStyle w:val="ListParagraph"/>
        <w:numPr>
          <w:ilvl w:val="0"/>
          <w:numId w:val="1"/>
        </w:numPr>
        <w:spacing w:after="60"/>
      </w:pPr>
      <w:r>
        <w:rPr>
          <w:sz w:val="22"/>
          <w:szCs w:val="22"/>
        </w:rPr>
        <w:t>Text standardization: TRIM + CLEAN removed whitespace and hidden characters; PROPER normalized inconsistent capitalization in Region and Category.</w:t>
      </w:r>
    </w:p>
    <w:p w14:paraId="139E704E" w14:textId="77777777" w:rsidR="002A6909" w:rsidRDefault="00575CC0">
      <w:pPr>
        <w:pStyle w:val="ListParagraph"/>
        <w:numPr>
          <w:ilvl w:val="0"/>
          <w:numId w:val="1"/>
        </w:numPr>
        <w:spacing w:after="60"/>
      </w:pPr>
      <w:r>
        <w:rPr>
          <w:sz w:val="22"/>
          <w:szCs w:val="22"/>
        </w:rPr>
        <w:lastRenderedPageBreak/>
        <w:t>Date standardization: built a format-detection formula, then manually reconstructed each date from its component parts rather than relying on locale-dependent functions, avoiding misread dates across four different source formats.</w:t>
      </w:r>
    </w:p>
    <w:p w14:paraId="139E704F" w14:textId="77777777" w:rsidR="002A6909" w:rsidRDefault="00575CC0">
      <w:pPr>
        <w:pStyle w:val="ListParagraph"/>
        <w:numPr>
          <w:ilvl w:val="0"/>
          <w:numId w:val="1"/>
        </w:numPr>
        <w:spacing w:after="60"/>
      </w:pPr>
      <w:r>
        <w:rPr>
          <w:sz w:val="22"/>
          <w:szCs w:val="22"/>
        </w:rPr>
        <w:t>Duplicate removal: 98 duplicate transactions identified and removed using TransactionID as the uniqueness key.</w:t>
      </w:r>
    </w:p>
    <w:p w14:paraId="139E7050" w14:textId="77777777" w:rsidR="002A6909" w:rsidRDefault="00575CC0">
      <w:pPr>
        <w:pStyle w:val="ListParagraph"/>
        <w:numPr>
          <w:ilvl w:val="0"/>
          <w:numId w:val="1"/>
        </w:numPr>
        <w:spacing w:after="60"/>
      </w:pPr>
      <w:r>
        <w:rPr>
          <w:sz w:val="22"/>
          <w:szCs w:val="22"/>
        </w:rPr>
        <w:t>Categorical standardization: Returned values (Yes/No/Y/N/1/0/blank) consolidated into a single Yes/No/Unknown standard, with blanks explicitly flagged rather than assumed.</w:t>
      </w:r>
    </w:p>
    <w:p w14:paraId="139E7051" w14:textId="77777777" w:rsidR="002A6909" w:rsidRDefault="00575CC0">
      <w:pPr>
        <w:pStyle w:val="ListParagraph"/>
        <w:numPr>
          <w:ilvl w:val="0"/>
          <w:numId w:val="1"/>
        </w:numPr>
        <w:spacing w:after="60"/>
      </w:pPr>
      <w:r>
        <w:rPr>
          <w:sz w:val="22"/>
          <w:szCs w:val="22"/>
        </w:rPr>
        <w:t>Outlier handling: negative UnitsSold values corrected via absolute value; implausible outlier quantities (200–1,500 units on single retail transactions) capped at a defensible ceiling and documented as an assumption.</w:t>
      </w:r>
    </w:p>
    <w:p w14:paraId="139E7052" w14:textId="77777777" w:rsidR="002A6909" w:rsidRDefault="00575CC0">
      <w:pPr>
        <w:pStyle w:val="ListParagraph"/>
        <w:numPr>
          <w:ilvl w:val="0"/>
          <w:numId w:val="1"/>
        </w:numPr>
        <w:spacing w:after="60"/>
      </w:pPr>
      <w:r>
        <w:rPr>
          <w:sz w:val="22"/>
          <w:szCs w:val="22"/>
        </w:rPr>
        <w:t>Missing value strategy — applied per-field based on business meaning, not a single blanket rule: UnitPrice/UnitCost estimated from same-product averages; DiscountPct defaulted to 0; CustomerSegment and Store labeled "Unknown" rather than guessed.</w:t>
      </w:r>
    </w:p>
    <w:p w14:paraId="139E7053" w14:textId="77777777" w:rsidR="002A6909" w:rsidRDefault="00575CC0">
      <w:pPr>
        <w:pStyle w:val="ListParagraph"/>
        <w:numPr>
          <w:ilvl w:val="0"/>
          <w:numId w:val="1"/>
        </w:numPr>
        <w:spacing w:after="60"/>
      </w:pPr>
      <w:r>
        <w:rPr>
          <w:sz w:val="22"/>
          <w:szCs w:val="22"/>
        </w:rPr>
        <w:t>Data validation: identified 35 transactions where UnitCost exceeded UnitPrice — an impossible pricing scenario — and corrected using average cost of the same product from valid transactions.</w:t>
      </w:r>
    </w:p>
    <w:p w14:paraId="139E7054" w14:textId="77777777" w:rsidR="002A6909" w:rsidRDefault="00575CC0">
      <w:pPr>
        <w:spacing w:after="120"/>
      </w:pPr>
      <w:r>
        <w:rPr>
          <w:sz w:val="22"/>
          <w:szCs w:val="22"/>
        </w:rPr>
        <w:t>Final clean dataset: 6,500 verified transaction records (from an original 6,598 raw rows, net of 98 duplicates removed).</w:t>
      </w:r>
    </w:p>
    <w:p w14:paraId="139E7055" w14:textId="77777777" w:rsidR="002A6909" w:rsidRDefault="00575CC0">
      <w:pPr>
        <w:pStyle w:val="Heading1"/>
        <w:spacing w:before="300" w:after="150"/>
      </w:pPr>
      <w:r>
        <w:t>5. Key Findings</w:t>
      </w:r>
    </w:p>
    <w:p w14:paraId="139E7056" w14:textId="77777777" w:rsidR="002A6909" w:rsidRDefault="00575CC0">
      <w:pPr>
        <w:spacing w:before="200" w:after="80"/>
      </w:pPr>
      <w:r>
        <w:rPr>
          <w:b/>
          <w:bCs/>
          <w:color w:val="1F4E78"/>
          <w:sz w:val="23"/>
          <w:szCs w:val="23"/>
        </w:rPr>
        <w:t>Finding #1 — Discounting Concentration</w:t>
      </w:r>
    </w:p>
    <w:p w14:paraId="139E7057" w14:textId="77777777" w:rsidR="002A6909" w:rsidRDefault="00575CC0">
      <w:pPr>
        <w:spacing w:after="120"/>
      </w:pPr>
      <w:r>
        <w:rPr>
          <w:sz w:val="22"/>
          <w:szCs w:val="22"/>
        </w:rPr>
        <w:t>While only 1.8% of all transactions were sold at a loss, 86% of those losses (99 of 115) came from a single combination: Electronics sold in the South region. South applies an average discount of 21.7%, compared to just 11.2% company-wide — nearly double. This confirms the losses are driven by excessive discounting specifically on Electronics in the South region, which is pushing an already thin-margin category below breakeven.</w:t>
      </w:r>
    </w:p>
    <w:p w14:paraId="139E7058" w14:textId="77777777" w:rsidR="002A6909" w:rsidRDefault="00575CC0">
      <w:pPr>
        <w:spacing w:before="200" w:after="80"/>
      </w:pPr>
      <w:r>
        <w:rPr>
          <w:b/>
          <w:bCs/>
          <w:color w:val="1F4E78"/>
          <w:sz w:val="23"/>
          <w:szCs w:val="23"/>
        </w:rPr>
        <w:t>Finding #2 — Data Quality / Cost Entry Errors</w:t>
      </w:r>
    </w:p>
    <w:p w14:paraId="139E7059" w14:textId="77777777" w:rsidR="002A6909" w:rsidRDefault="00575CC0">
      <w:pPr>
        <w:spacing w:after="120"/>
      </w:pPr>
      <w:r>
        <w:rPr>
          <w:sz w:val="22"/>
          <w:szCs w:val="22"/>
        </w:rPr>
        <w:t>35 transactions (0.5%) had UnitCost values exceeding UnitPrice — an impossible pricing scenario, producing margins as extreme as -428%. These were identified as data entry errors rather than legitimate loss-leader pricing, based on the magnitude of the loss, and corrected using the average cost of the same product from valid transactions.</w:t>
      </w:r>
    </w:p>
    <w:p w14:paraId="139E705A" w14:textId="77777777" w:rsidR="002A6909" w:rsidRDefault="00575CC0">
      <w:pPr>
        <w:spacing w:before="200" w:after="80"/>
      </w:pPr>
      <w:r>
        <w:rPr>
          <w:b/>
          <w:bCs/>
          <w:color w:val="1F4E78"/>
          <w:sz w:val="23"/>
          <w:szCs w:val="23"/>
        </w:rPr>
        <w:t>Finding #3 — Margin Erosion Over Time</w:t>
      </w:r>
    </w:p>
    <w:p w14:paraId="139E705B" w14:textId="77777777" w:rsidR="002A6909" w:rsidRDefault="00575CC0">
      <w:pPr>
        <w:spacing w:after="120"/>
      </w:pPr>
      <w:r>
        <w:rPr>
          <w:sz w:val="22"/>
          <w:szCs w:val="22"/>
        </w:rPr>
        <w:t>While revenue grew consistently through 2024–2025, net profit margin showed a gradual downward trend with increasing volatility — suggesting the South+Electronics discounting problem (and the cost data errors) aren't isolated incidents, but a worsening pattern as the business scales.</w:t>
      </w:r>
    </w:p>
    <w:p w14:paraId="139E705C" w14:textId="77777777" w:rsidR="002A6909" w:rsidRDefault="00575CC0">
      <w:pPr>
        <w:spacing w:before="200" w:after="80"/>
      </w:pPr>
      <w:r>
        <w:rPr>
          <w:b/>
          <w:bCs/>
          <w:color w:val="1F4E78"/>
          <w:sz w:val="23"/>
          <w:szCs w:val="23"/>
        </w:rPr>
        <w:t>Finding #4 — Forecasting Methodology Risk</w:t>
      </w:r>
    </w:p>
    <w:p w14:paraId="139E705D" w14:textId="77777777" w:rsidR="002A6909" w:rsidRDefault="00575CC0">
      <w:pPr>
        <w:spacing w:after="120"/>
      </w:pPr>
      <w:r>
        <w:rPr>
          <w:sz w:val="22"/>
          <w:szCs w:val="22"/>
        </w:rPr>
        <w:t>A naive linear forecast for Q1 2026 overstated revenue by roughly 40% due to distortion from a single low December data point. A seasonally-adjusted approach, anchored to actual recent performance, produced a more defensible projection — illustrating why forecasting methodology choice matters for planning decisions like inventory and staffing.</w:t>
      </w:r>
    </w:p>
    <w:p w14:paraId="139E705E" w14:textId="77777777" w:rsidR="002A6909" w:rsidRDefault="00575CC0">
      <w:pPr>
        <w:pStyle w:val="Heading1"/>
        <w:spacing w:before="300" w:after="150"/>
      </w:pPr>
      <w:r>
        <w:t>6. Strategic Recommendations</w:t>
      </w:r>
    </w:p>
    <w:p w14:paraId="139E705F" w14:textId="77777777" w:rsidR="002A6909" w:rsidRDefault="00575CC0">
      <w:pPr>
        <w:spacing w:before="200" w:after="80"/>
      </w:pPr>
      <w:r>
        <w:rPr>
          <w:b/>
          <w:bCs/>
          <w:color w:val="1F4E78"/>
          <w:sz w:val="23"/>
          <w:szCs w:val="23"/>
        </w:rPr>
        <w:t>Recommendation #1: Cap or Review Discounting in South Region (tied to Finding #1)</w:t>
      </w:r>
    </w:p>
    <w:p w14:paraId="139E7060" w14:textId="77777777" w:rsidR="002A6909" w:rsidRDefault="00575CC0">
      <w:pPr>
        <w:spacing w:after="60"/>
      </w:pPr>
      <w:r>
        <w:rPr>
          <w:b/>
          <w:bCs/>
          <w:sz w:val="22"/>
          <w:szCs w:val="22"/>
        </w:rPr>
        <w:t xml:space="preserve">Action: </w:t>
      </w:r>
      <w:r>
        <w:rPr>
          <w:sz w:val="22"/>
          <w:szCs w:val="22"/>
        </w:rPr>
        <w:t>Implement a discount ceiling for Electronics in the South region — for example, a maximum 12–15% discount threshold (roughly matching other regions), requiring manager approval for anything higher.</w:t>
      </w:r>
    </w:p>
    <w:p w14:paraId="139E7061" w14:textId="2466EFCD" w:rsidR="002A6909" w:rsidRDefault="00575CC0">
      <w:pPr>
        <w:spacing w:after="60"/>
      </w:pPr>
      <w:r>
        <w:rPr>
          <w:b/>
          <w:bCs/>
          <w:sz w:val="22"/>
          <w:szCs w:val="22"/>
        </w:rPr>
        <w:t xml:space="preserve">Why: </w:t>
      </w:r>
      <w:r>
        <w:rPr>
          <w:sz w:val="22"/>
          <w:szCs w:val="22"/>
        </w:rPr>
        <w:t xml:space="preserve">South's ~21.7% average discount (vs ~7–8% in other regions individually) is the single largest driver of loss-making transactions, </w:t>
      </w:r>
      <w:r w:rsidR="00902081">
        <w:rPr>
          <w:sz w:val="22"/>
          <w:szCs w:val="22"/>
        </w:rPr>
        <w:t>concentrated,</w:t>
      </w:r>
      <w:r>
        <w:rPr>
          <w:sz w:val="22"/>
          <w:szCs w:val="22"/>
        </w:rPr>
        <w:t xml:space="preserve"> specifically in Electronics.</w:t>
      </w:r>
    </w:p>
    <w:p w14:paraId="139E7062" w14:textId="77777777" w:rsidR="002A6909" w:rsidRDefault="00575CC0">
      <w:pPr>
        <w:spacing w:after="100"/>
      </w:pPr>
      <w:r>
        <w:rPr>
          <w:b/>
          <w:bCs/>
          <w:sz w:val="22"/>
          <w:szCs w:val="22"/>
        </w:rPr>
        <w:lastRenderedPageBreak/>
        <w:t xml:space="preserve">Estimated Impact: </w:t>
      </w:r>
      <w:r>
        <w:rPr>
          <w:sz w:val="22"/>
          <w:szCs w:val="22"/>
        </w:rPr>
        <w:t>If South's discount rate matched the company average, the 111 loss-making South transactions would likely shift toward positive margin — directly reducing the 1.8% loss-making transaction rate toward near-zero.</w:t>
      </w:r>
    </w:p>
    <w:p w14:paraId="139E7063" w14:textId="77777777" w:rsidR="002A6909" w:rsidRDefault="00575CC0">
      <w:pPr>
        <w:spacing w:before="200" w:after="80"/>
      </w:pPr>
      <w:r>
        <w:rPr>
          <w:b/>
          <w:bCs/>
          <w:color w:val="1F4E78"/>
          <w:sz w:val="23"/>
          <w:szCs w:val="23"/>
        </w:rPr>
        <w:t>Recommendation #2: Implement a Cost Data Validation Check (tied to Finding #2)</w:t>
      </w:r>
    </w:p>
    <w:p w14:paraId="139E7064" w14:textId="54B6DCFD" w:rsidR="002A6909" w:rsidRDefault="00575CC0">
      <w:pPr>
        <w:spacing w:after="60"/>
      </w:pPr>
      <w:r>
        <w:rPr>
          <w:b/>
          <w:bCs/>
          <w:sz w:val="22"/>
          <w:szCs w:val="22"/>
        </w:rPr>
        <w:t xml:space="preserve">Action: </w:t>
      </w:r>
      <w:r>
        <w:rPr>
          <w:sz w:val="22"/>
          <w:szCs w:val="22"/>
        </w:rPr>
        <w:t xml:space="preserve">Add an automated validation rule at the point of data entry (or in the monthly reporting pipeline) that flags any transaction where UnitCost exceeds </w:t>
      </w:r>
      <w:r w:rsidR="00902081">
        <w:rPr>
          <w:sz w:val="22"/>
          <w:szCs w:val="22"/>
        </w:rPr>
        <w:t>UnitPrice before</w:t>
      </w:r>
      <w:r>
        <w:rPr>
          <w:sz w:val="22"/>
          <w:szCs w:val="22"/>
        </w:rPr>
        <w:t xml:space="preserve"> it reaches financial reporting.</w:t>
      </w:r>
    </w:p>
    <w:p w14:paraId="139E7065" w14:textId="77777777" w:rsidR="002A6909" w:rsidRDefault="00575CC0">
      <w:pPr>
        <w:spacing w:after="60"/>
      </w:pPr>
      <w:r>
        <w:rPr>
          <w:b/>
          <w:bCs/>
          <w:sz w:val="22"/>
          <w:szCs w:val="22"/>
        </w:rPr>
        <w:t xml:space="preserve">Why: </w:t>
      </w:r>
      <w:r>
        <w:rPr>
          <w:sz w:val="22"/>
          <w:szCs w:val="22"/>
        </w:rPr>
        <w:t>35 transactions with impossible pricing went undetected and would have distorted true margin figures in any report relying on raw data.</w:t>
      </w:r>
    </w:p>
    <w:p w14:paraId="139E7066" w14:textId="77777777" w:rsidR="002A6909" w:rsidRDefault="00575CC0">
      <w:pPr>
        <w:spacing w:after="100"/>
      </w:pPr>
      <w:r>
        <w:rPr>
          <w:b/>
          <w:bCs/>
          <w:sz w:val="22"/>
          <w:szCs w:val="22"/>
        </w:rPr>
        <w:t xml:space="preserve">Estimated Impact: </w:t>
      </w:r>
      <w:r>
        <w:rPr>
          <w:sz w:val="22"/>
          <w:szCs w:val="22"/>
        </w:rPr>
        <w:t>Prevents future margin miscalculation and protects the integrity of monthly profitability reporting.</w:t>
      </w:r>
    </w:p>
    <w:p w14:paraId="139E7067" w14:textId="77777777" w:rsidR="002A6909" w:rsidRDefault="00575CC0">
      <w:pPr>
        <w:spacing w:before="200" w:after="80"/>
      </w:pPr>
      <w:r>
        <w:rPr>
          <w:b/>
          <w:bCs/>
          <w:color w:val="1F4E78"/>
          <w:sz w:val="23"/>
          <w:szCs w:val="23"/>
        </w:rPr>
        <w:t>Recommendation #3: Investigate Root Cause of South's Discounting Practice (tied to Findings #1 &amp; #3)</w:t>
      </w:r>
    </w:p>
    <w:p w14:paraId="139E7068" w14:textId="77777777" w:rsidR="002A6909" w:rsidRDefault="00575CC0">
      <w:pPr>
        <w:spacing w:after="60"/>
      </w:pPr>
      <w:r>
        <w:rPr>
          <w:b/>
          <w:bCs/>
          <w:sz w:val="22"/>
          <w:szCs w:val="22"/>
        </w:rPr>
        <w:t xml:space="preserve">Action: </w:t>
      </w:r>
      <w:r>
        <w:rPr>
          <w:sz w:val="22"/>
          <w:szCs w:val="22"/>
        </w:rPr>
        <w:t>Before capping discounts, the VP of Merchandising should investigate why South discounts so much more heavily — a regional manager policy, response to local competition, inventory clearance pressure, or a training/system issue.</w:t>
      </w:r>
    </w:p>
    <w:p w14:paraId="139E7069" w14:textId="77777777" w:rsidR="002A6909" w:rsidRDefault="00575CC0">
      <w:pPr>
        <w:spacing w:after="60"/>
      </w:pPr>
      <w:r>
        <w:rPr>
          <w:b/>
          <w:bCs/>
          <w:sz w:val="22"/>
          <w:szCs w:val="22"/>
        </w:rPr>
        <w:t xml:space="preserve">Why: </w:t>
      </w:r>
      <w:r>
        <w:rPr>
          <w:sz w:val="22"/>
          <w:szCs w:val="22"/>
        </w:rPr>
        <w:t>Capping discounts treats the symptom; understanding root cause prevents the same issue re-emerging in a different form, and informs whether this is a pricing problem or a deeper operational one.</w:t>
      </w:r>
    </w:p>
    <w:p w14:paraId="139E706A" w14:textId="77777777" w:rsidR="002A6909" w:rsidRDefault="00575CC0">
      <w:pPr>
        <w:spacing w:after="100"/>
      </w:pPr>
      <w:r>
        <w:rPr>
          <w:b/>
          <w:bCs/>
          <w:sz w:val="22"/>
          <w:szCs w:val="22"/>
        </w:rPr>
        <w:t xml:space="preserve">Estimated Impact: </w:t>
      </w:r>
      <w:r>
        <w:rPr>
          <w:sz w:val="22"/>
          <w:szCs w:val="22"/>
        </w:rPr>
        <w:t>Enables a targeted fix rather than a blunt policy change that might hurt legitimate South sales volume.</w:t>
      </w:r>
    </w:p>
    <w:p w14:paraId="139E706B" w14:textId="77777777" w:rsidR="002A6909" w:rsidRDefault="00575CC0">
      <w:pPr>
        <w:pStyle w:val="Heading1"/>
        <w:spacing w:before="300" w:after="150"/>
      </w:pPr>
      <w:r>
        <w:t>7. Data Quality Incident — Transparency Note</w:t>
      </w:r>
    </w:p>
    <w:p w14:paraId="139E706C" w14:textId="77777777" w:rsidR="002A6909" w:rsidRDefault="00575CC0">
      <w:pPr>
        <w:spacing w:after="120"/>
      </w:pPr>
      <w:r>
        <w:rPr>
          <w:sz w:val="22"/>
          <w:szCs w:val="22"/>
        </w:rPr>
        <w:t>During the cleaning process, 63 rows were briefly and unintentionally fully cleared (rather than just their Date field) due to a selection error while resolving a separate Excel grouping issue. Rather than fabricate replacement data, a verification formula was built to confirm exactly which TransactionIDs were affected, and those records were recovered by matching against the untouched raw data source and re-applying the original cleaning logic. The final dataset was fully reconciled to 6,500 verified, comp</w:t>
      </w:r>
      <w:r>
        <w:rPr>
          <w:sz w:val="22"/>
          <w:szCs w:val="22"/>
        </w:rPr>
        <w:t>lete transactions, with zero blank identifiers and zero duplicates confirmed via formula. This incident and its resolution are documented here in the interest of full transparency about the data preparation process.</w:t>
      </w:r>
    </w:p>
    <w:p w14:paraId="139E706D" w14:textId="77777777" w:rsidR="002A6909" w:rsidRDefault="00575CC0">
      <w:pPr>
        <w:pStyle w:val="Heading1"/>
        <w:spacing w:before="300" w:after="150"/>
      </w:pPr>
      <w:r>
        <w:t>8. Appendix</w:t>
      </w:r>
    </w:p>
    <w:p w14:paraId="139E706E" w14:textId="5783527B" w:rsidR="002A6909" w:rsidRDefault="00575CC0">
      <w:pPr>
        <w:spacing w:after="120"/>
      </w:pPr>
      <w:r>
        <w:rPr>
          <w:sz w:val="22"/>
          <w:szCs w:val="22"/>
        </w:rPr>
        <w:t xml:space="preserve">A complete, formula-level reference of every data-cleaning and calculation step — including the exact formula used, the issue it solves, and the technique applied — is </w:t>
      </w:r>
      <w:r w:rsidR="002F1A7A">
        <w:rPr>
          <w:sz w:val="22"/>
          <w:szCs w:val="22"/>
        </w:rPr>
        <w:t>kept</w:t>
      </w:r>
      <w:r>
        <w:rPr>
          <w:sz w:val="22"/>
          <w:szCs w:val="22"/>
        </w:rPr>
        <w:t xml:space="preserve"> separately in Formula_Log.docx, located in the project's 03_Documentation folder.</w:t>
      </w:r>
    </w:p>
    <w:sectPr w:rsidR="002A69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477E"/>
    <w:multiLevelType w:val="hybridMultilevel"/>
    <w:tmpl w:val="00760AE0"/>
    <w:lvl w:ilvl="0" w:tplc="835CC690">
      <w:start w:val="1"/>
      <w:numFmt w:val="bullet"/>
      <w:lvlText w:val="●"/>
      <w:lvlJc w:val="left"/>
      <w:pPr>
        <w:ind w:left="720" w:hanging="360"/>
      </w:pPr>
    </w:lvl>
    <w:lvl w:ilvl="1" w:tplc="345E7E22">
      <w:start w:val="1"/>
      <w:numFmt w:val="bullet"/>
      <w:lvlText w:val="○"/>
      <w:lvlJc w:val="left"/>
      <w:pPr>
        <w:ind w:left="1440" w:hanging="360"/>
      </w:pPr>
    </w:lvl>
    <w:lvl w:ilvl="2" w:tplc="7B90CD7E">
      <w:start w:val="1"/>
      <w:numFmt w:val="bullet"/>
      <w:lvlText w:val="■"/>
      <w:lvlJc w:val="left"/>
      <w:pPr>
        <w:ind w:left="2160" w:hanging="360"/>
      </w:pPr>
    </w:lvl>
    <w:lvl w:ilvl="3" w:tplc="D6B43108">
      <w:start w:val="1"/>
      <w:numFmt w:val="bullet"/>
      <w:lvlText w:val="●"/>
      <w:lvlJc w:val="left"/>
      <w:pPr>
        <w:ind w:left="2880" w:hanging="360"/>
      </w:pPr>
    </w:lvl>
    <w:lvl w:ilvl="4" w:tplc="71426482">
      <w:start w:val="1"/>
      <w:numFmt w:val="bullet"/>
      <w:lvlText w:val="○"/>
      <w:lvlJc w:val="left"/>
      <w:pPr>
        <w:ind w:left="3600" w:hanging="360"/>
      </w:pPr>
    </w:lvl>
    <w:lvl w:ilvl="5" w:tplc="2E2CD600">
      <w:start w:val="1"/>
      <w:numFmt w:val="bullet"/>
      <w:lvlText w:val="■"/>
      <w:lvlJc w:val="left"/>
      <w:pPr>
        <w:ind w:left="4320" w:hanging="360"/>
      </w:pPr>
    </w:lvl>
    <w:lvl w:ilvl="6" w:tplc="554493D6">
      <w:start w:val="1"/>
      <w:numFmt w:val="bullet"/>
      <w:lvlText w:val="●"/>
      <w:lvlJc w:val="left"/>
      <w:pPr>
        <w:ind w:left="5040" w:hanging="360"/>
      </w:pPr>
    </w:lvl>
    <w:lvl w:ilvl="7" w:tplc="1E0066F6">
      <w:start w:val="1"/>
      <w:numFmt w:val="bullet"/>
      <w:lvlText w:val="●"/>
      <w:lvlJc w:val="left"/>
      <w:pPr>
        <w:ind w:left="5760" w:hanging="360"/>
      </w:pPr>
    </w:lvl>
    <w:lvl w:ilvl="8" w:tplc="88743E4E">
      <w:start w:val="1"/>
      <w:numFmt w:val="bullet"/>
      <w:lvlText w:val="●"/>
      <w:lvlJc w:val="left"/>
      <w:pPr>
        <w:ind w:left="6480" w:hanging="360"/>
      </w:pPr>
    </w:lvl>
  </w:abstractNum>
  <w:num w:numId="1" w16cid:durableId="287665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09"/>
    <w:rsid w:val="00015C1D"/>
    <w:rsid w:val="001E3581"/>
    <w:rsid w:val="002A6909"/>
    <w:rsid w:val="002F1A7A"/>
    <w:rsid w:val="00575CC0"/>
    <w:rsid w:val="00902081"/>
    <w:rsid w:val="00C020B0"/>
    <w:rsid w:val="00F27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702D"/>
  <w15:docId w15:val="{8EF5F60A-18FE-4D2A-8A99-895EF4873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ViChuuu! 🕸️</cp:lastModifiedBy>
  <cp:revision>6</cp:revision>
  <dcterms:created xsi:type="dcterms:W3CDTF">2026-08-17T22:44:00Z</dcterms:created>
  <dcterms:modified xsi:type="dcterms:W3CDTF">2026-08-17T23:05:00Z</dcterms:modified>
</cp:coreProperties>
</file>